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5CB729">
      <w:pPr>
        <w:rPr>
          <w:rFonts w:hint="default" w:ascii="Times New Roman" w:hAnsi="Times New Roman" w:eastAsia="仿宋_GB2312" w:cs="Times New Roman"/>
          <w:color w:val="auto"/>
          <w:sz w:val="36"/>
          <w:szCs w:val="36"/>
          <w:highlight w:val="none"/>
        </w:rPr>
      </w:pPr>
      <w:bookmarkStart w:id="0" w:name="_Hlk57883707"/>
    </w:p>
    <w:p w14:paraId="3415BC35">
      <w:pPr>
        <w:rPr>
          <w:rFonts w:hint="default" w:ascii="Times New Roman" w:hAnsi="Times New Roman" w:eastAsia="仿宋_GB2312" w:cs="Times New Roman"/>
          <w:color w:val="auto"/>
          <w:sz w:val="36"/>
          <w:szCs w:val="36"/>
          <w:highlight w:val="none"/>
        </w:rPr>
      </w:pPr>
    </w:p>
    <w:p w14:paraId="5FB703FD">
      <w:pPr>
        <w:rPr>
          <w:rFonts w:hint="default" w:ascii="Times New Roman" w:hAnsi="Times New Roman" w:eastAsia="仿宋_GB2312" w:cs="Times New Roman"/>
          <w:color w:val="auto"/>
          <w:sz w:val="36"/>
          <w:szCs w:val="36"/>
          <w:highlight w:val="none"/>
        </w:rPr>
      </w:pPr>
    </w:p>
    <w:bookmarkEnd w:id="0"/>
    <w:p w14:paraId="693660B6">
      <w:pPr>
        <w:adjustRightInd w:val="0"/>
        <w:snapToGrid w:val="0"/>
        <w:jc w:val="center"/>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14:paraId="3522675A">
      <w:pPr>
        <w:adjustRightInd w:val="0"/>
        <w:snapToGrid w:val="0"/>
        <w:spacing w:before="249"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2550AD9F">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1" w:name="_Hlk57883728"/>
    </w:p>
    <w:p w14:paraId="0319A75A">
      <w:pPr>
        <w:jc w:val="center"/>
        <w:rPr>
          <w:rFonts w:hint="default" w:ascii="Times New Roman" w:hAnsi="Times New Roman" w:eastAsia="仿宋" w:cs="Times New Roman"/>
          <w:color w:val="auto"/>
          <w:sz w:val="52"/>
          <w:szCs w:val="52"/>
          <w:highlight w:val="none"/>
        </w:rPr>
      </w:pPr>
    </w:p>
    <w:p w14:paraId="715D80E4">
      <w:pPr>
        <w:ind w:firstLine="1040"/>
        <w:rPr>
          <w:rFonts w:hint="default" w:ascii="Times New Roman" w:hAnsi="Times New Roman" w:eastAsia="仿宋" w:cs="Times New Roman"/>
          <w:color w:val="auto"/>
          <w:sz w:val="44"/>
          <w:szCs w:val="44"/>
          <w:highlight w:val="none"/>
        </w:rPr>
      </w:pPr>
    </w:p>
    <w:p w14:paraId="0ED37F6F">
      <w:pPr>
        <w:pStyle w:val="2"/>
        <w:rPr>
          <w:rFonts w:hint="default" w:ascii="Times New Roman" w:hAnsi="Times New Roman" w:eastAsia="仿宋" w:cs="Times New Roman"/>
          <w:color w:val="auto"/>
          <w:sz w:val="44"/>
          <w:szCs w:val="44"/>
          <w:highlight w:val="none"/>
        </w:rPr>
      </w:pPr>
    </w:p>
    <w:p w14:paraId="7A335F2B">
      <w:pPr>
        <w:pStyle w:val="3"/>
        <w:rPr>
          <w:rFonts w:hint="default" w:ascii="Times New Roman" w:hAnsi="Times New Roman" w:eastAsia="仿宋" w:cs="Times New Roman"/>
          <w:color w:val="auto"/>
          <w:sz w:val="44"/>
          <w:szCs w:val="44"/>
          <w:highlight w:val="none"/>
        </w:rPr>
      </w:pPr>
    </w:p>
    <w:p w14:paraId="115B2E09">
      <w:pPr>
        <w:pStyle w:val="4"/>
        <w:rPr>
          <w:rFonts w:hint="default"/>
          <w:color w:val="auto"/>
          <w:highlight w:val="none"/>
        </w:rPr>
      </w:pPr>
    </w:p>
    <w:p w14:paraId="3FEB73C5">
      <w:pPr>
        <w:rPr>
          <w:rFonts w:hint="default" w:ascii="Times New Roman" w:hAnsi="Times New Roman" w:eastAsia="仿宋" w:cs="Times New Roman"/>
          <w:color w:val="auto"/>
          <w:sz w:val="44"/>
          <w:szCs w:val="44"/>
          <w:highlight w:val="none"/>
        </w:rPr>
      </w:pPr>
    </w:p>
    <w:bookmarkEnd w:id="1"/>
    <w:p w14:paraId="38E6ED43">
      <w:pPr>
        <w:adjustRightInd w:val="0"/>
        <w:snapToGrid w:val="0"/>
        <w:spacing w:line="288" w:lineRule="auto"/>
        <w:ind w:left="1630" w:hanging="1630" w:hangingChars="500"/>
        <w:jc w:val="left"/>
        <w:rPr>
          <w:rFonts w:hint="default" w:ascii="Times New Roman" w:hAnsi="Times New Roman" w:eastAsia="仿宋_GB2312" w:cs="Times New Roman"/>
          <w:color w:val="auto"/>
          <w:spacing w:val="-17"/>
          <w:sz w:val="36"/>
          <w:szCs w:val="36"/>
          <w:highlight w:val="none"/>
          <w:u w:val="single"/>
          <w:lang w:val="en-US"/>
        </w:rPr>
      </w:pPr>
      <w:r>
        <w:rPr>
          <w:rFonts w:hint="default" w:ascii="Times New Roman" w:hAnsi="Times New Roman" w:eastAsia="仿宋_GB2312" w:cs="Times New Roman"/>
          <w:color w:val="auto"/>
          <w:spacing w:val="-17"/>
          <w:sz w:val="36"/>
          <w:szCs w:val="36"/>
          <w:highlight w:val="none"/>
        </w:rPr>
        <w:t>项目名称：</w:t>
      </w:r>
      <w:r>
        <w:rPr>
          <w:rFonts w:hint="eastAsia" w:eastAsia="仿宋_GB2312" w:cs="Times New Roman"/>
          <w:color w:val="auto"/>
          <w:spacing w:val="-17"/>
          <w:sz w:val="36"/>
          <w:szCs w:val="36"/>
          <w:highlight w:val="none"/>
          <w:u w:val="single"/>
          <w:lang w:val="en-US" w:eastAsia="zh-CN"/>
        </w:rPr>
        <w:t xml:space="preserve">     </w:t>
      </w:r>
      <w:r>
        <w:rPr>
          <w:rFonts w:hint="eastAsia" w:ascii="仿宋_GB2312" w:hAnsi="仿宋_GB2312" w:eastAsia="仿宋_GB2312" w:cs="仿宋_GB2312"/>
          <w:color w:val="auto"/>
          <w:sz w:val="36"/>
          <w:szCs w:val="36"/>
          <w:u w:val="single"/>
          <w:lang w:val="en-US" w:eastAsia="zh-CN"/>
        </w:rPr>
        <w:t>鸡东县东良粮库有限公司建设项目</w:t>
      </w:r>
      <w:r>
        <w:rPr>
          <w:rFonts w:hint="eastAsia" w:eastAsia="仿宋_GB2312" w:cs="Times New Roman"/>
          <w:color w:val="auto"/>
          <w:sz w:val="36"/>
          <w:szCs w:val="36"/>
          <w:highlight w:val="none"/>
          <w:u w:val="single"/>
          <w:lang w:val="en-US" w:eastAsia="zh-CN"/>
        </w:rPr>
        <w:t xml:space="preserve">              </w:t>
      </w:r>
    </w:p>
    <w:p w14:paraId="1C7E1E44">
      <w:pPr>
        <w:adjustRightInd w:val="0"/>
        <w:snapToGrid w:val="0"/>
        <w:spacing w:line="288" w:lineRule="auto"/>
        <w:rPr>
          <w:rFonts w:hint="default" w:ascii="Times New Roman" w:hAnsi="Times New Roman" w:eastAsia="仿宋_GB2312" w:cs="Times New Roman"/>
          <w:color w:val="auto"/>
          <w:sz w:val="36"/>
          <w:szCs w:val="36"/>
          <w:highlight w:val="none"/>
          <w:u w:val="single"/>
          <w:lang w:val="en-US"/>
        </w:rPr>
      </w:pPr>
      <w:r>
        <w:rPr>
          <w:rFonts w:hint="default" w:ascii="Times New Roman" w:hAnsi="Times New Roman" w:eastAsia="仿宋_GB2312" w:cs="Times New Roman"/>
          <w:color w:val="auto"/>
          <w:sz w:val="36"/>
          <w:szCs w:val="36"/>
          <w:highlight w:val="none"/>
        </w:rPr>
        <w:t>建设单位：</w:t>
      </w:r>
      <w:r>
        <w:rPr>
          <w:rFonts w:hint="eastAsia" w:eastAsia="仿宋_GB2312" w:cs="Times New Roman"/>
          <w:color w:val="auto"/>
          <w:sz w:val="36"/>
          <w:szCs w:val="36"/>
          <w:highlight w:val="none"/>
          <w:u w:val="single"/>
          <w:lang w:val="en-US" w:eastAsia="zh-CN"/>
        </w:rPr>
        <w:t xml:space="preserve">       </w:t>
      </w:r>
      <w:r>
        <w:rPr>
          <w:rFonts w:hint="eastAsia" w:ascii="仿宋_GB2312" w:hAnsi="仿宋_GB2312" w:eastAsia="仿宋_GB2312" w:cs="仿宋_GB2312"/>
          <w:color w:val="auto"/>
          <w:sz w:val="36"/>
          <w:szCs w:val="36"/>
          <w:u w:val="single"/>
          <w:lang w:val="en-US" w:eastAsia="zh-CN"/>
        </w:rPr>
        <w:t>鸡东县东良粮库有限公司</w:t>
      </w:r>
      <w:r>
        <w:rPr>
          <w:rFonts w:hint="eastAsia" w:eastAsia="仿宋_GB2312" w:cs="Times New Roman"/>
          <w:color w:val="auto"/>
          <w:sz w:val="36"/>
          <w:szCs w:val="36"/>
          <w:highlight w:val="none"/>
          <w:u w:val="single"/>
          <w:lang w:val="en-US" w:eastAsia="zh-CN"/>
        </w:rPr>
        <w:t xml:space="preserve">                 </w:t>
      </w:r>
    </w:p>
    <w:p w14:paraId="6AC77633">
      <w:pPr>
        <w:adjustRightInd w:val="0"/>
        <w:snapToGrid w:val="0"/>
        <w:spacing w:line="288" w:lineRule="auto"/>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编制日期：</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4</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12</w:t>
      </w:r>
      <w:r>
        <w:rPr>
          <w:rFonts w:hint="default" w:ascii="Times New Roman" w:hAnsi="Times New Roman" w:eastAsia="仿宋_GB2312" w:cs="Times New Roman"/>
          <w:color w:val="auto"/>
          <w:sz w:val="36"/>
          <w:szCs w:val="36"/>
          <w:highlight w:val="none"/>
          <w:u w:val="single"/>
        </w:rPr>
        <w:t xml:space="preserve">月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7969378C">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14:paraId="13B5440D">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24F05C3F">
      <w:pPr>
        <w:adjustRightInd w:val="0"/>
        <w:snapToGrid w:val="0"/>
        <w:spacing w:line="288" w:lineRule="auto"/>
        <w:rPr>
          <w:rFonts w:hint="default" w:ascii="Times New Roman" w:hAnsi="Times New Roman" w:eastAsia="仿宋_GB2312" w:cs="Times New Roman"/>
          <w:color w:val="auto"/>
          <w:sz w:val="36"/>
          <w:szCs w:val="36"/>
          <w:highlight w:val="none"/>
        </w:rPr>
      </w:pPr>
    </w:p>
    <w:p w14:paraId="0CC035D0">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EED595C">
      <w:pPr>
        <w:adjustRightInd w:val="0"/>
        <w:snapToGrid w:val="0"/>
        <w:spacing w:line="288" w:lineRule="auto"/>
        <w:jc w:val="center"/>
        <w:rPr>
          <w:rFonts w:hint="default" w:ascii="Times New Roman" w:hAnsi="Times New Roman" w:eastAsia="楷体_GB2312" w:cs="Times New Roman"/>
          <w:color w:val="auto"/>
          <w:sz w:val="36"/>
          <w:szCs w:val="36"/>
          <w:highlight w:val="none"/>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default" w:ascii="Times New Roman" w:hAnsi="Times New Roman" w:eastAsia="楷体_GB2312" w:cs="Times New Roman"/>
          <w:color w:val="auto"/>
          <w:sz w:val="36"/>
          <w:szCs w:val="36"/>
          <w:highlight w:val="none"/>
        </w:rPr>
        <w:t>中华人民共和国生态环境部</w:t>
      </w:r>
    </w:p>
    <w:p w14:paraId="06860AFE">
      <w:pPr>
        <w:adjustRightInd w:val="0"/>
        <w:snapToGrid w:val="0"/>
        <w:spacing w:line="288" w:lineRule="auto"/>
        <w:jc w:val="center"/>
        <w:rPr>
          <w:rFonts w:hint="eastAsia" w:ascii="Times New Roman" w:hAnsi="Times New Roman" w:eastAsia="楷体_GB2312" w:cs="Times New Roman"/>
          <w:color w:val="auto"/>
          <w:sz w:val="36"/>
          <w:szCs w:val="36"/>
          <w:highlight w:val="none"/>
          <w:lang w:eastAsia="zh-CN"/>
        </w:rPr>
        <w:sectPr>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5579110" cy="7439025"/>
            <wp:effectExtent l="0" t="0" r="2540" b="9525"/>
            <wp:docPr id="1" name="图片 1" descr="62e9585aa4661e80672906e61569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2e9585aa4661e80672906e61569b40"/>
                    <pic:cNvPicPr>
                      <a:picLocks noChangeAspect="1"/>
                    </pic:cNvPicPr>
                  </pic:nvPicPr>
                  <pic:blipFill>
                    <a:blip r:embed="rId8"/>
                    <a:stretch>
                      <a:fillRect/>
                    </a:stretch>
                  </pic:blipFill>
                  <pic:spPr>
                    <a:xfrm>
                      <a:off x="0" y="0"/>
                      <a:ext cx="5579110" cy="7439025"/>
                    </a:xfrm>
                    <a:prstGeom prst="rect">
                      <a:avLst/>
                    </a:prstGeom>
                  </pic:spPr>
                </pic:pic>
              </a:graphicData>
            </a:graphic>
          </wp:inline>
        </w:drawing>
      </w:r>
    </w:p>
    <w:p w14:paraId="7883B01E">
      <w:pPr>
        <w:pStyle w:val="29"/>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2" w:name="_Toc16950"/>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4"/>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4"/>
        <w:gridCol w:w="2139"/>
        <w:gridCol w:w="2145"/>
        <w:gridCol w:w="3163"/>
      </w:tblGrid>
      <w:tr w14:paraId="3A05D4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224485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6982E6B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eastAsia="宋体"/>
                <w:color w:val="auto"/>
                <w:sz w:val="21"/>
                <w:szCs w:val="21"/>
                <w:lang w:val="en-US" w:eastAsia="zh-CN"/>
              </w:rPr>
              <w:t>鸡东县东良粮库有限公司建设项目</w:t>
            </w:r>
          </w:p>
        </w:tc>
      </w:tr>
      <w:tr w14:paraId="4CB0E1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3CF829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417577F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无</w:t>
            </w:r>
          </w:p>
        </w:tc>
      </w:tr>
      <w:tr w14:paraId="556AD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CC123B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2139" w:type="dxa"/>
            <w:vAlign w:val="center"/>
          </w:tcPr>
          <w:p w14:paraId="79B032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1"/>
                <w:szCs w:val="21"/>
                <w:highlight w:val="none"/>
                <w:lang w:val="en-US" w:eastAsia="zh-CN"/>
              </w:rPr>
            </w:pPr>
            <w:r>
              <w:rPr>
                <w:rFonts w:hint="eastAsia"/>
                <w:color w:val="auto"/>
                <w:sz w:val="21"/>
                <w:szCs w:val="21"/>
                <w:lang w:val="en-US" w:eastAsia="zh-CN"/>
              </w:rPr>
              <w:t>刁国锋</w:t>
            </w:r>
          </w:p>
        </w:tc>
        <w:tc>
          <w:tcPr>
            <w:tcW w:w="2145" w:type="dxa"/>
            <w:vAlign w:val="center"/>
          </w:tcPr>
          <w:p w14:paraId="5C0E5C3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3163" w:type="dxa"/>
            <w:vAlign w:val="center"/>
          </w:tcPr>
          <w:p w14:paraId="53C3836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 w:val="21"/>
                <w:szCs w:val="21"/>
                <w:highlight w:val="none"/>
                <w:lang w:val="en-US"/>
              </w:rPr>
            </w:pPr>
            <w:r>
              <w:rPr>
                <w:rFonts w:hint="eastAsia"/>
                <w:color w:val="auto"/>
                <w:sz w:val="21"/>
                <w:szCs w:val="21"/>
                <w:lang w:val="en-US" w:eastAsia="zh-CN"/>
              </w:rPr>
              <w:t>18346783588</w:t>
            </w:r>
          </w:p>
        </w:tc>
      </w:tr>
      <w:tr w14:paraId="301F19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3C513A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679EC3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黑龙江省鸡西市鸡东县平阳镇平阳村</w:t>
            </w:r>
          </w:p>
        </w:tc>
      </w:tr>
      <w:tr w14:paraId="079AB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B9736F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11CFF2F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u w:val="single"/>
              </w:rPr>
              <w:t xml:space="preserve"> 1</w:t>
            </w:r>
            <w:r>
              <w:rPr>
                <w:rFonts w:hint="eastAsia" w:cs="Times New Roman" w:eastAsiaTheme="minorEastAsia"/>
                <w:color w:val="auto"/>
                <w:szCs w:val="21"/>
                <w:highlight w:val="none"/>
                <w:u w:val="single"/>
                <w:lang w:val="en-US" w:eastAsia="zh-CN"/>
              </w:rPr>
              <w:t>31</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14</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32.620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r>
              <w:rPr>
                <w:rFonts w:hint="default" w:ascii="Times New Roman" w:hAnsi="Times New Roman" w:cs="Times New Roman" w:eastAsiaTheme="minorEastAsia"/>
                <w:color w:val="auto"/>
                <w:szCs w:val="21"/>
                <w:highlight w:val="none"/>
                <w:u w:val="single"/>
              </w:rPr>
              <w:t xml:space="preserve"> 4</w:t>
            </w:r>
            <w:r>
              <w:rPr>
                <w:rFonts w:hint="eastAsia" w:cs="Times New Roman" w:eastAsiaTheme="minorEastAsia"/>
                <w:color w:val="auto"/>
                <w:szCs w:val="21"/>
                <w:highlight w:val="none"/>
                <w:u w:val="single"/>
                <w:lang w:val="en-US" w:eastAsia="zh-CN"/>
              </w:rPr>
              <w:t>5</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11</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17.050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p>
        </w:tc>
      </w:tr>
      <w:tr w14:paraId="2A3CF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26EE66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5F9E023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center"/>
          </w:tcPr>
          <w:p w14:paraId="0CF69C04">
            <w:pPr>
              <w:pStyle w:val="85"/>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A0514农产品初加工活动；</w:t>
            </w:r>
          </w:p>
          <w:p w14:paraId="27870B27">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1"/>
                <w:szCs w:val="21"/>
                <w:highlight w:val="none"/>
                <w:lang w:val="en-US"/>
              </w:rPr>
            </w:pPr>
            <w:r>
              <w:rPr>
                <w:rFonts w:hint="default" w:ascii="Times New Roman" w:hAnsi="Times New Roman" w:eastAsia="宋体" w:cs="Times New Roman"/>
                <w:color w:val="auto"/>
                <w:sz w:val="21"/>
                <w:szCs w:val="21"/>
                <w:highlight w:val="none"/>
              </w:rPr>
              <w:t>D4430热力生产和供应</w:t>
            </w:r>
          </w:p>
        </w:tc>
        <w:tc>
          <w:tcPr>
            <w:tcW w:w="1182" w:type="pct"/>
            <w:vAlign w:val="center"/>
          </w:tcPr>
          <w:p w14:paraId="6B94CF1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625D819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center"/>
          </w:tcPr>
          <w:p w14:paraId="78A48AB5">
            <w:pPr>
              <w:keepNext w:val="0"/>
              <w:keepLines w:val="0"/>
              <w:widowControl/>
              <w:suppressLineNumbers w:val="0"/>
              <w:spacing w:before="0" w:beforeAutospacing="0" w:after="0" w:afterAutospacing="0"/>
              <w:ind w:left="0" w:right="0"/>
              <w:jc w:val="center"/>
              <w:rPr>
                <w:rFonts w:hint="default" w:eastAsia="宋体"/>
                <w:color w:val="auto"/>
                <w:highlight w:val="none"/>
                <w:lang w:val="en-US" w:eastAsia="zh-CN"/>
              </w:rPr>
            </w:pPr>
            <w:r>
              <w:rPr>
                <w:rFonts w:hint="default" w:ascii="Times New Roman" w:hAnsi="Times New Roman" w:eastAsia="宋体" w:cs="Times New Roman"/>
                <w:color w:val="auto"/>
                <w:sz w:val="21"/>
                <w:szCs w:val="21"/>
                <w:highlight w:val="none"/>
                <w:lang w:val="en-US"/>
              </w:rPr>
              <w:t>四十一、电力、热力生产和供应业 91.热力生产和供应工程（包括建设单位自建自用的供热工程）</w:t>
            </w:r>
          </w:p>
        </w:tc>
      </w:tr>
      <w:tr w14:paraId="3300A5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7ED59C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469F2EB4">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新建（迁建）</w:t>
            </w:r>
          </w:p>
          <w:p w14:paraId="2BC7E202">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改建</w:t>
            </w:r>
          </w:p>
          <w:p w14:paraId="40E9063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扩建</w:t>
            </w:r>
          </w:p>
          <w:p w14:paraId="636DF1E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0834998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6C68CF6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0209AA8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14:paraId="507CF5A2">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710BA242">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6CD08854">
            <w:pPr>
              <w:keepNext w:val="0"/>
              <w:keepLines w:val="0"/>
              <w:suppressLineNumbers w:val="0"/>
              <w:spacing w:before="0" w:beforeAutospacing="0" w:after="0" w:afterAutospacing="0"/>
              <w:ind w:left="0" w:right="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14:paraId="66FBFE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4789EE0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384722C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6604C0B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70863DD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w:t>
            </w:r>
          </w:p>
          <w:p w14:paraId="1E72C9D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核准/</w:t>
            </w:r>
          </w:p>
          <w:p w14:paraId="328AC69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4B2A6E3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4F164A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9D0999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1179" w:type="pct"/>
            <w:vAlign w:val="center"/>
          </w:tcPr>
          <w:p w14:paraId="757E7B78">
            <w:pPr>
              <w:pStyle w:val="85"/>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highlight w:val="none"/>
                <w:lang w:val="en-US" w:eastAsia="zh-CN"/>
              </w:rPr>
            </w:pPr>
            <w:r>
              <w:rPr>
                <w:rFonts w:hint="eastAsia" w:eastAsia="宋体" w:cs="Times New Roman"/>
                <w:color w:val="auto"/>
                <w:kern w:val="21"/>
                <w:highlight w:val="none"/>
                <w:lang w:val="en-US" w:eastAsia="zh-CN"/>
              </w:rPr>
              <w:t>35</w:t>
            </w:r>
          </w:p>
        </w:tc>
        <w:tc>
          <w:tcPr>
            <w:tcW w:w="1182" w:type="pct"/>
            <w:tcMar>
              <w:top w:w="16" w:type="dxa"/>
              <w:left w:w="16" w:type="dxa"/>
              <w:right w:w="16" w:type="dxa"/>
            </w:tcMar>
            <w:vAlign w:val="center"/>
          </w:tcPr>
          <w:p w14:paraId="3B0A013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14:paraId="5D69EA2E">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8.5</w:t>
            </w:r>
          </w:p>
        </w:tc>
      </w:tr>
      <w:tr w14:paraId="544C1C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46FF45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1179" w:type="pct"/>
            <w:vAlign w:val="center"/>
          </w:tcPr>
          <w:p w14:paraId="37694C6A">
            <w:pPr>
              <w:pStyle w:val="85"/>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24.8</w:t>
            </w:r>
          </w:p>
        </w:tc>
        <w:tc>
          <w:tcPr>
            <w:tcW w:w="1182" w:type="pct"/>
            <w:tcMar>
              <w:top w:w="16" w:type="dxa"/>
              <w:left w:w="16" w:type="dxa"/>
              <w:right w:w="16" w:type="dxa"/>
            </w:tcMar>
            <w:vAlign w:val="center"/>
          </w:tcPr>
          <w:p w14:paraId="27588D2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施工工期</w:t>
            </w:r>
          </w:p>
        </w:tc>
        <w:tc>
          <w:tcPr>
            <w:tcW w:w="1743" w:type="pct"/>
            <w:vAlign w:val="center"/>
          </w:tcPr>
          <w:p w14:paraId="17E736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2025年4月-2025年5月</w:t>
            </w:r>
          </w:p>
        </w:tc>
      </w:tr>
      <w:tr w14:paraId="62CA1B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763FE5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2D8BC91C">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14:paraId="4CADEBA8">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14:paraId="5F2CE106">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575C2DF2">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Cs w:val="21"/>
                <w:highlight w:val="none"/>
                <w:lang w:val="en-US" w:eastAsia="zh-CN"/>
              </w:rPr>
            </w:pPr>
            <w:r>
              <w:rPr>
                <w:rFonts w:hint="eastAsia" w:eastAsia="宋体" w:cs="Times New Roman"/>
                <w:b w:val="0"/>
                <w:bCs w:val="0"/>
                <w:color w:val="auto"/>
                <w:kern w:val="21"/>
                <w:sz w:val="21"/>
                <w:szCs w:val="21"/>
                <w:highlight w:val="none"/>
                <w:lang w:val="en-US" w:eastAsia="zh-CN"/>
              </w:rPr>
              <w:t>0</w:t>
            </w:r>
          </w:p>
        </w:tc>
      </w:tr>
      <w:tr w14:paraId="01558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3FD1873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4F1D692F">
            <w:pPr>
              <w:keepNext w:val="0"/>
              <w:keepLines w:val="0"/>
              <w:suppressLineNumbers w:val="0"/>
              <w:snapToGrid w:val="0"/>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008E5ABC">
            <w:pPr>
              <w:keepNext w:val="0"/>
              <w:keepLines w:val="0"/>
              <w:suppressLineNumbers w:val="0"/>
              <w:snapToGrid w:val="0"/>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0"/>
              <w:gridCol w:w="4045"/>
            </w:tblGrid>
            <w:tr w14:paraId="23CB85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563FF1A9">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noWrap w:val="0"/>
                  <w:vAlign w:val="center"/>
                </w:tcPr>
                <w:p w14:paraId="46CB8BFB">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370D77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4272C1D6">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noWrap w:val="0"/>
                  <w:vAlign w:val="center"/>
                </w:tcPr>
                <w:p w14:paraId="0A4C2E60">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，不需设置大气专项评价。</w:t>
                  </w:r>
                </w:p>
              </w:tc>
            </w:tr>
            <w:tr w14:paraId="693485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4451D70B">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noWrap w:val="0"/>
                  <w:vAlign w:val="center"/>
                </w:tcPr>
                <w:p w14:paraId="202F44AE">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14:paraId="3E547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269F141C">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4045" w:type="dxa"/>
                  <w:noWrap w:val="0"/>
                  <w:vAlign w:val="center"/>
                </w:tcPr>
                <w:p w14:paraId="5D29897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left"/>
                    <w:textAlignment w:val="auto"/>
                    <w:rPr>
                      <w:rFonts w:hint="default" w:ascii="Times New Roman" w:hAnsi="Times New Roman"/>
                      <w:color w:val="auto"/>
                      <w:sz w:val="18"/>
                      <w:szCs w:val="18"/>
                      <w:highlight w:val="none"/>
                    </w:rPr>
                  </w:pPr>
                  <w:r>
                    <w:rPr>
                      <w:rFonts w:hint="default" w:ascii="Times New Roman" w:hAnsi="Times New Roman" w:eastAsia="宋体" w:cs="Times New Roman"/>
                      <w:color w:val="auto"/>
                      <w:kern w:val="2"/>
                      <w:sz w:val="18"/>
                      <w:szCs w:val="18"/>
                      <w:highlight w:val="none"/>
                      <w:lang w:val="en-US" w:eastAsia="zh-CN" w:bidi="ar-SA"/>
                    </w:rPr>
                    <w:t>本项目涉及危险物质存储量未超过临界量</w:t>
                  </w:r>
                  <w:r>
                    <w:rPr>
                      <w:rFonts w:hint="eastAsia" w:ascii="Times New Roman" w:hAnsi="Times New Roman" w:eastAsia="宋体" w:cs="Times New Roman"/>
                      <w:color w:val="auto"/>
                      <w:kern w:val="2"/>
                      <w:sz w:val="18"/>
                      <w:szCs w:val="18"/>
                      <w:highlight w:val="none"/>
                      <w:lang w:val="en-US" w:eastAsia="zh-CN" w:bidi="ar-SA"/>
                    </w:rPr>
                    <w:t>，因此无需开展环境风险专项评价</w:t>
                  </w:r>
                </w:p>
              </w:tc>
            </w:tr>
            <w:tr w14:paraId="7EA53C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23E5215B">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noWrap w:val="0"/>
                  <w:vAlign w:val="center"/>
                </w:tcPr>
                <w:p w14:paraId="58BC765B">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本项目供水</w:t>
                  </w:r>
                  <w:r>
                    <w:rPr>
                      <w:rFonts w:hint="eastAsia" w:ascii="Times New Roman" w:hAnsi="Times New Roman"/>
                      <w:color w:val="auto"/>
                      <w:sz w:val="18"/>
                      <w:szCs w:val="18"/>
                      <w:highlight w:val="none"/>
                      <w:lang w:val="en-US" w:eastAsia="zh-CN"/>
                    </w:rPr>
                    <w:t>由市政管网提供，不属于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14:paraId="14DC42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444CB8B5">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noWrap w:val="0"/>
                  <w:vAlign w:val="center"/>
                </w:tcPr>
                <w:p w14:paraId="143BAD82">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36D4F706">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14:paraId="18E91B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7FF1C69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4104" w:type="pct"/>
            <w:gridSpan w:val="3"/>
            <w:tcMar>
              <w:top w:w="16" w:type="dxa"/>
              <w:left w:w="16" w:type="dxa"/>
              <w:right w:w="16" w:type="dxa"/>
            </w:tcMar>
            <w:vAlign w:val="center"/>
          </w:tcPr>
          <w:p w14:paraId="7F2A4743">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230353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24B7EAB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0CFC87D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4104" w:type="pct"/>
            <w:gridSpan w:val="3"/>
            <w:tcMar>
              <w:top w:w="16" w:type="dxa"/>
              <w:left w:w="16" w:type="dxa"/>
              <w:right w:w="16" w:type="dxa"/>
            </w:tcMar>
            <w:vAlign w:val="center"/>
          </w:tcPr>
          <w:p w14:paraId="3E53300B">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5CA0FC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95" w:type="pct"/>
            <w:tcMar>
              <w:top w:w="16" w:type="dxa"/>
              <w:left w:w="16" w:type="dxa"/>
              <w:right w:w="16" w:type="dxa"/>
            </w:tcMar>
            <w:vAlign w:val="center"/>
          </w:tcPr>
          <w:p w14:paraId="105B3E57">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4104" w:type="pct"/>
            <w:gridSpan w:val="3"/>
            <w:tcMar>
              <w:top w:w="16" w:type="dxa"/>
              <w:left w:w="16" w:type="dxa"/>
              <w:right w:w="16" w:type="dxa"/>
            </w:tcMar>
            <w:vAlign w:val="center"/>
          </w:tcPr>
          <w:p w14:paraId="72DA37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color w:val="auto"/>
                <w:highlight w:val="none"/>
                <w:lang w:val="en-US" w:eastAsia="zh-CN"/>
              </w:rPr>
            </w:pPr>
            <w:r>
              <w:rPr>
                <w:rFonts w:hint="eastAsia"/>
                <w:color w:val="auto"/>
                <w:highlight w:val="none"/>
                <w:lang w:val="en-US" w:eastAsia="zh-CN"/>
              </w:rPr>
              <w:t>无</w:t>
            </w:r>
          </w:p>
        </w:tc>
      </w:tr>
      <w:tr w14:paraId="03CF34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6C11B6D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5C3D0A04">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firstLine="422" w:firstLineChars="200"/>
              <w:textAlignment w:val="auto"/>
              <w:rPr>
                <w:rFonts w:hint="default"/>
                <w:b/>
                <w:bCs/>
                <w:color w:val="auto"/>
                <w:kern w:val="0"/>
                <w:sz w:val="21"/>
                <w:szCs w:val="21"/>
                <w:highlight w:val="none"/>
              </w:rPr>
            </w:pPr>
            <w:r>
              <w:rPr>
                <w:rFonts w:hint="eastAsia"/>
                <w:b/>
                <w:bCs/>
                <w:color w:val="auto"/>
                <w:kern w:val="0"/>
                <w:sz w:val="21"/>
                <w:szCs w:val="21"/>
                <w:highlight w:val="none"/>
                <w:lang w:val="en-US" w:eastAsia="zh-CN"/>
              </w:rPr>
              <w:t>1、</w:t>
            </w:r>
            <w:r>
              <w:rPr>
                <w:rFonts w:hint="eastAsia"/>
                <w:b/>
                <w:bCs/>
                <w:color w:val="auto"/>
                <w:kern w:val="0"/>
                <w:sz w:val="21"/>
                <w:szCs w:val="21"/>
                <w:highlight w:val="none"/>
                <w:lang w:eastAsia="zh-CN"/>
              </w:rPr>
              <w:t>生态环境分区管控</w:t>
            </w:r>
            <w:r>
              <w:rPr>
                <w:rFonts w:hint="eastAsia"/>
                <w:b/>
                <w:bCs/>
                <w:color w:val="auto"/>
                <w:kern w:val="0"/>
                <w:sz w:val="21"/>
                <w:szCs w:val="21"/>
                <w:highlight w:val="none"/>
              </w:rPr>
              <w:t>符合性分析</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本项目位于</w:t>
            </w:r>
            <w:r>
              <w:rPr>
                <w:rFonts w:hint="eastAsia" w:cs="Times New Roman"/>
                <w:color w:val="auto"/>
                <w:sz w:val="21"/>
                <w:szCs w:val="21"/>
                <w:highlight w:val="none"/>
                <w:lang w:val="en-US" w:eastAsia="zh-CN"/>
              </w:rPr>
              <w:t>黑龙江省鸡西市鸡东县平阳镇平阳村</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和《</w:t>
            </w:r>
            <w:r>
              <w:rPr>
                <w:rFonts w:hint="eastAsia" w:cs="Times New Roman"/>
                <w:color w:val="auto"/>
                <w:kern w:val="0"/>
                <w:sz w:val="21"/>
                <w:szCs w:val="21"/>
                <w:highlight w:val="none"/>
                <w:lang w:eastAsia="zh-CN" w:bidi="ar"/>
              </w:rPr>
              <w:t>鸡东县东良粮库有限公司建设项目生态环境分区管控分析报告》（见附件）</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本项目与“生态环境分区管控”符合性如下：</w:t>
            </w:r>
          </w:p>
          <w:p w14:paraId="45BA23DF">
            <w:pPr>
              <w:pStyle w:val="26"/>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eastAsia"/>
                <w:color w:val="auto"/>
                <w:sz w:val="21"/>
                <w:szCs w:val="21"/>
                <w:lang w:eastAsia="zh-CN"/>
              </w:rPr>
            </w:pPr>
            <w:r>
              <w:rPr>
                <w:rFonts w:hint="eastAsia" w:ascii="Calibri" w:hAnsi="Calibri" w:eastAsia="宋体" w:cs="Times New Roman"/>
                <w:color w:val="auto"/>
                <w:kern w:val="2"/>
                <w:sz w:val="21"/>
                <w:szCs w:val="21"/>
                <w:lang w:val="en-US" w:eastAsia="zh-CN" w:bidi="ar-SA"/>
              </w:rPr>
              <w:t>（1）</w:t>
            </w:r>
            <w:r>
              <w:rPr>
                <w:rFonts w:hint="eastAsia"/>
                <w:color w:val="auto"/>
                <w:sz w:val="21"/>
                <w:szCs w:val="21"/>
                <w:lang w:eastAsia="zh-CN"/>
              </w:rPr>
              <w:t>“一图”</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bidi="ar"/>
              </w:rPr>
            </w:pPr>
            <w:r>
              <w:rPr>
                <w:rFonts w:hint="eastAsia"/>
                <w:color w:val="auto"/>
                <w:sz w:val="21"/>
                <w:szCs w:val="21"/>
                <w:lang w:eastAsia="zh-CN"/>
              </w:rPr>
              <w:t>根据</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鸡东县东良粮库有限公司建设项目生态环境分区管控分析报告》，项目与环境管控单元叠加图见图</w:t>
            </w:r>
            <w:r>
              <w:rPr>
                <w:rFonts w:hint="eastAsia" w:cs="Times New Roman"/>
                <w:color w:val="auto"/>
                <w:kern w:val="0"/>
                <w:sz w:val="21"/>
                <w:szCs w:val="21"/>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kern w:val="0"/>
                <w:sz w:val="21"/>
                <w:szCs w:val="21"/>
                <w:highlight w:val="none"/>
              </w:rPr>
            </w:pPr>
            <w:r>
              <w:rPr>
                <w:rFonts w:hint="default"/>
                <w:color w:val="auto"/>
                <w:sz w:val="21"/>
                <w:szCs w:val="21"/>
              </w:rPr>
              <w:drawing>
                <wp:inline distT="0" distB="0" distL="114300" distR="114300">
                  <wp:extent cx="4730115" cy="2540635"/>
                  <wp:effectExtent l="0" t="0" r="13335" b="1206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tretch>
                            <a:fillRect/>
                          </a:stretch>
                        </pic:blipFill>
                        <pic:spPr>
                          <a:xfrm>
                            <a:off x="0" y="0"/>
                            <a:ext cx="4730115" cy="254063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eastAsia="zh-CN"/>
              </w:rPr>
              <w:t>图</w:t>
            </w:r>
            <w:r>
              <w:rPr>
                <w:rFonts w:hint="eastAsia" w:ascii="宋体" w:hAnsi="宋体" w:eastAsia="宋体" w:cs="宋体"/>
                <w:b/>
                <w:bCs/>
                <w:color w:val="auto"/>
                <w:kern w:val="0"/>
                <w:sz w:val="21"/>
                <w:szCs w:val="21"/>
                <w:highlight w:val="none"/>
                <w:lang w:val="en-US" w:eastAsia="zh-CN"/>
              </w:rPr>
              <w:t>1-1与生态环境分区管控叠加图</w:t>
            </w:r>
          </w:p>
          <w:p w14:paraId="07F4930B">
            <w:pPr>
              <w:pStyle w:val="150"/>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一表”</w:t>
            </w:r>
          </w:p>
          <w:p w14:paraId="346552CF">
            <w:pPr>
              <w:pStyle w:val="1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本项目与生态环境准入清单符合性情况见表1-2。</w:t>
            </w:r>
          </w:p>
          <w:p w14:paraId="30B4B2A4">
            <w:pPr>
              <w:keepNext w:val="0"/>
              <w:keepLines w:val="0"/>
              <w:suppressLineNumbers w:val="0"/>
              <w:bidi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表1-</w:t>
            </w:r>
            <w:r>
              <w:rPr>
                <w:rFonts w:hint="eastAsia"/>
                <w:b/>
                <w:bCs/>
                <w:color w:val="auto"/>
                <w:sz w:val="21"/>
                <w:szCs w:val="21"/>
                <w:highlight w:val="none"/>
                <w:lang w:val="en-US" w:eastAsia="zh-CN"/>
              </w:rPr>
              <w:t xml:space="preserve">2   </w:t>
            </w:r>
            <w:r>
              <w:rPr>
                <w:rFonts w:hint="default"/>
                <w:b/>
                <w:bCs/>
                <w:color w:val="auto"/>
                <w:sz w:val="21"/>
                <w:szCs w:val="21"/>
                <w:highlight w:val="none"/>
              </w:rPr>
              <w:t>生态环境准入清单符合性分析</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208"/>
              <w:gridCol w:w="4338"/>
              <w:gridCol w:w="1631"/>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32C3D2D">
                  <w:pPr>
                    <w:pStyle w:val="165"/>
                    <w:keepNext w:val="0"/>
                    <w:keepLines w:val="0"/>
                    <w:suppressLineNumbers w:val="0"/>
                    <w:spacing w:before="0" w:beforeAutospacing="0" w:after="0" w:afterAutospacing="0" w:line="240" w:lineRule="auto"/>
                    <w:ind w:left="0" w:right="0" w:firstLine="420"/>
                    <w:rPr>
                      <w:rFonts w:hint="default"/>
                      <w:color w:val="auto"/>
                      <w:sz w:val="21"/>
                      <w:szCs w:val="21"/>
                      <w:highlight w:val="none"/>
                    </w:rPr>
                  </w:pPr>
                  <w:r>
                    <w:rPr>
                      <w:rFonts w:hint="eastAsia"/>
                      <w:color w:val="auto"/>
                      <w:sz w:val="21"/>
                      <w:szCs w:val="21"/>
                      <w:lang w:val="en-US" w:eastAsia="zh-CN"/>
                    </w:rPr>
                    <w:t>根据</w:t>
                  </w:r>
                  <w:r>
                    <w:rPr>
                      <w:rFonts w:hint="eastAsia" w:ascii="Times New Roman" w:hAnsi="Times New Roman" w:cs="Times New Roman"/>
                      <w:color w:val="auto"/>
                      <w:sz w:val="21"/>
                      <w:szCs w:val="21"/>
                      <w:lang w:val="en-US" w:eastAsia="zh-CN"/>
                    </w:rPr>
                    <w:t>《</w:t>
                  </w:r>
                  <w:r>
                    <w:rPr>
                      <w:rFonts w:hint="eastAsia" w:cs="Times New Roman"/>
                      <w:color w:val="auto"/>
                      <w:kern w:val="0"/>
                      <w:sz w:val="21"/>
                      <w:szCs w:val="21"/>
                      <w:highlight w:val="none"/>
                      <w:lang w:eastAsia="zh-CN" w:bidi="ar"/>
                    </w:rPr>
                    <w:t>鸡东县东良粮库有限公司建设项目生态环境分区管控分析报告</w:t>
                  </w:r>
                  <w:r>
                    <w:rPr>
                      <w:rFonts w:hint="eastAsia"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0A370CA">
                  <w:pPr>
                    <w:pStyle w:val="166"/>
                    <w:keepNext w:val="0"/>
                    <w:keepLines w:val="0"/>
                    <w:suppressLineNumbers w:val="0"/>
                    <w:spacing w:before="0" w:beforeAutospacing="0" w:after="0" w:afterAutospacing="0"/>
                    <w:ind w:left="0" w:right="0" w:firstLine="48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166"/>
                    <w:keepNext w:val="0"/>
                    <w:keepLines w:val="0"/>
                    <w:suppressLineNumbers w:val="0"/>
                    <w:spacing w:before="0" w:beforeAutospacing="0" w:after="0" w:afterAutospacing="0"/>
                    <w:ind w:left="0" w:right="0" w:firstLine="482"/>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1、大气环境</w:t>
                  </w:r>
                </w:p>
                <w:p w14:paraId="5A69A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rPr>
                  </w:pPr>
                  <w:r>
                    <w:rPr>
                      <w:rFonts w:hint="default" w:ascii="Times New Roman" w:hAnsi="Times New Roman"/>
                      <w:color w:val="FF0000"/>
                      <w:sz w:val="21"/>
                      <w:szCs w:val="21"/>
                      <w:highlight w:val="none"/>
                    </w:rPr>
                    <w:t>根据《202</w:t>
                  </w:r>
                  <w:r>
                    <w:rPr>
                      <w:rFonts w:hint="eastAsia"/>
                      <w:color w:val="FF0000"/>
                      <w:sz w:val="21"/>
                      <w:szCs w:val="21"/>
                      <w:highlight w:val="none"/>
                      <w:lang w:val="en-US" w:eastAsia="zh-CN"/>
                    </w:rPr>
                    <w:t>4</w:t>
                  </w:r>
                  <w:r>
                    <w:rPr>
                      <w:rFonts w:hint="default" w:ascii="Times New Roman" w:hAnsi="Times New Roman"/>
                      <w:color w:val="FF0000"/>
                      <w:sz w:val="21"/>
                      <w:szCs w:val="21"/>
                      <w:highlight w:val="none"/>
                    </w:rPr>
                    <w:t>年黑龙江省生态环境</w:t>
                  </w:r>
                  <w:r>
                    <w:rPr>
                      <w:rFonts w:hint="eastAsia"/>
                      <w:color w:val="FF0000"/>
                      <w:sz w:val="21"/>
                      <w:szCs w:val="21"/>
                      <w:highlight w:val="none"/>
                      <w:lang w:val="en-US" w:eastAsia="zh-CN"/>
                    </w:rPr>
                    <w:t>质量</w:t>
                  </w:r>
                  <w:r>
                    <w:rPr>
                      <w:rFonts w:hint="default" w:ascii="Times New Roman" w:hAnsi="Times New Roman"/>
                      <w:color w:val="FF0000"/>
                      <w:sz w:val="21"/>
                      <w:szCs w:val="21"/>
                      <w:highlight w:val="none"/>
                    </w:rPr>
                    <w:t>状况》（202</w:t>
                  </w:r>
                  <w:r>
                    <w:rPr>
                      <w:rFonts w:hint="eastAsia"/>
                      <w:color w:val="FF0000"/>
                      <w:sz w:val="21"/>
                      <w:szCs w:val="21"/>
                      <w:highlight w:val="none"/>
                      <w:lang w:val="en-US" w:eastAsia="zh-CN"/>
                    </w:rPr>
                    <w:t>5</w:t>
                  </w:r>
                  <w:r>
                    <w:rPr>
                      <w:rFonts w:hint="default" w:ascii="Times New Roman" w:hAnsi="Times New Roman"/>
                      <w:color w:val="FF0000"/>
                      <w:sz w:val="21"/>
                      <w:szCs w:val="21"/>
                      <w:highlight w:val="none"/>
                    </w:rPr>
                    <w:t>年</w:t>
                  </w:r>
                  <w:r>
                    <w:rPr>
                      <w:rFonts w:hint="eastAsia"/>
                      <w:color w:val="FF0000"/>
                      <w:sz w:val="21"/>
                      <w:szCs w:val="21"/>
                      <w:highlight w:val="none"/>
                      <w:lang w:val="en-US" w:eastAsia="zh-CN"/>
                    </w:rPr>
                    <w:t>1</w:t>
                  </w:r>
                  <w:r>
                    <w:rPr>
                      <w:rFonts w:hint="default" w:ascii="Times New Roman" w:hAnsi="Times New Roman"/>
                      <w:color w:val="FF0000"/>
                      <w:sz w:val="21"/>
                      <w:szCs w:val="21"/>
                      <w:highlight w:val="none"/>
                    </w:rPr>
                    <w:t>月），</w:t>
                  </w:r>
                  <w:r>
                    <w:rPr>
                      <w:rFonts w:hint="eastAsia"/>
                      <w:color w:val="FF0000"/>
                      <w:sz w:val="21"/>
                      <w:szCs w:val="21"/>
                      <w:highlight w:val="none"/>
                      <w:lang w:val="en-US" w:eastAsia="zh-CN"/>
                    </w:rPr>
                    <w:t>鸡西市空气质量级别达二级标准，PM2.5、PM10、SO2、NO2、CO-95per、O3-8h-90per年均浓度分别为27</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w:t>
                  </w:r>
                  <w:r>
                    <w:rPr>
                      <w:rFonts w:hint="eastAsia"/>
                      <w:color w:val="FF0000"/>
                      <w:sz w:val="21"/>
                      <w:szCs w:val="21"/>
                      <w:highlight w:val="none"/>
                      <w:lang w:val="en-US" w:eastAsia="zh-CN"/>
                    </w:rPr>
                    <w:t>46</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、8</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、1</w:t>
                  </w:r>
                  <w:r>
                    <w:rPr>
                      <w:rFonts w:hint="eastAsia"/>
                      <w:color w:val="FF0000"/>
                      <w:sz w:val="21"/>
                      <w:szCs w:val="21"/>
                      <w:highlight w:val="none"/>
                      <w:lang w:val="en-US" w:eastAsia="zh-CN"/>
                    </w:rPr>
                    <w:t>7</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、1.0</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、和90</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w:t>
                  </w:r>
                  <w:r>
                    <w:rPr>
                      <w:rFonts w:hint="eastAsia" w:ascii="Times New Roman" w:hAnsi="Times New Roman" w:eastAsia="宋体" w:cs="Times New Roman"/>
                      <w:color w:val="FF0000"/>
                      <w:kern w:val="21"/>
                      <w:sz w:val="21"/>
                      <w:szCs w:val="21"/>
                      <w:highlight w:val="none"/>
                      <w:lang w:val="en-US" w:eastAsia="zh-CN"/>
                    </w:rPr>
                    <w:t>均满足</w:t>
                  </w:r>
                  <w:r>
                    <w:rPr>
                      <w:rFonts w:hint="default" w:ascii="Times New Roman" w:hAnsi="Times New Roman" w:eastAsia="宋体" w:cs="Times New Roman"/>
                      <w:color w:val="FF0000"/>
                      <w:kern w:val="21"/>
                      <w:sz w:val="21"/>
                      <w:szCs w:val="21"/>
                      <w:highlight w:val="none"/>
                    </w:rPr>
                    <w:t>《环境空气质量标准》（GB3095-2012）中的二级标准</w:t>
                  </w:r>
                  <w:r>
                    <w:rPr>
                      <w:rFonts w:hint="eastAsia" w:ascii="Times New Roman" w:hAnsi="Times New Roman" w:eastAsia="宋体" w:cs="Times New Roman"/>
                      <w:color w:val="FF0000"/>
                      <w:kern w:val="21"/>
                      <w:sz w:val="21"/>
                      <w:szCs w:val="21"/>
                      <w:highlight w:val="none"/>
                      <w:lang w:eastAsia="zh-CN"/>
                    </w:rPr>
                    <w:t>，</w:t>
                  </w:r>
                  <w:r>
                    <w:rPr>
                      <w:rFonts w:hint="default" w:ascii="Times New Roman" w:hAnsi="Times New Roman" w:eastAsia="宋体" w:cs="Times New Roman"/>
                      <w:color w:val="FF0000"/>
                      <w:kern w:val="21"/>
                      <w:sz w:val="21"/>
                      <w:szCs w:val="21"/>
                      <w:highlight w:val="none"/>
                    </w:rPr>
                    <w:t>项目所在区域为达标区。</w:t>
                  </w:r>
                </w:p>
                <w:p w14:paraId="62DBDD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sz w:val="21"/>
                      <w:szCs w:val="21"/>
                      <w:lang w:val="en-US" w:eastAsia="zh-CN"/>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25m</w:t>
                  </w:r>
                  <w:r>
                    <w:rPr>
                      <w:rFonts w:hint="eastAsia" w:cs="Times New Roman"/>
                      <w:color w:val="auto"/>
                      <w:sz w:val="21"/>
                      <w:szCs w:val="21"/>
                      <w:highlight w:val="none"/>
                      <w:lang w:eastAsia="zh-CN"/>
                    </w:rPr>
                    <w:t>烟囱</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w:t>
                  </w:r>
                  <w:r>
                    <w:rPr>
                      <w:rFonts w:hint="eastAsia" w:cs="Times New Roman"/>
                      <w:color w:val="auto"/>
                      <w:sz w:val="21"/>
                      <w:szCs w:val="21"/>
                      <w:highlight w:val="none"/>
                      <w:lang w:val="en-US" w:eastAsia="zh-CN"/>
                    </w:rPr>
                    <w:t>筛分机</w:t>
                  </w:r>
                  <w:r>
                    <w:rPr>
                      <w:rFonts w:hint="eastAsia" w:ascii="Times New Roman" w:hAnsi="Times New Roman" w:cs="Times New Roman"/>
                      <w:color w:val="auto"/>
                      <w:sz w:val="21"/>
                      <w:szCs w:val="21"/>
                      <w:highlight w:val="none"/>
                      <w:lang w:eastAsia="zh-CN"/>
                    </w:rPr>
                    <w:t>，产生的粉尘经设备自带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eastAsia" w:ascii="Times New Roman" w:hAnsi="Times New Roman" w:eastAsia="宋体" w:cs="Times New Roman"/>
                      <w:b w:val="0"/>
                      <w:bCs w:val="0"/>
                      <w:color w:val="auto"/>
                      <w:sz w:val="21"/>
                      <w:szCs w:val="21"/>
                      <w:highlight w:val="none"/>
                      <w:lang w:val="en-US" w:eastAsia="zh-CN"/>
                    </w:rPr>
                    <w:t>。燃料库</w:t>
                  </w:r>
                  <w:r>
                    <w:rPr>
                      <w:rFonts w:hint="eastAsia" w:cs="Times New Roman"/>
                      <w:b w:val="0"/>
                      <w:bCs w:val="0"/>
                      <w:color w:val="auto"/>
                      <w:sz w:val="21"/>
                      <w:szCs w:val="21"/>
                      <w:highlight w:val="none"/>
                      <w:lang w:val="en-US" w:eastAsia="zh-CN"/>
                    </w:rPr>
                    <w:t>、</w:t>
                  </w:r>
                  <w:r>
                    <w:rPr>
                      <w:rFonts w:hint="eastAsia" w:cs="Times New Roman"/>
                      <w:bCs/>
                      <w:color w:val="auto"/>
                      <w:kern w:val="0"/>
                      <w:sz w:val="21"/>
                      <w:szCs w:val="21"/>
                      <w:highlight w:val="none"/>
                      <w:lang w:val="en-US" w:eastAsia="zh-CN"/>
                    </w:rPr>
                    <w:t>热风炉房</w:t>
                  </w:r>
                  <w:r>
                    <w:rPr>
                      <w:rFonts w:hint="eastAsia" w:ascii="Times New Roman" w:hAnsi="Times New Roman" w:eastAsia="宋体" w:cs="Times New Roman"/>
                      <w:b w:val="0"/>
                      <w:bCs w:val="0"/>
                      <w:color w:val="auto"/>
                      <w:sz w:val="21"/>
                      <w:szCs w:val="21"/>
                      <w:highlight w:val="none"/>
                      <w:lang w:val="en-US" w:eastAsia="zh-CN"/>
                    </w:rPr>
                    <w:t>密闭并定期洒水抑尘，减少粉尘扩散</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厂界颗粒物排放浓度符合《大气污染物综合排放标准》（GB16297-1996）表2无组织排放浓度限值要求。</w:t>
                  </w:r>
                </w:p>
                <w:p w14:paraId="41732AC3">
                  <w:pPr>
                    <w:pStyle w:val="166"/>
                    <w:keepNext w:val="0"/>
                    <w:keepLines w:val="0"/>
                    <w:suppressLineNumbers w:val="0"/>
                    <w:spacing w:before="0" w:beforeAutospacing="0" w:after="0" w:afterAutospacing="0"/>
                    <w:ind w:left="0" w:right="0" w:firstLine="482"/>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2、水环境</w:t>
                  </w:r>
                </w:p>
                <w:p w14:paraId="565A6BD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eastAsia"/>
                      <w:color w:val="FF0000"/>
                      <w:kern w:val="0"/>
                      <w:sz w:val="21"/>
                      <w:szCs w:val="21"/>
                      <w:highlight w:val="none"/>
                    </w:rPr>
                    <w:t>本项目</w:t>
                  </w:r>
                  <w:r>
                    <w:rPr>
                      <w:rFonts w:hint="eastAsia"/>
                      <w:color w:val="FF0000"/>
                      <w:kern w:val="0"/>
                      <w:sz w:val="21"/>
                      <w:szCs w:val="21"/>
                      <w:highlight w:val="none"/>
                      <w:lang w:val="en-US" w:eastAsia="zh-CN"/>
                    </w:rPr>
                    <w:t>最近</w:t>
                  </w:r>
                  <w:r>
                    <w:rPr>
                      <w:rFonts w:hint="default"/>
                      <w:color w:val="FF0000"/>
                      <w:kern w:val="0"/>
                      <w:sz w:val="21"/>
                      <w:szCs w:val="21"/>
                      <w:highlight w:val="none"/>
                    </w:rPr>
                    <w:t>水体</w:t>
                  </w:r>
                  <w:r>
                    <w:rPr>
                      <w:rFonts w:hint="eastAsia"/>
                      <w:color w:val="FF0000"/>
                      <w:kern w:val="0"/>
                      <w:sz w:val="21"/>
                      <w:szCs w:val="21"/>
                      <w:highlight w:val="none"/>
                    </w:rPr>
                    <w:t>为</w:t>
                  </w:r>
                  <w:r>
                    <w:rPr>
                      <w:rFonts w:hint="eastAsia"/>
                      <w:color w:val="FF0000"/>
                      <w:kern w:val="0"/>
                      <w:sz w:val="21"/>
                      <w:szCs w:val="21"/>
                      <w:highlight w:val="none"/>
                      <w:lang w:val="en-US" w:eastAsia="zh-CN"/>
                    </w:rPr>
                    <w:t>穆棱河</w:t>
                  </w:r>
                  <w:r>
                    <w:rPr>
                      <w:rFonts w:hint="default" w:ascii="Times New Roman" w:hAnsi="Times New Roman" w:eastAsia="宋体" w:cs="Times New Roman"/>
                      <w:color w:val="FF0000"/>
                      <w:sz w:val="21"/>
                      <w:szCs w:val="21"/>
                      <w:highlight w:val="none"/>
                      <w:lang w:eastAsia="zh-CN"/>
                    </w:rPr>
                    <w:t>。根据</w:t>
                  </w:r>
                  <w:r>
                    <w:rPr>
                      <w:rFonts w:hint="eastAsia" w:ascii="Times New Roman" w:hAnsi="Times New Roman" w:eastAsia="宋体" w:cs="Times New Roman"/>
                      <w:color w:val="FF0000"/>
                      <w:sz w:val="21"/>
                      <w:szCs w:val="21"/>
                      <w:highlight w:val="none"/>
                      <w:lang w:val="en-US" w:eastAsia="zh-CN"/>
                    </w:rPr>
                    <w:t>《全国重要江河湖泊水功能区划（2011-2030）》，项目所在水功能区起始断面</w:t>
                  </w:r>
                  <w:r>
                    <w:rPr>
                      <w:rFonts w:hint="eastAsia" w:ascii="Times New Roman" w:hAnsi="Times New Roman" w:cs="Times New Roman"/>
                      <w:color w:val="FF0000"/>
                      <w:kern w:val="0"/>
                      <w:sz w:val="21"/>
                      <w:szCs w:val="21"/>
                      <w:highlight w:val="none"/>
                      <w:lang w:val="en-US" w:eastAsia="zh-CN"/>
                    </w:rPr>
                    <w:t>为</w:t>
                  </w:r>
                  <w:r>
                    <w:rPr>
                      <w:rFonts w:hint="eastAsia" w:ascii="Times New Roman" w:hAnsi="Times New Roman" w:eastAsia="宋体" w:cs="Times New Roman"/>
                      <w:color w:val="FF0000"/>
                      <w:sz w:val="21"/>
                      <w:szCs w:val="21"/>
                      <w:highlight w:val="none"/>
                      <w:lang w:val="en-US" w:eastAsia="zh-CN"/>
                    </w:rPr>
                    <w:t>鸡古路西100m，终止断面为凯北站，水质标准为Ⅲ类。根据鸡西市人民政府发布的《202</w:t>
                  </w:r>
                  <w:r>
                    <w:rPr>
                      <w:rFonts w:hint="eastAsia" w:cs="Times New Roman"/>
                      <w:color w:val="FF0000"/>
                      <w:sz w:val="21"/>
                      <w:szCs w:val="21"/>
                      <w:highlight w:val="none"/>
                      <w:lang w:val="en-US" w:eastAsia="zh-CN"/>
                    </w:rPr>
                    <w:t>5</w:t>
                  </w:r>
                  <w:r>
                    <w:rPr>
                      <w:rFonts w:hint="eastAsia" w:ascii="Times New Roman" w:hAnsi="Times New Roman" w:eastAsia="宋体" w:cs="Times New Roman"/>
                      <w:color w:val="FF0000"/>
                      <w:sz w:val="21"/>
                      <w:szCs w:val="21"/>
                      <w:highlight w:val="none"/>
                      <w:lang w:val="en-US" w:eastAsia="zh-CN"/>
                    </w:rPr>
                    <w:t>年1月地表水国控考核断面水质信息公开》穆棱河口内达到Ⅲ类水质类别标准</w:t>
                  </w:r>
                  <w:r>
                    <w:rPr>
                      <w:rFonts w:hint="eastAsia" w:cs="Times New Roman"/>
                      <w:color w:val="FF0000"/>
                      <w:sz w:val="21"/>
                      <w:szCs w:val="21"/>
                      <w:highlight w:val="none"/>
                      <w:lang w:val="en-US" w:eastAsia="zh-CN"/>
                    </w:rPr>
                    <w:t>，</w:t>
                  </w:r>
                  <w:r>
                    <w:rPr>
                      <w:rFonts w:hint="eastAsia" w:ascii="Times New Roman" w:hAnsi="Times New Roman" w:eastAsia="宋体" w:cs="Times New Roman"/>
                      <w:color w:val="FF0000"/>
                      <w:sz w:val="21"/>
                      <w:szCs w:val="21"/>
                      <w:highlight w:val="none"/>
                      <w:lang w:val="en-US" w:eastAsia="zh-CN"/>
                    </w:rPr>
                    <w:t>知一桥断面均达到</w:t>
                  </w:r>
                  <w:r>
                    <w:rPr>
                      <w:rFonts w:hint="eastAsia" w:cs="Times New Roman"/>
                      <w:color w:val="FF0000"/>
                      <w:sz w:val="21"/>
                      <w:szCs w:val="21"/>
                      <w:highlight w:val="none"/>
                      <w:lang w:val="en-US" w:eastAsia="zh-CN"/>
                    </w:rPr>
                    <w:t>Ⅱ</w:t>
                  </w:r>
                  <w:r>
                    <w:rPr>
                      <w:rFonts w:hint="eastAsia" w:ascii="Times New Roman" w:hAnsi="Times New Roman" w:eastAsia="宋体" w:cs="Times New Roman"/>
                      <w:color w:val="FF0000"/>
                      <w:sz w:val="21"/>
                      <w:szCs w:val="21"/>
                      <w:highlight w:val="none"/>
                      <w:lang w:val="en-US" w:eastAsia="zh-CN"/>
                    </w:rPr>
                    <w:t>类水质类别标准。</w:t>
                  </w:r>
                  <w:r>
                    <w:rPr>
                      <w:rFonts w:hint="eastAsia" w:ascii="Times New Roman" w:hAnsi="Times New Roman" w:eastAsia="宋体" w:cs="Times New Roman"/>
                      <w:color w:val="auto"/>
                      <w:sz w:val="21"/>
                      <w:szCs w:val="21"/>
                      <w:highlight w:val="none"/>
                      <w:lang w:eastAsia="zh-CN"/>
                    </w:rPr>
                    <w:t>本项目生产过程中无废水产生，生活污水排入防渗旱厕，定期清掏外运堆肥，无废水排放。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3、声环境</w:t>
                  </w:r>
                </w:p>
                <w:p w14:paraId="77547ED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eastAsia="宋体" w:asciiTheme="minorEastAsia" w:hAnsiTheme="minorEastAsia" w:cstheme="minorEastAsia"/>
                      <w:color w:val="auto"/>
                      <w:kern w:val="0"/>
                      <w:sz w:val="21"/>
                      <w:szCs w:val="21"/>
                      <w:highlight w:val="none"/>
                      <w:lang w:val="en-US" w:eastAsia="zh-CN" w:bidi="ar"/>
                    </w:rPr>
                  </w:pPr>
                  <w:r>
                    <w:rPr>
                      <w:rFonts w:hint="eastAsia" w:ascii="Times New Roman" w:hAnsi="Times New Roman" w:eastAsia="宋体" w:cs="Times New Roman"/>
                      <w:color w:val="FF0000"/>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color w:val="FF0000"/>
                      <w:sz w:val="21"/>
                      <w:szCs w:val="21"/>
                      <w:highlight w:val="none"/>
                      <w:lang w:val="en-US" w:eastAsia="zh-CN"/>
                    </w:rPr>
                    <w:t>。</w:t>
                  </w:r>
                  <w:r>
                    <w:rPr>
                      <w:rFonts w:hint="eastAsia"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厂界噪声满足</w:t>
                  </w:r>
                  <w:r>
                    <w:rPr>
                      <w:rFonts w:hint="eastAsia" w:cs="Times New Roman"/>
                      <w:color w:val="auto"/>
                      <w:kern w:val="0"/>
                      <w:sz w:val="21"/>
                      <w:szCs w:val="21"/>
                      <w:highlight w:val="none"/>
                      <w:lang w:eastAsia="zh-CN"/>
                    </w:rPr>
                    <w:t>《工业企业厂界环境噪声排放标准》(GB12348-2008)表1中</w:t>
                  </w:r>
                  <w:r>
                    <w:rPr>
                      <w:rFonts w:hint="eastAsia" w:cs="Times New Roman"/>
                      <w:color w:val="auto"/>
                      <w:kern w:val="0"/>
                      <w:sz w:val="21"/>
                      <w:szCs w:val="21"/>
                      <w:highlight w:val="none"/>
                      <w:lang w:val="en-US" w:eastAsia="zh-CN"/>
                    </w:rPr>
                    <w:t>2</w:t>
                  </w:r>
                  <w:r>
                    <w:rPr>
                      <w:rFonts w:hint="eastAsia" w:cs="Times New Roman"/>
                      <w:color w:val="auto"/>
                      <w:kern w:val="0"/>
                      <w:sz w:val="21"/>
                      <w:szCs w:val="21"/>
                      <w:highlight w:val="none"/>
                      <w:lang w:eastAsia="zh-CN"/>
                    </w:rPr>
                    <w:t>类标准。</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kern w:val="0"/>
                      <w:sz w:val="21"/>
                      <w:szCs w:val="21"/>
                      <w:highlight w:val="none"/>
                    </w:rPr>
                    <w:t>本项目运营期各类污染物经环境保护措施治理后均可达标排放，对区域环境造成的不利影响较小，不会改变区域环境质量现状，因此，</w:t>
                  </w:r>
                  <w:r>
                    <w:rPr>
                      <w:rFonts w:hint="eastAsia"/>
                      <w:color w:val="auto"/>
                      <w:kern w:val="0"/>
                      <w:sz w:val="21"/>
                      <w:szCs w:val="21"/>
                      <w:highlight w:val="none"/>
                      <w:lang w:val="en-US" w:eastAsia="zh-CN"/>
                    </w:rPr>
                    <w:t>本项目</w:t>
                  </w:r>
                  <w:r>
                    <w:rPr>
                      <w:rFonts w:hint="default"/>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51183E3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color w:val="auto"/>
                      <w:sz w:val="21"/>
                      <w:szCs w:val="21"/>
                      <w:highlight w:val="none"/>
                    </w:rPr>
                  </w:pPr>
                  <w:r>
                    <w:rPr>
                      <w:rFonts w:hint="eastAsia"/>
                      <w:color w:val="auto"/>
                      <w:kern w:val="0"/>
                      <w:sz w:val="21"/>
                      <w:szCs w:val="21"/>
                      <w:highlight w:val="none"/>
                      <w:lang w:val="en-US" w:eastAsia="zh-CN"/>
                    </w:rPr>
                    <w:t>本项目生产不用水，员工生活用水为平阳村自来水供应</w:t>
                  </w:r>
                  <w:r>
                    <w:rPr>
                      <w:rFonts w:hint="default"/>
                      <w:color w:val="auto"/>
                      <w:kern w:val="0"/>
                      <w:sz w:val="21"/>
                      <w:szCs w:val="21"/>
                      <w:highlight w:val="none"/>
                    </w:rPr>
                    <w:t>、供电电源为当地供电电网，</w:t>
                  </w:r>
                  <w:r>
                    <w:rPr>
                      <w:rFonts w:hint="eastAsia"/>
                      <w:color w:val="auto"/>
                      <w:kern w:val="0"/>
                      <w:sz w:val="21"/>
                      <w:szCs w:val="21"/>
                      <w:highlight w:val="none"/>
                      <w:lang w:eastAsia="zh-CN"/>
                    </w:rPr>
                    <w:t>热风炉本次改造后使用生物质成型燃料属</w:t>
                  </w:r>
                  <w:r>
                    <w:rPr>
                      <w:rFonts w:hint="eastAsia" w:ascii="Times New Roman" w:hAnsi="Times New Roman" w:eastAsia="宋体" w:cs="Times New Roman"/>
                      <w:b w:val="0"/>
                      <w:bCs w:val="0"/>
                      <w:color w:val="auto"/>
                      <w:kern w:val="2"/>
                      <w:sz w:val="21"/>
                      <w:szCs w:val="21"/>
                      <w:highlight w:val="none"/>
                      <w:lang w:val="en-US" w:eastAsia="zh-CN" w:bidi="ar-SA"/>
                    </w:rPr>
                    <w:t>洁净低碳的可再生能源，</w:t>
                  </w:r>
                  <w:r>
                    <w:rPr>
                      <w:rFonts w:hint="default"/>
                      <w:color w:val="auto"/>
                      <w:kern w:val="0"/>
                      <w:sz w:val="21"/>
                      <w:szCs w:val="21"/>
                      <w:highlight w:val="none"/>
                    </w:rPr>
                    <w:t>资源消耗量相对于区域资源利用总量较小，</w:t>
                  </w:r>
                  <w:r>
                    <w:rPr>
                      <w:rFonts w:hint="eastAsia"/>
                      <w:color w:val="auto"/>
                      <w:kern w:val="0"/>
                      <w:sz w:val="21"/>
                      <w:szCs w:val="21"/>
                      <w:highlight w:val="none"/>
                      <w:lang w:val="en-US" w:eastAsia="zh-CN"/>
                    </w:rPr>
                    <w:t>本项目</w:t>
                  </w:r>
                  <w:r>
                    <w:rPr>
                      <w:rFonts w:hint="default"/>
                      <w:color w:val="auto"/>
                      <w:kern w:val="0"/>
                      <w:sz w:val="21"/>
                      <w:szCs w:val="21"/>
                      <w:highlight w:val="none"/>
                    </w:rPr>
                    <w:t>符合资源利用上线要求。</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环境管控单元名称</w:t>
                  </w:r>
                </w:p>
              </w:tc>
              <w:tc>
                <w:tcPr>
                  <w:tcW w:w="4165" w:type="pct"/>
                  <w:gridSpan w:val="3"/>
                  <w:tcBorders>
                    <w:top w:val="single" w:color="auto" w:sz="4" w:space="0"/>
                    <w:left w:val="single" w:color="auto" w:sz="4" w:space="0"/>
                    <w:bottom w:val="single" w:color="auto" w:sz="4" w:space="0"/>
                  </w:tcBorders>
                  <w:noWrap w:val="0"/>
                  <w:vAlign w:val="center"/>
                </w:tcPr>
                <w:p w14:paraId="376FA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鸡东县城镇空间</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noWrap w:val="0"/>
                  <w:vAlign w:val="center"/>
                </w:tcPr>
                <w:p w14:paraId="59DB8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ZH23032120002</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 （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3.大气环境布局敏感重点管控区同时执行本 （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本项目为粮食烘干项目，不属于“两高”行业产能，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gridSpan w:val="2"/>
                  <w:tcBorders>
                    <w:top w:val="single" w:color="auto" w:sz="4" w:space="0"/>
                    <w:left w:val="single" w:color="auto" w:sz="4" w:space="0"/>
                    <w:bottom w:val="single" w:color="auto" w:sz="4" w:space="0"/>
                    <w:right w:val="single" w:color="auto" w:sz="4" w:space="0"/>
                  </w:tcBorders>
                  <w:noWrap w:val="0"/>
                  <w:vAlign w:val="center"/>
                </w:tcPr>
                <w:p w14:paraId="5A0DE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1.同时执行：加快65t</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h 以上燃煤锅炉（含电力）超低排放改造。 2.水环境农业污染重点管控区同时执行 （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 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 3.大气环境布局敏感重点管控区同时执行（1）对以煤、石焦油、渣油、重油等为燃料的锅炉和工业炉窑，加快使用清洁低碳能源以及工厂余热、电力热力等进行替代。 （2）到2025年，在用 65 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本项目为烘干塔建设项目，燃料为生物质，热风炉烟气经布袋除尘器处理后达标排放，依据《产业结构调整指导目录（2024年本》不属于淘汰类燃煤热风炉。</w:t>
                  </w:r>
                  <w:r>
                    <w:rPr>
                      <w:rFonts w:hint="eastAsia" w:cs="Times New Roman"/>
                      <w:color w:val="auto"/>
                      <w:sz w:val="21"/>
                      <w:szCs w:val="21"/>
                      <w:highlight w:val="none"/>
                      <w:lang w:val="en-US" w:eastAsia="zh-CN"/>
                    </w:rPr>
                    <w:t>本项目无生产废水，员工生活污水排入防渗旱厕，定期清掏外运堆肥，不外排。</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防控</w:t>
                  </w:r>
                </w:p>
              </w:tc>
              <w:tc>
                <w:tcPr>
                  <w:tcW w:w="3065"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2C898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 xml:space="preserve">1.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 2.大气环境布局敏感重点管控区同时执行本禁止在居民区、学校、医疗和养老机构等周边新建有色金属冶炼、焦化等行业企业。 </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本项目为粮食烘干项目，不属于“有色金属冶炼、焦化”等行业企业，</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6C869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3770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资源利用</w:t>
                  </w:r>
                </w:p>
                <w:p w14:paraId="79D54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效率要求</w:t>
                  </w:r>
                </w:p>
              </w:tc>
              <w:tc>
                <w:tcPr>
                  <w:tcW w:w="3065"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0C0A4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1.推进污水再生利用设施建设。 2.公共建筑必须采用节水器具，限期淘汰公共建筑中不符合节水标准的水嘴、便器水箱等生活用水器具。</w:t>
                  </w:r>
                </w:p>
              </w:tc>
              <w:tc>
                <w:tcPr>
                  <w:tcW w:w="1099" w:type="pct"/>
                  <w:tcBorders>
                    <w:top w:val="single" w:color="auto" w:sz="4" w:space="0"/>
                    <w:left w:val="single" w:color="auto" w:sz="4" w:space="0"/>
                    <w:bottom w:val="single" w:color="auto" w:sz="4" w:space="0"/>
                  </w:tcBorders>
                  <w:noWrap w:val="0"/>
                  <w:vAlign w:val="center"/>
                </w:tcPr>
                <w:p w14:paraId="52F80324">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本项目生产不用水，仅为生活用水。</w:t>
                  </w:r>
                </w:p>
              </w:tc>
            </w:tr>
            <w:tr w14:paraId="468A9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6BD58CC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环境管控单元名称</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07214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鸡东县水环境农业污染 </w:t>
                  </w:r>
                </w:p>
                <w:p w14:paraId="70B24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重点管控区</w:t>
                  </w:r>
                </w:p>
              </w:tc>
            </w:tr>
            <w:tr w14:paraId="64809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29DF685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12130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ZH23032120004</w:t>
                  </w:r>
                </w:p>
              </w:tc>
            </w:tr>
            <w:tr w14:paraId="6A4F5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0612DB9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129C33AE">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35E51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36F3EDA3">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12F748B9">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项目符合性分析</w:t>
                  </w:r>
                </w:p>
              </w:tc>
            </w:tr>
            <w:tr w14:paraId="21BFB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2486D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空间布局约束</w:t>
                  </w:r>
                </w:p>
              </w:tc>
              <w:tc>
                <w:tcPr>
                  <w:tcW w:w="2925" w:type="pct"/>
                  <w:tcBorders>
                    <w:top w:val="single" w:color="auto" w:sz="4" w:space="0"/>
                    <w:bottom w:val="single" w:color="auto" w:sz="4" w:space="0"/>
                    <w:right w:val="single" w:color="auto" w:sz="4" w:space="0"/>
                  </w:tcBorders>
                  <w:shd w:val="clear" w:color="auto" w:fill="auto"/>
                  <w:noWrap w:val="0"/>
                  <w:vAlign w:val="center"/>
                </w:tcPr>
                <w:p w14:paraId="604398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shd w:val="clear" w:color="auto" w:fill="auto"/>
                  <w:noWrap w:val="0"/>
                  <w:vAlign w:val="center"/>
                </w:tcPr>
                <w:p w14:paraId="47216FCE">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405B3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0207E3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污染物排放管控</w:t>
                  </w:r>
                </w:p>
              </w:tc>
              <w:tc>
                <w:tcPr>
                  <w:tcW w:w="2925" w:type="pct"/>
                  <w:tcBorders>
                    <w:top w:val="single" w:color="auto" w:sz="4" w:space="0"/>
                    <w:bottom w:val="single" w:color="auto" w:sz="4" w:space="0"/>
                    <w:right w:val="single" w:color="auto" w:sz="4" w:space="0"/>
                  </w:tcBorders>
                  <w:shd w:val="clear" w:color="auto" w:fill="auto"/>
                  <w:noWrap w:val="0"/>
                  <w:vAlign w:val="center"/>
                </w:tcPr>
                <w:p w14:paraId="177590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执行本清单（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4）大气环境布局敏感重点管控区同时执行1.对以煤、石焦油、渣油、重油等为燃料的锅炉和工业炉窑，加快使用清洁低碳能源以及工厂余热、电力热力等进行替代。2.到 2025年，在用 65 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shd w:val="clear" w:color="auto" w:fill="auto"/>
                  <w:noWrap w:val="0"/>
                  <w:vAlign w:val="center"/>
                </w:tcPr>
                <w:p w14:paraId="0E8110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本项目为烘干塔建设项目，燃料为生物质，热风炉烟气经布袋除尘器处理后达标排放，依据《产业结构调整指导目录（2024年本》不属于淘汰类燃煤热风炉。</w:t>
                  </w:r>
                  <w:r>
                    <w:rPr>
                      <w:rFonts w:hint="eastAsia" w:cs="Times New Roman"/>
                      <w:color w:val="auto"/>
                      <w:sz w:val="21"/>
                      <w:szCs w:val="21"/>
                      <w:highlight w:val="none"/>
                      <w:lang w:val="en-US" w:eastAsia="zh-CN"/>
                    </w:rPr>
                    <w:t>本项目无生产废水，员工生活污水排入防渗旱厕，定期清掏外运堆肥，不外排。</w:t>
                  </w:r>
                </w:p>
              </w:tc>
            </w:tr>
            <w:tr w14:paraId="19897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1D4B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环境风险</w:t>
                  </w:r>
                </w:p>
                <w:p w14:paraId="0841F3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防控</w:t>
                  </w:r>
                </w:p>
              </w:tc>
              <w:tc>
                <w:tcPr>
                  <w:tcW w:w="2925" w:type="pct"/>
                  <w:tcBorders>
                    <w:top w:val="single" w:color="auto" w:sz="4" w:space="0"/>
                    <w:bottom w:val="single" w:color="auto" w:sz="4" w:space="0"/>
                    <w:right w:val="single" w:color="auto" w:sz="4" w:space="0"/>
                  </w:tcBorders>
                  <w:shd w:val="clear" w:color="auto" w:fill="auto"/>
                  <w:noWrap w:val="0"/>
                  <w:vAlign w:val="center"/>
                </w:tcPr>
                <w:p w14:paraId="2FFBA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3.大气环境布局敏感重点管控区同时执行本 （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shd w:val="clear" w:color="auto" w:fill="auto"/>
                  <w:noWrap w:val="0"/>
                  <w:vAlign w:val="center"/>
                </w:tcPr>
                <w:p w14:paraId="3A691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环境管控区名称</w:t>
                  </w:r>
                </w:p>
              </w:tc>
              <w:tc>
                <w:tcPr>
                  <w:tcW w:w="402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鸡东县地下水环境一般管控区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环境管控区编码</w:t>
                  </w:r>
                </w:p>
              </w:tc>
              <w:tc>
                <w:tcPr>
                  <w:tcW w:w="402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YS2303216310001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管控区类型</w:t>
                  </w:r>
                </w:p>
              </w:tc>
              <w:tc>
                <w:tcPr>
                  <w:tcW w:w="402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1C13019E">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环境风险管控</w:t>
                  </w:r>
                </w:p>
                <w:p w14:paraId="744A47F2">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21"/>
                      <w:szCs w:val="21"/>
                      <w:lang w:val="en-US" w:eastAsia="zh-CN" w:bidi="ar"/>
                    </w:rPr>
                    <w:t>1.土壤污染重点监管单位应当履行下列义务：（一）严格控</w:t>
                  </w:r>
                </w:p>
                <w:p w14:paraId="195DC716">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21"/>
                      <w:szCs w:val="21"/>
                      <w:lang w:val="en-US" w:eastAsia="zh-CN" w:bidi="ar"/>
                    </w:rPr>
                    <w:t>制有毒有害物质排放，并按年度向生态环境主管部门报告排放情况；（二）建立土壤污染隐患排查制度，保证持续有效防止有毒有害物质渗漏、流失、扬散；（三）制定、实施自</w:t>
                  </w:r>
                </w:p>
                <w:p w14:paraId="2646368E">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21"/>
                      <w:szCs w:val="21"/>
                      <w:lang w:val="en-US" w:eastAsia="zh-CN" w:bidi="ar"/>
                    </w:rPr>
                    <w:t>行监测方案，并将监测数据报生态环境主管部门。 2.重点单位新、改、扩建项目地下储罐储存有毒有害物质的，应当在项目投入生产或者使用之前，将地下储罐的信息报所在地设</w:t>
                  </w:r>
                </w:p>
                <w:p w14:paraId="7DC46F8E">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21"/>
                      <w:szCs w:val="21"/>
                      <w:lang w:val="en-US" w:eastAsia="zh-CN" w:bidi="ar"/>
                    </w:rPr>
                    <w:t>区的市级生态环境主管部门备案。 3.重点单位应当建立土壤和地下水污染隐患排查治理制度，定期对重点区域、重点设施开展隐患排查。发现污染隐患的，应当制定整改方案，及</w:t>
                  </w:r>
                </w:p>
                <w:p w14:paraId="49D50CE1">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21"/>
                      <w:szCs w:val="21"/>
                      <w:lang w:val="en-US" w:eastAsia="zh-CN" w:bidi="ar"/>
                    </w:rPr>
                    <w:t>时采取技术、管理措施消除隐患。隐患排查、治理情况应当如实记录并建立档案。重点区域包括涉及有毒有害物质的生产区，原材料及固体废物的堆存区、储放区和转运区等；重</w:t>
                  </w:r>
                </w:p>
                <w:p w14:paraId="65DB03B8">
                  <w:pPr>
                    <w:keepNext w:val="0"/>
                    <w:keepLines w:val="0"/>
                    <w:widowControl/>
                    <w:suppressLineNumbers w:val="0"/>
                    <w:spacing w:before="0" w:beforeAutospacing="0" w:after="0" w:afterAutospacing="0"/>
                    <w:ind w:left="0" w:right="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3）“一说明”</w:t>
            </w:r>
          </w:p>
          <w:p w14:paraId="15E403DE">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由上述分析可知，本项目的建设符合《</w:t>
            </w:r>
            <w:r>
              <w:rPr>
                <w:rFonts w:hint="eastAsia" w:cs="Times New Roman"/>
                <w:color w:val="auto"/>
                <w:kern w:val="0"/>
                <w:sz w:val="21"/>
                <w:szCs w:val="21"/>
                <w:highlight w:val="none"/>
                <w:lang w:eastAsia="zh-CN" w:bidi="ar"/>
              </w:rPr>
              <w:t>鸡东县东良粮库有限公司建设项目生态环境分区管控分析报告</w:t>
            </w:r>
            <w:r>
              <w:rPr>
                <w:rFonts w:hint="eastAsia" w:ascii="宋体" w:hAnsi="宋体" w:eastAsia="宋体" w:cs="宋体"/>
                <w:color w:val="auto"/>
                <w:kern w:val="0"/>
                <w:sz w:val="21"/>
                <w:szCs w:val="21"/>
                <w:lang w:val="en-US" w:eastAsia="zh-CN" w:bidi="ar-SA"/>
              </w:rPr>
              <w:t>》中的要求。</w:t>
            </w:r>
          </w:p>
          <w:p w14:paraId="7921DFF0">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根据黑龙江省生态环境分区管控数据应用平台查询的《生态环境分区管控分析报告》（分析报告见附件）：</w:t>
            </w:r>
          </w:p>
          <w:p w14:paraId="6E55E07A">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本项目与生态保护红线交集面积为0.00平方公里，占项目占地面积的0.00%。</w:t>
            </w:r>
          </w:p>
          <w:p w14:paraId="44C6DA80">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与自然保护地整合优化方案数据交集面积为0.00平方公里，占项目占地面积的0.00%。保护地涉及等类型。与自然保护地(现状管理数据)交集面积为0.00平方公里，占项目占地面积的0.00%。保护地涉及等类型。</w:t>
            </w:r>
          </w:p>
          <w:p w14:paraId="31366073">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与饮用水水源保护区交集面积为0.00平方公里，占项目占地面积的0.00%。与国家级水产种质资源保护区交集面积为0.00平方公里，占项目占地面积的0.00%。</w:t>
            </w:r>
          </w:p>
          <w:p w14:paraId="6EE3A27A">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与环境管控单元优先保护单元交集面积为0.00平方公里，占项目占地面积的0.00%；与重点管控单元交集面积为0.11平方公里，占项目占地面积的100.00%；一般管控单元交集面积为0.00平方公里，占项目占地面积的0.00%。</w:t>
            </w:r>
          </w:p>
          <w:p w14:paraId="30BB1DE7">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color w:val="auto"/>
                <w:kern w:val="0"/>
                <w:sz w:val="21"/>
                <w:szCs w:val="21"/>
                <w:highlight w:val="none"/>
              </w:rPr>
            </w:pPr>
            <w:r>
              <w:rPr>
                <w:rFonts w:hint="eastAsia" w:ascii="宋体" w:hAnsi="宋体" w:eastAsia="宋体" w:cs="宋体"/>
                <w:color w:val="auto"/>
                <w:kern w:val="0"/>
                <w:sz w:val="21"/>
                <w:szCs w:val="21"/>
                <w:lang w:val="en-US" w:eastAsia="zh-CN" w:bidi="ar-SA"/>
              </w:rPr>
              <w:t>与地下水环境优先保护区交集面积为0.00平方公里，占项目占地面积的0.00%；与地下水环境重点管控区交集面积为0.00 平方公里，占项目占地面积的0.00%，与地下水环境一般管控区交集面积为0.11平方公里，占项目占地面积的100.00%。</w:t>
            </w:r>
          </w:p>
          <w:p w14:paraId="7C2EBF34">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eastAsia"/>
                <w:b/>
                <w:bCs/>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14:paraId="6D426BE8">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eastAsia" w:eastAsia="宋体" w:cs="Times New Roman"/>
                <w:color w:val="auto"/>
                <w:sz w:val="21"/>
                <w:szCs w:val="21"/>
                <w:highlight w:val="none"/>
                <w:u w:val="none"/>
                <w:lang w:val="en-US" w:eastAsia="zh-CN"/>
              </w:rPr>
            </w:pPr>
            <w:r>
              <w:rPr>
                <w:rFonts w:hint="eastAsia"/>
                <w:color w:val="auto"/>
                <w:kern w:val="0"/>
                <w:szCs w:val="21"/>
                <w:highlight w:val="none"/>
              </w:rPr>
              <w:t>项目</w:t>
            </w:r>
            <w:r>
              <w:rPr>
                <w:rFonts w:hint="default"/>
                <w:color w:val="auto"/>
                <w:kern w:val="0"/>
                <w:szCs w:val="21"/>
                <w:highlight w:val="none"/>
              </w:rPr>
              <w:t>位于</w:t>
            </w:r>
            <w:r>
              <w:rPr>
                <w:rFonts w:hint="eastAsia"/>
                <w:color w:val="auto"/>
                <w:highlight w:val="none"/>
                <w:lang w:val="en-US" w:eastAsia="zh-CN"/>
              </w:rPr>
              <w:t>黑龙江省鸡西市鸡东县平阳镇平阳村，用地性质为工业用地，</w:t>
            </w:r>
            <w:r>
              <w:rPr>
                <w:rFonts w:hint="eastAsia"/>
                <w:snapToGrid w:val="0"/>
                <w:color w:val="auto"/>
                <w:highlight w:val="none"/>
              </w:rPr>
              <w:t>符合土地利用规划</w:t>
            </w:r>
            <w:r>
              <w:rPr>
                <w:rFonts w:hint="default"/>
                <w:color w:val="auto"/>
                <w:kern w:val="0"/>
                <w:szCs w:val="21"/>
                <w:highlight w:val="none"/>
              </w:rPr>
              <w:t>，</w:t>
            </w:r>
            <w:r>
              <w:rPr>
                <w:rFonts w:hint="eastAsia"/>
                <w:color w:val="auto"/>
                <w:kern w:val="0"/>
                <w:szCs w:val="21"/>
                <w:highlight w:val="none"/>
                <w:lang w:val="en-US" w:eastAsia="zh-CN"/>
              </w:rPr>
              <w:t>厂区北</w:t>
            </w:r>
            <w:r>
              <w:rPr>
                <w:rFonts w:hint="default"/>
                <w:color w:val="auto"/>
                <w:kern w:val="0"/>
                <w:szCs w:val="21"/>
                <w:highlight w:val="none"/>
              </w:rPr>
              <w:t>侧</w:t>
            </w:r>
            <w:r>
              <w:rPr>
                <w:rFonts w:hint="eastAsia"/>
                <w:color w:val="auto"/>
                <w:kern w:val="0"/>
                <w:szCs w:val="21"/>
                <w:highlight w:val="none"/>
                <w:lang w:eastAsia="zh-CN"/>
              </w:rPr>
              <w:t>为农田，西侧、</w:t>
            </w:r>
            <w:r>
              <w:rPr>
                <w:rFonts w:hint="eastAsia"/>
                <w:color w:val="auto"/>
                <w:kern w:val="0"/>
                <w:szCs w:val="21"/>
                <w:highlight w:val="none"/>
                <w:lang w:val="en-US" w:eastAsia="zh-CN"/>
              </w:rPr>
              <w:t>东</w:t>
            </w:r>
            <w:r>
              <w:rPr>
                <w:rFonts w:hint="eastAsia"/>
                <w:color w:val="auto"/>
                <w:kern w:val="0"/>
                <w:szCs w:val="21"/>
                <w:highlight w:val="none"/>
                <w:lang w:eastAsia="zh-CN"/>
              </w:rPr>
              <w:t>侧为</w:t>
            </w:r>
            <w:r>
              <w:rPr>
                <w:rFonts w:hint="eastAsia"/>
                <w:color w:val="auto"/>
                <w:kern w:val="0"/>
                <w:szCs w:val="21"/>
                <w:highlight w:val="none"/>
                <w:lang w:val="en-US" w:eastAsia="zh-CN"/>
              </w:rPr>
              <w:t>平阳村居民区</w:t>
            </w:r>
            <w:r>
              <w:rPr>
                <w:rFonts w:hint="eastAsia"/>
                <w:color w:val="auto"/>
                <w:kern w:val="0"/>
                <w:szCs w:val="21"/>
                <w:highlight w:val="none"/>
                <w:lang w:eastAsia="zh-CN"/>
              </w:rPr>
              <w:t>，</w:t>
            </w:r>
            <w:r>
              <w:rPr>
                <w:rFonts w:hint="eastAsia"/>
                <w:color w:val="auto"/>
                <w:kern w:val="0"/>
                <w:szCs w:val="21"/>
                <w:highlight w:val="none"/>
                <w:lang w:val="en-US" w:eastAsia="zh-CN"/>
              </w:rPr>
              <w:t>南侧为114县道，隔道为平阳村居民区。</w:t>
            </w:r>
            <w:r>
              <w:rPr>
                <w:rFonts w:hint="default"/>
                <w:color w:val="auto"/>
                <w:highlight w:val="none"/>
              </w:rPr>
              <w:t>本项目不涉及生态环境保护目标</w:t>
            </w:r>
            <w:r>
              <w:rPr>
                <w:rFonts w:hint="eastAsia"/>
                <w:color w:val="auto"/>
                <w:highlight w:val="none"/>
                <w:lang w:eastAsia="zh-CN"/>
              </w:rPr>
              <w:t>。</w:t>
            </w:r>
          </w:p>
          <w:p w14:paraId="628181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eastAsia"/>
                <w:bCs/>
                <w:color w:val="auto"/>
                <w:szCs w:val="21"/>
                <w:lang w:eastAsia="zh-CN"/>
              </w:rPr>
              <w:t>生活污水排入防渗旱厕，定期清掏外运堆肥，不外排</w:t>
            </w:r>
            <w:r>
              <w:rPr>
                <w:rFonts w:hint="eastAsia"/>
                <w:bCs/>
                <w:color w:val="auto"/>
                <w:szCs w:val="21"/>
              </w:rPr>
              <w:t>。</w:t>
            </w:r>
            <w:r>
              <w:rPr>
                <w:rFonts w:hint="eastAsia" w:ascii="Times New Roman" w:cs="Times New Roman" w:hAnsiTheme="minorEastAsia" w:eastAsiaTheme="minorEastAsia"/>
                <w:color w:val="auto"/>
                <w:kern w:val="0"/>
                <w:sz w:val="21"/>
                <w:szCs w:val="21"/>
                <w:highlight w:val="none"/>
                <w:lang w:val="en-US" w:eastAsia="zh-CN" w:bidi="ar-SA"/>
              </w:rPr>
              <w:t>通过厂内设置相应的大气污染防治措施及噪声污染防治措施，可使大气污染物及噪声达标排放，不会对</w:t>
            </w:r>
            <w:r>
              <w:rPr>
                <w:rFonts w:hint="eastAsia" w:cs="Times New Roman" w:hAnsiTheme="minorEastAsia" w:eastAsiaTheme="minorEastAsia"/>
                <w:color w:val="auto"/>
                <w:kern w:val="0"/>
                <w:sz w:val="21"/>
                <w:szCs w:val="21"/>
                <w:highlight w:val="none"/>
                <w:lang w:val="en-US" w:eastAsia="zh-CN" w:bidi="ar-SA"/>
              </w:rPr>
              <w:t>周边环境</w:t>
            </w:r>
            <w:r>
              <w:rPr>
                <w:rFonts w:hint="eastAsia" w:ascii="Times New Roman" w:cs="Times New Roman" w:hAnsiTheme="minorEastAsia" w:eastAsiaTheme="minorEastAsia"/>
                <w:color w:val="auto"/>
                <w:kern w:val="0"/>
                <w:sz w:val="21"/>
                <w:szCs w:val="21"/>
                <w:highlight w:val="none"/>
                <w:lang w:val="en-US" w:eastAsia="zh-CN" w:bidi="ar-SA"/>
              </w:rPr>
              <w:t>造成明显影响。</w:t>
            </w:r>
            <w:r>
              <w:rPr>
                <w:rFonts w:hint="eastAsia" w:cs="Times New Roman" w:eastAsiaTheme="minorEastAsia"/>
                <w:color w:val="auto"/>
                <w:sz w:val="21"/>
                <w:szCs w:val="21"/>
                <w:highlight w:val="none"/>
                <w:u w:val="none"/>
                <w:lang w:val="en-US" w:eastAsia="zh-CN"/>
              </w:rPr>
              <w:t>固体废物合理处置。</w:t>
            </w:r>
          </w:p>
          <w:p w14:paraId="5C4DD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
                <w:bCs/>
                <w:color w:val="auto"/>
                <w:kern w:val="0"/>
                <w:szCs w:val="21"/>
                <w:highlight w:val="none"/>
                <w:lang w:val="en-US" w:eastAsia="zh-CN"/>
              </w:rPr>
            </w:pPr>
            <w:r>
              <w:rPr>
                <w:rFonts w:hint="eastAsia"/>
                <w:color w:val="auto"/>
                <w:kern w:val="0"/>
                <w:szCs w:val="21"/>
                <w:highlight w:val="none"/>
                <w:lang w:val="en-US" w:eastAsia="zh-CN"/>
              </w:rPr>
              <w:t>本项目</w:t>
            </w:r>
            <w:r>
              <w:rPr>
                <w:rFonts w:hint="eastAsia"/>
                <w:color w:val="auto"/>
                <w:kern w:val="0"/>
                <w:szCs w:val="21"/>
                <w:highlight w:val="none"/>
              </w:rPr>
              <w:t>厂区地理位置交通便利，基础设施齐全，与周边环境协调。项目不在风景名胜区、自然保护区、水源保护区及其他需要特别保护的区域内，没有明显的环境制约因素，项目选址合理。</w:t>
            </w:r>
          </w:p>
          <w:p w14:paraId="49F27D12">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14:paraId="3E2C07F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textAlignment w:val="auto"/>
              <w:rPr>
                <w:rFonts w:hint="eastAsia" w:eastAsia="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根据</w:t>
            </w:r>
            <w:r>
              <w:rPr>
                <w:rFonts w:hint="eastAsia" w:ascii="宋体" w:hAnsi="宋体" w:eastAsia="宋体" w:cs="宋体"/>
                <w:color w:val="auto"/>
                <w:kern w:val="0"/>
                <w:sz w:val="21"/>
                <w:szCs w:val="21"/>
                <w:highlight w:val="none"/>
              </w:rPr>
              <w:t>《产业结构调整指导目录（</w:t>
            </w:r>
            <w:r>
              <w:rPr>
                <w:rFonts w:hint="default" w:ascii="Times New Roman" w:hAnsi="Times New Roman" w:eastAsia="宋体" w:cs="Times New Roman"/>
                <w:color w:val="auto"/>
                <w:kern w:val="0"/>
                <w:sz w:val="21"/>
                <w:szCs w:val="21"/>
                <w:highlight w:val="none"/>
                <w:lang w:val="en-US" w:eastAsia="zh-CN"/>
              </w:rPr>
              <w:t>2024</w:t>
            </w:r>
            <w:r>
              <w:rPr>
                <w:rFonts w:hint="eastAsia" w:ascii="宋体" w:hAnsi="宋体" w:eastAsia="宋体" w:cs="宋体"/>
                <w:color w:val="auto"/>
                <w:kern w:val="0"/>
                <w:sz w:val="21"/>
                <w:szCs w:val="21"/>
                <w:highlight w:val="none"/>
                <w:lang w:val="en-US" w:eastAsia="zh-CN"/>
              </w:rPr>
              <w:t>年本</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属于鼓励类中第一大类农林业第</w:t>
            </w:r>
            <w:r>
              <w:rPr>
                <w:rFonts w:hint="eastAsia"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lang w:val="en-US" w:eastAsia="zh-CN"/>
              </w:rPr>
              <w:t>条“农林牧渔产品储运、保鲜、加工与综合利用”。</w:t>
            </w:r>
            <w:r>
              <w:rPr>
                <w:rFonts w:hint="default" w:ascii="Times New Roman" w:hAnsi="Times New Roman" w:cs="Times New Roman"/>
                <w:color w:val="auto"/>
                <w:kern w:val="0"/>
                <w:sz w:val="21"/>
                <w:szCs w:val="21"/>
                <w:highlight w:val="none"/>
                <w:lang w:val="en-US" w:eastAsia="zh-CN"/>
              </w:rPr>
              <w:t>因此</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eastAsia="宋体" w:cs="Times New Roman"/>
                <w:color w:val="auto"/>
                <w:sz w:val="21"/>
                <w:szCs w:val="21"/>
                <w:highlight w:val="none"/>
              </w:rPr>
              <w:t>符合国家产业政策。</w:t>
            </w:r>
          </w:p>
          <w:p w14:paraId="23C9A79A">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contextualSpacing/>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rPr>
              <w:t>4、</w:t>
            </w:r>
            <w:r>
              <w:rPr>
                <w:rFonts w:hint="default" w:ascii="Times New Roman" w:hAnsi="Times New Roman" w:eastAsia="宋体" w:cs="Times New Roman"/>
                <w:b/>
                <w:color w:val="auto"/>
                <w:kern w:val="0"/>
                <w:sz w:val="21"/>
                <w:szCs w:val="21"/>
                <w:highlight w:val="none"/>
              </w:rPr>
              <w:t>与《黑龙江省工业炉窑大气污染综合治理方案》（黑环发[2019]144号）符合性分析</w:t>
            </w:r>
          </w:p>
          <w:p w14:paraId="1CB41277">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contextualSpacing/>
              <w:textAlignment w:val="auto"/>
              <w:rPr>
                <w:rFonts w:hint="eastAsia"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rPr>
              <w:t>根据《黑龙江省工业炉窑大气污染综合治理方案》（黑环发[2019]144号），</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推进工业炉窑全面达标排放。已有行业排放标准的工业炉窑，严格执行行业排放标准相关规定，配套建设高效脱硫脱硝除尘设施，确保稳定达标排放。已核发排污许可证的，应严格按照许可要求执行</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eastAsia="宋体" w:cs="Times New Roman"/>
                <w:bCs/>
                <w:color w:val="auto"/>
                <w:kern w:val="0"/>
                <w:sz w:val="21"/>
                <w:szCs w:val="21"/>
                <w:highlight w:val="none"/>
                <w:lang w:eastAsia="zh-CN"/>
              </w:rPr>
              <w:t>”</w:t>
            </w:r>
          </w:p>
          <w:p w14:paraId="0BFD98DD">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对现有1台600万Kcal/h燃煤热风炉进行改造，改造后使用生物质成型燃料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cs="Times New Roman"/>
                <w:bCs/>
                <w:color w:val="auto"/>
                <w:kern w:val="0"/>
                <w:sz w:val="21"/>
                <w:szCs w:val="21"/>
                <w:highlight w:val="none"/>
                <w:lang w:val="en-US" w:eastAsia="zh-CN"/>
              </w:rPr>
              <w:t>25m</w:t>
            </w:r>
            <w:r>
              <w:rPr>
                <w:rFonts w:hint="default" w:ascii="Times New Roman" w:hAnsi="Times New Roman" w:eastAsia="宋体" w:cs="Times New Roman"/>
                <w:bCs/>
                <w:color w:val="auto"/>
                <w:kern w:val="0"/>
                <w:sz w:val="21"/>
                <w:szCs w:val="21"/>
                <w:highlight w:val="none"/>
              </w:rPr>
              <w:t>高</w:t>
            </w:r>
            <w:r>
              <w:rPr>
                <w:rFonts w:hint="eastAsia" w:cs="Times New Roman"/>
                <w:color w:val="auto"/>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s="Times New Roman"/>
                <w:bCs/>
                <w:color w:val="auto"/>
                <w:kern w:val="0"/>
                <w:sz w:val="21"/>
                <w:szCs w:val="21"/>
                <w:highlight w:val="none"/>
                <w:lang w:eastAsia="zh-CN"/>
              </w:rPr>
              <w:t>颗粒物</w:t>
            </w:r>
            <w:r>
              <w:rPr>
                <w:rFonts w:hint="default" w:ascii="Times New Roman" w:hAnsi="Times New Roman" w:eastAsia="宋体" w:cs="Times New Roman"/>
                <w:bCs/>
                <w:color w:val="auto"/>
                <w:kern w:val="0"/>
                <w:sz w:val="21"/>
                <w:szCs w:val="21"/>
                <w:highlight w:val="none"/>
              </w:rPr>
              <w:t>排放浓度、烟气黑度满足《工业炉窑大气污染物排放标准》（GB9078-1996）表2</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二级标准，SO</w:t>
            </w:r>
            <w:r>
              <w:rPr>
                <w:rFonts w:hint="default" w:ascii="Times New Roman" w:hAnsi="Times New Roman" w:eastAsia="宋体" w:cs="Times New Roman"/>
                <w:bCs/>
                <w:color w:val="auto"/>
                <w:kern w:val="0"/>
                <w:sz w:val="21"/>
                <w:szCs w:val="21"/>
                <w:highlight w:val="none"/>
                <w:vertAlign w:val="subscript"/>
              </w:rPr>
              <w:t>2</w:t>
            </w:r>
            <w:r>
              <w:rPr>
                <w:rFonts w:hint="default" w:ascii="Times New Roman" w:hAnsi="Times New Roman" w:eastAsia="宋体" w:cs="Times New Roman"/>
                <w:bCs/>
                <w:color w:val="auto"/>
                <w:kern w:val="0"/>
                <w:sz w:val="21"/>
                <w:szCs w:val="21"/>
                <w:highlight w:val="none"/>
              </w:rPr>
              <w:t>排放浓度满足《工业炉窑大气污染物排放标准》（GB9078-1996）表4</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w:t>
            </w:r>
          </w:p>
          <w:p w14:paraId="3F49A73F">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本项目不属于《产业结构调整指导目录》淘汰类工业炉窑，热风炉布置于封闭的</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内，燃料</w:t>
            </w:r>
            <w:r>
              <w:rPr>
                <w:rFonts w:hint="eastAsia" w:cs="Times New Roman"/>
                <w:bCs/>
                <w:color w:val="auto"/>
                <w:kern w:val="0"/>
                <w:sz w:val="21"/>
                <w:szCs w:val="21"/>
                <w:highlight w:val="none"/>
                <w:lang w:val="en-US" w:eastAsia="zh-CN"/>
              </w:rPr>
              <w:t>及</w:t>
            </w:r>
            <w:r>
              <w:rPr>
                <w:rFonts w:hint="default" w:ascii="Times New Roman" w:hAnsi="Times New Roman" w:eastAsia="宋体" w:cs="Times New Roman"/>
                <w:bCs/>
                <w:color w:val="auto"/>
                <w:kern w:val="0"/>
                <w:sz w:val="21"/>
                <w:szCs w:val="21"/>
                <w:highlight w:val="none"/>
              </w:rPr>
              <w:t>灰渣储存于</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内，控制物料储存及输送的无组织排放。本项目</w:t>
            </w:r>
            <w:r>
              <w:rPr>
                <w:rFonts w:hint="default" w:ascii="Times New Roman" w:hAnsi="Times New Roman" w:eastAsia="宋体" w:cs="Times New Roman"/>
                <w:bCs/>
                <w:color w:val="auto"/>
                <w:kern w:val="0"/>
                <w:sz w:val="21"/>
                <w:szCs w:val="21"/>
                <w:highlight w:val="none"/>
                <w:lang w:eastAsia="zh-CN"/>
              </w:rPr>
              <w:t>生物质</w:t>
            </w:r>
            <w:r>
              <w:rPr>
                <w:rFonts w:hint="default" w:ascii="Times New Roman" w:hAnsi="Times New Roman" w:eastAsia="宋体" w:cs="Times New Roman"/>
                <w:bCs/>
                <w:color w:val="auto"/>
                <w:kern w:val="0"/>
                <w:sz w:val="21"/>
                <w:szCs w:val="21"/>
                <w:highlight w:val="none"/>
              </w:rPr>
              <w:t>热风炉产生的烟气，经过环保治理设施污染物达标排放，对周围环境及敏感目标影响较小。</w:t>
            </w:r>
            <w:r>
              <w:rPr>
                <w:rFonts w:hint="default" w:ascii="Times New Roman" w:hAnsi="Times New Roman" w:eastAsia="宋体" w:cs="Times New Roman"/>
                <w:color w:val="auto"/>
                <w:sz w:val="21"/>
                <w:szCs w:val="21"/>
                <w:highlight w:val="none"/>
              </w:rPr>
              <w:t>本项目作为农村特有的为粮食安全提供的烘干服务企业，结合黑龙江省现有粮食烘干企业的情况，目前均未要求粮食烘干企业进驻工业园区的要求。</w:t>
            </w:r>
          </w:p>
          <w:p w14:paraId="549E55E4">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本项目建设符合《黑龙江省工业炉窑大气污染综合治理方案》（黑环发[2019]144号）相关要求。</w:t>
            </w:r>
          </w:p>
          <w:p w14:paraId="6C0ED8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color w:val="auto"/>
                <w:szCs w:val="21"/>
                <w:highlight w:val="none"/>
              </w:rPr>
            </w:pPr>
            <w:r>
              <w:rPr>
                <w:rFonts w:hint="default" w:ascii="Times New Roman" w:hAnsi="Times New Roman" w:eastAsia="宋体" w:cs="Times New Roman"/>
                <w:b/>
                <w:bCs/>
                <w:color w:val="auto"/>
                <w:kern w:val="0"/>
                <w:sz w:val="21"/>
                <w:szCs w:val="21"/>
                <w:highlight w:val="none"/>
                <w:lang w:val="en-US" w:eastAsia="zh-CN"/>
              </w:rPr>
              <w:t>5、</w:t>
            </w:r>
            <w:r>
              <w:rPr>
                <w:rFonts w:hint="default" w:ascii="Times New Roman" w:hAnsi="Times New Roman" w:eastAsia="宋体" w:cs="Times New Roman"/>
                <w:b/>
                <w:color w:val="auto"/>
                <w:kern w:val="0"/>
                <w:sz w:val="21"/>
                <w:szCs w:val="21"/>
                <w:highlight w:val="none"/>
              </w:rPr>
              <w:t>与</w:t>
            </w:r>
            <w:r>
              <w:rPr>
                <w:rFonts w:hint="default"/>
                <w:b/>
                <w:bCs/>
                <w:color w:val="auto"/>
                <w:szCs w:val="21"/>
                <w:highlight w:val="none"/>
              </w:rPr>
              <w:t>《黑龙江省大气污染防治条例》（2018年修订）符合性分析</w:t>
            </w:r>
          </w:p>
          <w:p w14:paraId="2EDB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Cs w:val="21"/>
                <w:highlight w:val="none"/>
              </w:rPr>
            </w:pPr>
            <w:r>
              <w:rPr>
                <w:rFonts w:hint="default"/>
                <w:color w:val="auto"/>
                <w:szCs w:val="21"/>
                <w:highlight w:val="none"/>
              </w:rPr>
              <w:t>根据条</w:t>
            </w:r>
            <w:r>
              <w:rPr>
                <w:rFonts w:hint="eastAsia" w:ascii="宋体" w:hAnsi="宋体" w:eastAsia="宋体" w:cs="宋体"/>
                <w:color w:val="auto"/>
                <w:szCs w:val="21"/>
                <w:highlight w:val="none"/>
              </w:rPr>
              <w:t>例“第三十三条设区的市级城市建成区内，禁止新建额定蒸发量低于每小时二十吨或者额定功率低于十四兆瓦的燃煤锅炉；已经建成的额定蒸发量每小时十吨以下或者额定功率七兆瓦以下的燃煤锅炉，应当在国家规定的期限内淘汰”。</w:t>
            </w:r>
          </w:p>
          <w:p w14:paraId="20FB91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对现有1台600万Kcal/h燃煤热风炉进行改造，改造后使用生物质成型燃料，用于粮食烘干</w:t>
            </w:r>
            <w:r>
              <w:rPr>
                <w:rFonts w:hint="eastAsia" w:cs="Times New Roman"/>
                <w:color w:val="auto"/>
                <w:sz w:val="21"/>
                <w:szCs w:val="21"/>
                <w:highlight w:val="none"/>
                <w:lang w:val="en-US" w:eastAsia="zh-CN"/>
              </w:rPr>
              <w:t>，为粮食烘干提供热源，配套设置布袋除尘器，燃料为生物质成型燃料</w:t>
            </w:r>
            <w:r>
              <w:rPr>
                <w:rFonts w:hint="eastAsia" w:ascii="宋体" w:hAnsi="宋体" w:cs="宋体"/>
                <w:color w:val="auto"/>
                <w:szCs w:val="21"/>
                <w:highlight w:val="none"/>
                <w:lang w:eastAsia="zh-CN"/>
              </w:rPr>
              <w:t>，因此，</w:t>
            </w:r>
            <w:r>
              <w:rPr>
                <w:rFonts w:hint="default"/>
                <w:color w:val="auto"/>
                <w:szCs w:val="21"/>
                <w:highlight w:val="none"/>
              </w:rPr>
              <w:t>本项目建设符合《黑龙江省大气污染防治条例》（2018年修订）的环境管理要求。</w:t>
            </w:r>
          </w:p>
          <w:p w14:paraId="071A38EC">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color w:val="auto"/>
                <w:kern w:val="0"/>
                <w:sz w:val="21"/>
                <w:szCs w:val="21"/>
                <w:highlight w:val="none"/>
              </w:rPr>
              <w:t>与</w:t>
            </w:r>
            <w:r>
              <w:rPr>
                <w:rFonts w:hint="default" w:ascii="Times New Roman" w:hAnsi="Times New Roman" w:eastAsia="宋体" w:cs="Times New Roman"/>
                <w:b/>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color w:val="auto"/>
                <w:kern w:val="0"/>
                <w:sz w:val="21"/>
                <w:szCs w:val="21"/>
                <w:highlight w:val="none"/>
              </w:rPr>
              <w:t>符合性分析</w:t>
            </w:r>
          </w:p>
          <w:p w14:paraId="5004D9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根据《环境空气细颗粒物污染综合防治技术政策》，</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细颗粒物污染防治技术简要说明中，一、工业污染防治技术，（一）有组织排放颗粒物（烟、粉尘）污染防治技术，包括袋式除尘、湿式电除尘技术、电袋复合除尘技术。（二）前体污染物（NO、SO</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、VOCs、NH</w:t>
            </w:r>
            <w:r>
              <w:rPr>
                <w:rFonts w:hint="default" w:ascii="Times New Roman" w:hAnsi="Times New Roman" w:eastAsia="宋体" w:cs="Times New Roman"/>
                <w:color w:val="auto"/>
                <w:kern w:val="0"/>
                <w:sz w:val="21"/>
                <w:szCs w:val="21"/>
                <w:highlight w:val="none"/>
                <w:vertAlign w:val="sub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w:t>
            </w:r>
          </w:p>
          <w:p w14:paraId="31A9487A">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25m</w:t>
            </w:r>
            <w:r>
              <w:rPr>
                <w:rFonts w:hint="eastAsia" w:cs="Times New Roman"/>
                <w:color w:val="auto"/>
                <w:sz w:val="21"/>
                <w:szCs w:val="21"/>
                <w:highlight w:val="none"/>
                <w:lang w:eastAsia="zh-CN"/>
              </w:rPr>
              <w:t>烟囱</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；清粮采用全密闭筛</w:t>
            </w:r>
            <w:r>
              <w:rPr>
                <w:rFonts w:hint="eastAsia" w:cs="Times New Roman"/>
                <w:color w:val="auto"/>
                <w:sz w:val="21"/>
                <w:szCs w:val="21"/>
                <w:highlight w:val="none"/>
                <w:lang w:val="en-US" w:eastAsia="zh-CN"/>
              </w:rPr>
              <w:t>分机</w:t>
            </w:r>
            <w:r>
              <w:rPr>
                <w:rFonts w:hint="eastAsia" w:ascii="Times New Roman" w:hAnsi="Times New Roman" w:cs="Times New Roman"/>
                <w:color w:val="auto"/>
                <w:sz w:val="21"/>
                <w:szCs w:val="21"/>
                <w:highlight w:val="none"/>
                <w:lang w:eastAsia="zh-CN"/>
              </w:rPr>
              <w:t>，产生的粉尘经设备自带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eastAsia" w:ascii="Times New Roman" w:hAnsi="Times New Roman" w:eastAsia="宋体" w:cs="Times New Roman"/>
                <w:b w:val="0"/>
                <w:bCs w:val="0"/>
                <w:color w:val="auto"/>
                <w:sz w:val="21"/>
                <w:szCs w:val="21"/>
                <w:highlight w:val="none"/>
                <w:lang w:val="en-US" w:eastAsia="zh-CN"/>
              </w:rPr>
              <w:t>。燃料库</w:t>
            </w:r>
            <w:r>
              <w:rPr>
                <w:rFonts w:hint="eastAsia" w:cs="Times New Roman"/>
                <w:b w:val="0"/>
                <w:bCs w:val="0"/>
                <w:color w:val="auto"/>
                <w:sz w:val="21"/>
                <w:szCs w:val="21"/>
                <w:highlight w:val="none"/>
                <w:lang w:val="en-US" w:eastAsia="zh-CN"/>
              </w:rPr>
              <w:t>、</w:t>
            </w:r>
            <w:r>
              <w:rPr>
                <w:rFonts w:hint="eastAsia" w:cs="Times New Roman"/>
                <w:bCs/>
                <w:color w:val="auto"/>
                <w:kern w:val="0"/>
                <w:sz w:val="21"/>
                <w:szCs w:val="21"/>
                <w:highlight w:val="none"/>
                <w:lang w:val="en-US" w:eastAsia="zh-CN"/>
              </w:rPr>
              <w:t>热风炉房</w:t>
            </w:r>
            <w:r>
              <w:rPr>
                <w:rFonts w:hint="eastAsia" w:ascii="Times New Roman" w:hAnsi="Times New Roman" w:eastAsia="宋体" w:cs="Times New Roman"/>
                <w:b w:val="0"/>
                <w:bCs w:val="0"/>
                <w:color w:val="auto"/>
                <w:sz w:val="21"/>
                <w:szCs w:val="21"/>
                <w:highlight w:val="none"/>
                <w:lang w:val="en-US" w:eastAsia="zh-CN"/>
              </w:rPr>
              <w:t>密闭并定期洒水抑尘，减少粉尘扩散</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厂界颗粒物排放浓度符合《大气污染物综合排放标准》（GB16297-1996）表2无组织排放浓度限值要求。</w:t>
            </w:r>
            <w:r>
              <w:rPr>
                <w:rFonts w:hint="default" w:ascii="Times New Roman" w:hAnsi="Times New Roman" w:eastAsia="宋体" w:cs="Times New Roman"/>
                <w:color w:val="auto"/>
                <w:sz w:val="21"/>
                <w:szCs w:val="21"/>
                <w:highlight w:val="none"/>
              </w:rPr>
              <w:t>因此本项目符合《</w:t>
            </w:r>
            <w:r>
              <w:rPr>
                <w:rFonts w:hint="default" w:ascii="Times New Roman" w:hAnsi="Times New Roman" w:eastAsia="宋体" w:cs="Times New Roman"/>
                <w:b w:val="0"/>
                <w:bCs/>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val="0"/>
                <w:bCs/>
                <w:color w:val="auto"/>
                <w:sz w:val="21"/>
                <w:szCs w:val="21"/>
                <w:highlight w:val="none"/>
              </w:rPr>
              <w:t>》</w:t>
            </w:r>
            <w:r>
              <w:rPr>
                <w:rFonts w:hint="eastAsia" w:ascii="Times New Roman" w:hAnsi="Times New Roman" w:eastAsia="宋体" w:cs="Times New Roman"/>
                <w:b w:val="0"/>
                <w:bCs/>
                <w:color w:val="auto"/>
                <w:sz w:val="21"/>
                <w:szCs w:val="21"/>
                <w:highlight w:val="none"/>
                <w:lang w:eastAsia="zh-CN"/>
              </w:rPr>
              <w:t>。</w:t>
            </w:r>
          </w:p>
          <w:p w14:paraId="2C2454CB">
            <w:pPr>
              <w:pStyle w:val="146"/>
              <w:keepNext w:val="0"/>
              <w:keepLines w:val="0"/>
              <w:pageBreakBefore w:val="0"/>
              <w:widowControl w:val="0"/>
              <w:suppressLineNumbers w:val="0"/>
              <w:kinsoku/>
              <w:wordWrap/>
              <w:overflowPunct/>
              <w:topLinePunct w:val="0"/>
              <w:bidi w:val="0"/>
              <w:spacing w:before="0" w:beforeAutospacing="0" w:after="0" w:afterAutospacing="0"/>
              <w:ind w:left="0" w:right="0" w:firstLine="422" w:firstLineChars="200"/>
              <w:textAlignment w:val="auto"/>
              <w:rPr>
                <w:rFonts w:hint="default"/>
                <w:b/>
                <w:bCs/>
                <w:color w:val="auto"/>
                <w:sz w:val="21"/>
                <w:szCs w:val="21"/>
                <w:highlight w:val="none"/>
              </w:rPr>
            </w:pPr>
            <w:r>
              <w:rPr>
                <w:rFonts w:hint="eastAsia"/>
                <w:b/>
                <w:bCs/>
                <w:color w:val="auto"/>
                <w:sz w:val="21"/>
                <w:szCs w:val="21"/>
                <w:highlight w:val="none"/>
                <w:lang w:val="en-US" w:eastAsia="zh-CN"/>
              </w:rPr>
              <w:t>7</w:t>
            </w:r>
            <w:r>
              <w:rPr>
                <w:rFonts w:hint="eastAsia"/>
                <w:b/>
                <w:bCs/>
                <w:color w:val="auto"/>
                <w:sz w:val="21"/>
                <w:szCs w:val="21"/>
                <w:highlight w:val="none"/>
              </w:rPr>
              <w:t>、与《“黑龙江省“十四五”生态环境保护规划》符合</w:t>
            </w:r>
            <w:r>
              <w:rPr>
                <w:rFonts w:hint="eastAsia"/>
                <w:b/>
                <w:bCs/>
                <w:color w:val="auto"/>
                <w:sz w:val="21"/>
                <w:szCs w:val="21"/>
                <w:highlight w:val="none"/>
                <w:lang w:eastAsia="zh-CN"/>
              </w:rPr>
              <w:t>性</w:t>
            </w:r>
            <w:r>
              <w:rPr>
                <w:rFonts w:hint="eastAsia"/>
                <w:b/>
                <w:bCs/>
                <w:color w:val="auto"/>
                <w:sz w:val="21"/>
                <w:szCs w:val="21"/>
                <w:highlight w:val="none"/>
              </w:rPr>
              <w:t>分析</w:t>
            </w:r>
          </w:p>
          <w:p w14:paraId="7FDA7AA4">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olor w:val="auto"/>
                <w:sz w:val="21"/>
                <w:szCs w:val="21"/>
                <w:highlight w:val="none"/>
              </w:rPr>
              <w:t>本项目为</w:t>
            </w:r>
            <w:r>
              <w:rPr>
                <w:rFonts w:hint="eastAsia"/>
                <w:color w:val="auto"/>
                <w:sz w:val="21"/>
                <w:szCs w:val="21"/>
                <w:highlight w:val="none"/>
                <w:lang w:val="en-US" w:eastAsia="zh-CN"/>
              </w:rPr>
              <w:t>改扩建</w:t>
            </w:r>
            <w:r>
              <w:rPr>
                <w:rFonts w:hint="eastAsia"/>
                <w:color w:val="auto"/>
                <w:sz w:val="21"/>
                <w:szCs w:val="21"/>
                <w:highlight w:val="none"/>
              </w:rPr>
              <w:t>项目，</w:t>
            </w:r>
            <w:r>
              <w:rPr>
                <w:rFonts w:hint="eastAsia" w:cs="Times New Roman"/>
                <w:bCs/>
                <w:color w:val="auto"/>
                <w:kern w:val="0"/>
                <w:sz w:val="21"/>
                <w:szCs w:val="21"/>
                <w:highlight w:val="none"/>
                <w:lang w:val="en-US" w:eastAsia="zh-CN"/>
              </w:rPr>
              <w:t>对现有1台600万Kcal/h燃煤热风炉进行改造，改造后使用生物质成型燃料，热风炉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cs="Times New Roman"/>
                <w:bCs/>
                <w:color w:val="auto"/>
                <w:kern w:val="0"/>
                <w:sz w:val="21"/>
                <w:szCs w:val="21"/>
                <w:highlight w:val="none"/>
                <w:lang w:val="en-US" w:eastAsia="zh-CN"/>
              </w:rPr>
              <w:t>25m</w:t>
            </w:r>
            <w:r>
              <w:rPr>
                <w:rFonts w:hint="default" w:ascii="Times New Roman" w:hAnsi="Times New Roman" w:eastAsia="宋体" w:cs="Times New Roman"/>
                <w:bCs/>
                <w:color w:val="auto"/>
                <w:kern w:val="0"/>
                <w:sz w:val="21"/>
                <w:szCs w:val="21"/>
                <w:highlight w:val="none"/>
              </w:rPr>
              <w:t>高</w:t>
            </w:r>
            <w:r>
              <w:rPr>
                <w:rFonts w:hint="eastAsia" w:cs="Times New Roman"/>
                <w:color w:val="auto"/>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olor w:val="auto"/>
                <w:sz w:val="21"/>
                <w:szCs w:val="21"/>
                <w:highlight w:val="none"/>
              </w:rPr>
              <w:t>，不涉及燃煤燃料使用，可以达标排放，属于可行技术，确保污染物稳定达标排放；运营期</w:t>
            </w:r>
            <w:r>
              <w:rPr>
                <w:rFonts w:hint="default" w:ascii="Times New Roman" w:hAnsi="Times New Roman" w:eastAsia="宋体" w:cs="Times New Roman"/>
                <w:bCs/>
                <w:color w:val="auto"/>
                <w:sz w:val="21"/>
                <w:szCs w:val="21"/>
                <w:highlight w:val="none"/>
                <w:lang w:val="en-US" w:eastAsia="zh-CN"/>
              </w:rPr>
              <w:t>无生产废水</w:t>
            </w:r>
            <w:r>
              <w:rPr>
                <w:rFonts w:hint="eastAsia" w:ascii="Times New Roman" w:hAnsi="Times New Roman" w:eastAsia="宋体" w:cs="Times New Roman"/>
                <w:bCs/>
                <w:color w:val="auto"/>
                <w:sz w:val="21"/>
                <w:szCs w:val="21"/>
                <w:highlight w:val="none"/>
                <w:lang w:val="en-US" w:eastAsia="zh-CN"/>
              </w:rPr>
              <w:t>，</w:t>
            </w:r>
            <w:r>
              <w:rPr>
                <w:rFonts w:hint="eastAsia"/>
                <w:bCs/>
                <w:color w:val="auto"/>
                <w:szCs w:val="21"/>
                <w:lang w:eastAsia="zh-CN"/>
              </w:rPr>
              <w:t>生活污水排入防渗旱厕，定期清掏外运堆肥，不外排</w:t>
            </w:r>
            <w:r>
              <w:rPr>
                <w:rFonts w:hint="eastAsia"/>
                <w:bCs/>
                <w:color w:val="auto"/>
                <w:szCs w:val="21"/>
              </w:rPr>
              <w:t>。</w:t>
            </w:r>
            <w:r>
              <w:rPr>
                <w:rFonts w:hint="eastAsia"/>
                <w:color w:val="auto"/>
                <w:sz w:val="21"/>
                <w:szCs w:val="21"/>
                <w:highlight w:val="none"/>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0E1B4635">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bCs w:val="0"/>
                <w:color w:val="auto"/>
                <w:sz w:val="21"/>
                <w:szCs w:val="21"/>
                <w:highlight w:val="none"/>
                <w:lang w:val="en-US" w:eastAsia="zh-CN"/>
              </w:rPr>
              <w:t>8</w:t>
            </w:r>
            <w:r>
              <w:rPr>
                <w:rFonts w:hint="eastAsia" w:ascii="Times New Roman" w:hAnsi="Times New Roman" w:eastAsia="宋体" w:cs="Times New Roman"/>
                <w:b/>
                <w:bCs w:val="0"/>
                <w:color w:val="auto"/>
                <w:sz w:val="21"/>
                <w:szCs w:val="21"/>
                <w:highlight w:val="none"/>
                <w:lang w:eastAsia="zh-CN"/>
              </w:rPr>
              <w:t>、与《工业炉窑大气污染综合治理方案》（环大气[2019]56号）符合性分析</w:t>
            </w:r>
          </w:p>
          <w:p w14:paraId="3DDD7958">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《工业炉窑大气污染综合治理方案》（环大气[2019]56号）</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r>
              <w:rPr>
                <w:rFonts w:hint="eastAsia" w:cs="Times New Roman"/>
                <w:b w:val="0"/>
                <w:bCs/>
                <w:color w:val="auto"/>
                <w:sz w:val="21"/>
                <w:szCs w:val="21"/>
                <w:highlight w:val="none"/>
                <w:lang w:eastAsia="zh-CN"/>
              </w:rPr>
              <w:t>”</w:t>
            </w:r>
          </w:p>
          <w:p w14:paraId="7DB99418">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r>
              <w:rPr>
                <w:rFonts w:hint="eastAsia" w:cs="Times New Roman"/>
                <w:b w:val="0"/>
                <w:bCs/>
                <w:color w:val="auto"/>
                <w:sz w:val="21"/>
                <w:szCs w:val="21"/>
                <w:highlight w:val="none"/>
                <w:lang w:eastAsia="zh-CN"/>
              </w:rPr>
              <w:t>”</w:t>
            </w:r>
          </w:p>
          <w:p w14:paraId="711FFF97">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本项目</w:t>
            </w:r>
            <w:r>
              <w:rPr>
                <w:rFonts w:hint="eastAsia" w:cs="Times New Roman"/>
                <w:bCs/>
                <w:color w:val="auto"/>
                <w:kern w:val="0"/>
                <w:sz w:val="21"/>
                <w:szCs w:val="21"/>
                <w:highlight w:val="none"/>
                <w:lang w:val="en-US" w:eastAsia="zh-CN"/>
              </w:rPr>
              <w:t>对现有1台600万Kcal/h燃煤热风炉进行改造，改造后使用生物质成型燃料，</w:t>
            </w:r>
            <w:r>
              <w:rPr>
                <w:rFonts w:hint="eastAsia" w:ascii="Times New Roman" w:hAnsi="Times New Roman" w:eastAsia="宋体" w:cs="Times New Roman"/>
                <w:b w:val="0"/>
                <w:bCs/>
                <w:color w:val="auto"/>
                <w:sz w:val="21"/>
                <w:szCs w:val="21"/>
                <w:highlight w:val="none"/>
                <w:lang w:eastAsia="zh-CN"/>
              </w:rPr>
              <w:t>用于粮食烘干，本项目厂址位于</w:t>
            </w:r>
            <w:r>
              <w:rPr>
                <w:rFonts w:hint="eastAsia"/>
                <w:color w:val="auto"/>
                <w:highlight w:val="none"/>
                <w:lang w:val="en-US" w:eastAsia="zh-CN"/>
              </w:rPr>
              <w:t>黑龙江省鸡西市鸡东县平阳镇平阳村</w:t>
            </w:r>
            <w:r>
              <w:rPr>
                <w:rFonts w:hint="eastAsia" w:ascii="Times New Roman" w:hAnsi="Times New Roman" w:eastAsia="宋体" w:cs="Times New Roman"/>
                <w:b w:val="0"/>
                <w:bCs/>
                <w:color w:val="auto"/>
                <w:sz w:val="21"/>
                <w:szCs w:val="21"/>
                <w:highlight w:val="none"/>
                <w:lang w:eastAsia="zh-CN"/>
              </w:rPr>
              <w:t>，不属于《工业炉窑大气污染综合治理方案》重点区域，也不属于其附件4中的重点行业工业炉窑。</w:t>
            </w:r>
          </w:p>
          <w:p w14:paraId="593B3041">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本项目生物质热风炉烟气经布袋除尘器处理后经</w:t>
            </w:r>
            <w:r>
              <w:rPr>
                <w:rFonts w:hint="eastAsia" w:cs="Times New Roman"/>
                <w:b w:val="0"/>
                <w:bCs/>
                <w:color w:val="auto"/>
                <w:sz w:val="21"/>
                <w:szCs w:val="21"/>
                <w:highlight w:val="none"/>
                <w:lang w:val="en-US" w:eastAsia="zh-CN"/>
              </w:rPr>
              <w:t>25m</w:t>
            </w:r>
            <w:r>
              <w:rPr>
                <w:rFonts w:hint="eastAsia" w:ascii="Times New Roman" w:hAnsi="Times New Roman" w:eastAsia="宋体" w:cs="Times New Roman"/>
                <w:b w:val="0"/>
                <w:bCs/>
                <w:color w:val="auto"/>
                <w:sz w:val="21"/>
                <w:szCs w:val="21"/>
                <w:highlight w:val="none"/>
                <w:lang w:eastAsia="zh-CN"/>
              </w:rPr>
              <w:t>高烟囱排放，</w:t>
            </w:r>
            <w:r>
              <w:rPr>
                <w:rFonts w:hint="eastAsia" w:cs="Times New Roman"/>
                <w:b w:val="0"/>
                <w:bCs/>
                <w:color w:val="auto"/>
                <w:sz w:val="21"/>
                <w:szCs w:val="21"/>
                <w:highlight w:val="none"/>
                <w:lang w:eastAsia="zh-CN"/>
              </w:rPr>
              <w:t>颗粒物</w:t>
            </w:r>
            <w:r>
              <w:rPr>
                <w:rFonts w:hint="eastAsia" w:ascii="Times New Roman" w:hAnsi="Times New Roman" w:eastAsia="宋体" w:cs="Times New Roman"/>
                <w:b w:val="0"/>
                <w:bCs/>
                <w:color w:val="auto"/>
                <w:sz w:val="21"/>
                <w:szCs w:val="21"/>
                <w:highlight w:val="none"/>
                <w:lang w:eastAsia="zh-CN"/>
              </w:rPr>
              <w:t>、烟气黑度排放浓度满足《工业炉窑大气污染物排放标准》（GB9078-1996）表2二级标准，SO</w:t>
            </w:r>
            <w:r>
              <w:rPr>
                <w:rFonts w:hint="eastAsia" w:ascii="Times New Roman" w:hAnsi="Times New Roman" w:eastAsia="宋体" w:cs="Times New Roman"/>
                <w:b w:val="0"/>
                <w:bCs/>
                <w:color w:val="auto"/>
                <w:sz w:val="21"/>
                <w:szCs w:val="21"/>
                <w:highlight w:val="none"/>
                <w:vertAlign w:val="subscript"/>
                <w:lang w:eastAsia="zh-CN"/>
              </w:rPr>
              <w:t>2</w:t>
            </w:r>
            <w:r>
              <w:rPr>
                <w:rFonts w:hint="eastAsia" w:ascii="Times New Roman" w:hAnsi="Times New Roman" w:eastAsia="宋体" w:cs="Times New Roman"/>
                <w:b w:val="0"/>
                <w:bCs/>
                <w:color w:val="auto"/>
                <w:sz w:val="21"/>
                <w:szCs w:val="21"/>
                <w:highlight w:val="none"/>
                <w:lang w:eastAsia="zh-CN"/>
              </w:rPr>
              <w:t>排放浓度满足《工业炉窑大气污染物排放标准》（GB9078-1996）表4二级标准。厂界颗粒物排放满足《大气污染物综合排放标准》（GB16297-1996）标准的要求。因此本项目建设符合《工业炉窑大气污染综合治理方案》（环大气[2019]56号）相关要求。</w:t>
            </w:r>
          </w:p>
          <w:p w14:paraId="15089A87">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bCs w:val="0"/>
                <w:color w:val="auto"/>
                <w:sz w:val="21"/>
                <w:szCs w:val="21"/>
                <w:highlight w:val="none"/>
                <w:lang w:val="en-US" w:eastAsia="zh-CN"/>
              </w:rPr>
              <w:t>9、与</w:t>
            </w:r>
            <w:r>
              <w:rPr>
                <w:rFonts w:hint="eastAsia" w:ascii="Times New Roman" w:hAnsi="Times New Roman" w:eastAsia="宋体" w:cs="Times New Roman"/>
                <w:b/>
                <w:bCs w:val="0"/>
                <w:color w:val="auto"/>
                <w:sz w:val="21"/>
                <w:szCs w:val="21"/>
                <w:highlight w:val="none"/>
                <w:lang w:eastAsia="zh-CN"/>
              </w:rPr>
              <w:t>《黑龙江省大气污染防治行动计划实施细则》</w:t>
            </w:r>
            <w:r>
              <w:rPr>
                <w:rFonts w:hint="eastAsia" w:cs="Times New Roman"/>
                <w:b/>
                <w:bCs w:val="0"/>
                <w:color w:val="auto"/>
                <w:sz w:val="21"/>
                <w:szCs w:val="21"/>
                <w:highlight w:val="none"/>
                <w:lang w:val="en-US" w:eastAsia="zh-CN"/>
              </w:rPr>
              <w:t>符合性分析</w:t>
            </w:r>
          </w:p>
          <w:p w14:paraId="774F3137">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《黑龙江省大气污染防治行动计划实施细则》</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强对燃煤锅炉及窑炉等治理。规模在20蒸吨及以上的燃煤锅炉要实施烟气脱硫，确保达标排放。循环硫化床锅炉要全部安装静电、布袋等高效除尘设施，实现达标排放，抛煤机和往复炉排等层燃锅炉要使用含硫量低于</w:t>
            </w:r>
            <w:r>
              <w:rPr>
                <w:rFonts w:hint="eastAsia" w:cs="Times New Roman"/>
                <w:b w:val="0"/>
                <w:bCs/>
                <w:color w:val="auto"/>
                <w:sz w:val="21"/>
                <w:szCs w:val="21"/>
                <w:highlight w:val="none"/>
                <w:lang w:val="en-US" w:eastAsia="zh-CN"/>
              </w:rPr>
              <w:t>0.</w:t>
            </w:r>
            <w:r>
              <w:rPr>
                <w:rFonts w:hint="eastAsia" w:ascii="Times New Roman" w:hAnsi="Times New Roman" w:eastAsia="宋体" w:cs="Times New Roman"/>
                <w:b w:val="0"/>
                <w:bCs/>
                <w:color w:val="auto"/>
                <w:sz w:val="21"/>
                <w:szCs w:val="21"/>
                <w:highlight w:val="none"/>
                <w:lang w:eastAsia="zh-CN"/>
              </w:rPr>
              <w:t>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r>
              <w:rPr>
                <w:rFonts w:hint="eastAsia" w:cs="Times New Roman"/>
                <w:b w:val="0"/>
                <w:bCs/>
                <w:color w:val="auto"/>
                <w:sz w:val="21"/>
                <w:szCs w:val="21"/>
                <w:highlight w:val="none"/>
                <w:lang w:eastAsia="zh-CN"/>
              </w:rPr>
              <w:t>”</w:t>
            </w:r>
          </w:p>
          <w:p w14:paraId="71DB4EEF">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扩大高污染燃料禁燃区范围。到2014年年底，各地要完成高污染燃料禁燃区划定和调整工作，并向社会公布。禁燃区面积不低于建成区面积的80%，并根据城市建成区的发展不断调整划定范围。禁燃区内禁止散烧原煤以及煤焦油、重油、渣油等燃料，禁止燃烧各种可燃废物，禁止燃用生物质燃料及污染物含量超过国家规定限值的柴油、煤油等高污染燃料。已建成的使用高污染燃料的各类设施要限期拆除或改造成使用管道天然气、液化石油气、电等清洁能源。</w:t>
            </w:r>
            <w:r>
              <w:rPr>
                <w:rFonts w:hint="eastAsia" w:cs="Times New Roman"/>
                <w:b w:val="0"/>
                <w:bCs/>
                <w:color w:val="auto"/>
                <w:sz w:val="21"/>
                <w:szCs w:val="21"/>
                <w:highlight w:val="none"/>
                <w:lang w:eastAsia="zh-CN"/>
              </w:rPr>
              <w:t>”</w:t>
            </w:r>
          </w:p>
          <w:p w14:paraId="04FA282B">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对现有1台600万Kcal/h燃煤热风炉进行改造，改造后使用生物质成型燃料，用于粮食烘干</w:t>
            </w:r>
            <w:r>
              <w:rPr>
                <w:rFonts w:hint="eastAsia" w:cs="Times New Roman"/>
                <w:bCs/>
                <w:color w:val="auto"/>
                <w:kern w:val="0"/>
                <w:sz w:val="21"/>
                <w:szCs w:val="21"/>
                <w:highlight w:val="none"/>
                <w:lang w:eastAsia="zh-CN"/>
              </w:rPr>
              <w:t>，</w:t>
            </w:r>
            <w:r>
              <w:rPr>
                <w:rFonts w:hint="eastAsia" w:cs="Times New Roman"/>
                <w:b w:val="0"/>
                <w:bCs/>
                <w:color w:val="auto"/>
                <w:sz w:val="21"/>
                <w:szCs w:val="21"/>
                <w:highlight w:val="none"/>
                <w:lang w:val="en-US" w:eastAsia="zh-CN"/>
              </w:rPr>
              <w:t>配套设置布袋除尘器，</w:t>
            </w:r>
            <w:r>
              <w:rPr>
                <w:rFonts w:hint="eastAsia" w:cs="Times New Roman"/>
                <w:color w:val="auto"/>
                <w:sz w:val="21"/>
                <w:szCs w:val="21"/>
                <w:highlight w:val="none"/>
                <w:lang w:val="en-US" w:eastAsia="zh-CN"/>
              </w:rPr>
              <w:t>不属于高污染燃料。</w:t>
            </w:r>
          </w:p>
          <w:p w14:paraId="57248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10、</w:t>
            </w:r>
            <w:r>
              <w:rPr>
                <w:rFonts w:hint="default" w:ascii="Times New Roman" w:hAnsi="Times New Roman" w:eastAsia="宋体" w:cs="Times New Roman"/>
                <w:b/>
                <w:bCs/>
                <w:color w:val="auto"/>
                <w:sz w:val="21"/>
                <w:szCs w:val="21"/>
                <w:highlight w:val="none"/>
                <w:lang w:val="en-US" w:eastAsia="zh-CN"/>
              </w:rPr>
              <w:t>与《黑龙江省空气质量持续改善行动计划实施方案》</w:t>
            </w:r>
            <w:r>
              <w:rPr>
                <w:rFonts w:hint="default" w:ascii="Times New Roman" w:hAnsi="Times New Roman" w:eastAsia="宋体" w:cs="Times New Roman"/>
                <w:b/>
                <w:bCs/>
                <w:color w:val="auto"/>
                <w:kern w:val="2"/>
                <w:sz w:val="21"/>
                <w:szCs w:val="21"/>
                <w:highlight w:val="none"/>
                <w:lang w:val="en-US" w:eastAsia="zh-CN" w:bidi="ar-SA"/>
              </w:rPr>
              <w:t>（黑政发【2023】19号）</w:t>
            </w:r>
            <w:r>
              <w:rPr>
                <w:rFonts w:hint="default" w:ascii="Times New Roman" w:hAnsi="Times New Roman" w:eastAsia="宋体" w:cs="Times New Roman"/>
                <w:b/>
                <w:bCs/>
                <w:color w:val="auto"/>
                <w:kern w:val="0"/>
                <w:sz w:val="21"/>
                <w:szCs w:val="21"/>
                <w:highlight w:val="none"/>
                <w:u w:val="none"/>
              </w:rPr>
              <w:t>符合性分析</w:t>
            </w:r>
          </w:p>
          <w:p w14:paraId="169369CA">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w:t>
            </w:r>
            <w:bookmarkStart w:id="16" w:name="_GoBack"/>
            <w:r>
              <w:rPr>
                <w:rFonts w:hint="default" w:ascii="Times New Roman" w:hAnsi="Times New Roman" w:eastAsia="宋体" w:cs="Times New Roman"/>
                <w:color w:val="auto"/>
                <w:kern w:val="2"/>
                <w:sz w:val="21"/>
                <w:szCs w:val="21"/>
                <w:highlight w:val="none"/>
                <w:lang w:val="en-US" w:eastAsia="zh-CN" w:bidi="ar-SA"/>
              </w:rPr>
              <w:t>2023</w:t>
            </w:r>
            <w:bookmarkEnd w:id="16"/>
            <w:r>
              <w:rPr>
                <w:rFonts w:hint="default" w:ascii="Times New Roman" w:hAnsi="Times New Roman" w:eastAsia="宋体" w:cs="Times New Roman"/>
                <w:color w:val="auto"/>
                <w:kern w:val="2"/>
                <w:sz w:val="21"/>
                <w:szCs w:val="21"/>
                <w:highlight w:val="none"/>
                <w:lang w:val="en-US" w:eastAsia="zh-CN" w:bidi="ar-SA"/>
              </w:rPr>
              <w:t>】19号）</w:t>
            </w:r>
            <w:r>
              <w:rPr>
                <w:rFonts w:hint="default" w:ascii="Times New Roman" w:hAnsi="Times New Roman" w:eastAsia="宋体" w:cs="Times New Roman"/>
                <w:b w:val="0"/>
                <w:bCs w:val="0"/>
                <w:color w:val="auto"/>
                <w:sz w:val="21"/>
                <w:szCs w:val="21"/>
                <w:highlight w:val="none"/>
                <w:lang w:val="en-US" w:eastAsia="zh-CN"/>
              </w:rPr>
              <w:t>中</w:t>
            </w:r>
            <w:r>
              <w:rPr>
                <w:rFonts w:hint="eastAsia" w:ascii="Times New Roman" w:hAnsi="Times New Roman" w:eastAsia="宋体" w:cs="Times New Roman"/>
                <w:b w:val="0"/>
                <w:bCs w:val="0"/>
                <w:color w:val="auto"/>
                <w:sz w:val="21"/>
                <w:szCs w:val="21"/>
                <w:highlight w:val="none"/>
                <w:lang w:val="en-US" w:eastAsia="zh-CN"/>
              </w:rPr>
              <w:t>指出</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eastAsia"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在持续加强面源污染治理方面，深化扬尘污染综合治理，推进矿山生态环境综合整治，加强秸秆综合利用和禁烧管控，加强秸秆综合利用和禁烧管控。</w:t>
            </w:r>
            <w:r>
              <w:rPr>
                <w:rFonts w:hint="eastAsia" w:ascii="Times New Roman" w:hAnsi="Times New Roman" w:eastAsia="宋体" w:cs="Times New Roman"/>
                <w:b w:val="0"/>
                <w:bCs w:val="0"/>
                <w:i w:val="0"/>
                <w:iCs w:val="0"/>
                <w:caps w:val="0"/>
                <w:color w:val="auto"/>
                <w:spacing w:val="0"/>
                <w:sz w:val="21"/>
                <w:szCs w:val="21"/>
                <w:highlight w:val="none"/>
                <w:lang w:eastAsia="zh-CN"/>
              </w:rPr>
              <w:t>”</w:t>
            </w:r>
          </w:p>
          <w:p w14:paraId="5A3D9C1C">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default" w:ascii="Times New Roman" w:hAnsi="Times New Roman" w:eastAsia="宋体" w:cs="Times New Roman"/>
                <w:b w:val="0"/>
                <w:bCs w:val="0"/>
                <w:color w:val="auto"/>
                <w:sz w:val="21"/>
                <w:szCs w:val="21"/>
                <w:highlight w:val="none"/>
              </w:rPr>
              <w:t>位于</w:t>
            </w:r>
            <w:r>
              <w:rPr>
                <w:rFonts w:hint="eastAsia" w:ascii="Times New Roman" w:hAnsi="Times New Roman" w:eastAsia="宋体" w:cs="Times New Roman"/>
                <w:b w:val="0"/>
                <w:bCs w:val="0"/>
                <w:color w:val="auto"/>
                <w:sz w:val="21"/>
                <w:szCs w:val="21"/>
                <w:highlight w:val="none"/>
                <w:lang w:eastAsia="zh-CN"/>
              </w:rPr>
              <w:t>黑龙江省鸡西市鸡东县平阳镇平阳村</w:t>
            </w:r>
            <w:r>
              <w:rPr>
                <w:rFonts w:hint="default" w:ascii="Times New Roman" w:hAnsi="Times New Roman" w:eastAsia="宋体" w:cs="Times New Roman"/>
                <w:b w:val="0"/>
                <w:bCs w:val="0"/>
                <w:color w:val="auto"/>
                <w:sz w:val="21"/>
                <w:szCs w:val="21"/>
                <w:highlight w:val="none"/>
                <w:lang w:eastAsia="zh-CN"/>
              </w:rPr>
              <w:t>，本项目</w:t>
            </w:r>
            <w:r>
              <w:rPr>
                <w:rFonts w:hint="eastAsia" w:ascii="Times New Roman" w:hAnsi="Times New Roman" w:eastAsia="宋体" w:cs="Times New Roman"/>
                <w:b w:val="0"/>
                <w:bCs w:val="0"/>
                <w:color w:val="auto"/>
                <w:sz w:val="21"/>
                <w:szCs w:val="21"/>
                <w:highlight w:val="none"/>
                <w:lang w:val="en-US" w:eastAsia="zh-CN"/>
              </w:rPr>
              <w:t>对现有1台600万Kcal/h燃煤热风炉进行改造，改造后使用生物质成型燃料，</w:t>
            </w:r>
            <w:r>
              <w:rPr>
                <w:rFonts w:hint="default" w:ascii="Times New Roman" w:hAnsi="Times New Roman" w:eastAsia="宋体" w:cs="Times New Roman"/>
                <w:b w:val="0"/>
                <w:bCs w:val="0"/>
                <w:i w:val="0"/>
                <w:iCs w:val="0"/>
                <w:caps w:val="0"/>
                <w:color w:val="auto"/>
                <w:spacing w:val="0"/>
                <w:sz w:val="21"/>
                <w:szCs w:val="21"/>
                <w:highlight w:val="none"/>
                <w:lang w:eastAsia="zh-CN"/>
              </w:rPr>
              <w:t>热风炉烟气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 w:val="0"/>
                <w:bCs w:val="0"/>
                <w:i w:val="0"/>
                <w:iCs w:val="0"/>
                <w:caps w:val="0"/>
                <w:color w:val="auto"/>
                <w:spacing w:val="0"/>
                <w:sz w:val="21"/>
                <w:szCs w:val="21"/>
                <w:highlight w:val="none"/>
                <w:lang w:eastAsia="zh-CN"/>
              </w:rPr>
              <w:t>布袋除尘器处理后经</w:t>
            </w:r>
            <w:r>
              <w:rPr>
                <w:rFonts w:hint="eastAsia" w:ascii="Times New Roman" w:hAnsi="Times New Roman" w:eastAsia="宋体" w:cs="Times New Roman"/>
                <w:b w:val="0"/>
                <w:bCs w:val="0"/>
                <w:i w:val="0"/>
                <w:iCs w:val="0"/>
                <w:caps w:val="0"/>
                <w:color w:val="auto"/>
                <w:spacing w:val="0"/>
                <w:sz w:val="21"/>
                <w:szCs w:val="21"/>
                <w:highlight w:val="none"/>
                <w:lang w:val="en-US" w:eastAsia="zh-CN"/>
              </w:rPr>
              <w:t>25m</w:t>
            </w:r>
            <w:r>
              <w:rPr>
                <w:rFonts w:hint="default" w:ascii="Times New Roman" w:hAnsi="Times New Roman" w:eastAsia="宋体" w:cs="Times New Roman"/>
                <w:b w:val="0"/>
                <w:bCs w:val="0"/>
                <w:i w:val="0"/>
                <w:iCs w:val="0"/>
                <w:caps w:val="0"/>
                <w:color w:val="auto"/>
                <w:spacing w:val="0"/>
                <w:sz w:val="21"/>
                <w:szCs w:val="21"/>
                <w:highlight w:val="none"/>
                <w:lang w:eastAsia="zh-CN"/>
              </w:rPr>
              <w:t>高烟囱</w:t>
            </w:r>
            <w:r>
              <w:rPr>
                <w:rFonts w:hint="default" w:ascii="Times New Roman" w:hAnsi="Times New Roman" w:eastAsia="宋体" w:cs="Times New Roman"/>
                <w:b w:val="0"/>
                <w:bCs/>
                <w:color w:val="auto"/>
                <w:sz w:val="21"/>
                <w:szCs w:val="21"/>
                <w:highlight w:val="none"/>
                <w:lang w:eastAsia="zh-CN"/>
              </w:rPr>
              <w:t>排放，</w:t>
            </w:r>
            <w:r>
              <w:rPr>
                <w:rFonts w:hint="eastAsia" w:ascii="Times New Roman" w:hAnsi="Times New Roman" w:eastAsia="宋体" w:cs="Times New Roman"/>
                <w:b w:val="0"/>
                <w:bCs/>
                <w:color w:val="auto"/>
                <w:sz w:val="21"/>
                <w:szCs w:val="21"/>
                <w:highlight w:val="none"/>
                <w:lang w:eastAsia="zh-CN"/>
              </w:rPr>
              <w:t>颗粒物</w:t>
            </w:r>
            <w:r>
              <w:rPr>
                <w:rFonts w:hint="default" w:ascii="Times New Roman" w:hAnsi="Times New Roman" w:eastAsia="宋体" w:cs="Times New Roman"/>
                <w:b w:val="0"/>
                <w:bCs/>
                <w:color w:val="auto"/>
                <w:sz w:val="21"/>
                <w:szCs w:val="21"/>
                <w:highlight w:val="none"/>
                <w:lang w:eastAsia="zh-CN"/>
              </w:rPr>
              <w:t>、烟气黑度排放浓度满足《工业炉窑大气污染物排放标准》（GB9078-1996）表2二级标准，SO</w:t>
            </w:r>
            <w:r>
              <w:rPr>
                <w:rFonts w:hint="default" w:ascii="Times New Roman" w:hAnsi="Times New Roman" w:eastAsia="宋体" w:cs="Times New Roman"/>
                <w:b w:val="0"/>
                <w:bCs/>
                <w:color w:val="auto"/>
                <w:sz w:val="21"/>
                <w:szCs w:val="21"/>
                <w:highlight w:val="none"/>
                <w:vertAlign w:val="subscript"/>
                <w:lang w:eastAsia="zh-CN"/>
              </w:rPr>
              <w:t>2</w:t>
            </w:r>
            <w:r>
              <w:rPr>
                <w:rFonts w:hint="default" w:ascii="Times New Roman" w:hAnsi="Times New Roman" w:eastAsia="宋体" w:cs="Times New Roman"/>
                <w:b w:val="0"/>
                <w:bCs/>
                <w:color w:val="auto"/>
                <w:sz w:val="21"/>
                <w:szCs w:val="21"/>
                <w:highlight w:val="none"/>
                <w:lang w:eastAsia="zh-CN"/>
              </w:rPr>
              <w:t>排放浓度满足《工业炉窑大气污</w:t>
            </w:r>
            <w:r>
              <w:rPr>
                <w:rFonts w:hint="eastAsia" w:ascii="Times New Roman" w:hAnsi="Times New Roman" w:eastAsia="宋体" w:cs="Times New Roman"/>
                <w:b w:val="0"/>
                <w:bCs/>
                <w:color w:val="auto"/>
                <w:sz w:val="21"/>
                <w:szCs w:val="21"/>
                <w:highlight w:val="none"/>
                <w:lang w:eastAsia="zh-CN"/>
              </w:rPr>
              <w:t>染物排放标准》（GB9078-1996）表4二级标准。</w:t>
            </w:r>
          </w:p>
          <w:p w14:paraId="67A13FA4">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rPr>
              <w:t>原料烘干</w:t>
            </w:r>
            <w:r>
              <w:rPr>
                <w:rFonts w:hint="default" w:ascii="Times New Roman" w:hAnsi="Times New Roman" w:eastAsia="宋体" w:cs="Times New Roman"/>
                <w:color w:val="auto"/>
                <w:sz w:val="21"/>
                <w:szCs w:val="21"/>
                <w:highlight w:val="none"/>
                <w:lang w:eastAsia="zh-CN"/>
              </w:rPr>
              <w:t>、运输</w:t>
            </w:r>
            <w:r>
              <w:rPr>
                <w:rFonts w:hint="default" w:ascii="Times New Roman" w:hAnsi="Times New Roman" w:eastAsia="宋体" w:cs="Times New Roman"/>
                <w:color w:val="auto"/>
                <w:sz w:val="21"/>
                <w:szCs w:val="21"/>
                <w:highlight w:val="none"/>
                <w:lang w:val="en-US" w:eastAsia="zh-CN"/>
              </w:rPr>
              <w:t>及筛分</w:t>
            </w:r>
            <w:r>
              <w:rPr>
                <w:rFonts w:hint="default" w:ascii="Times New Roman" w:hAnsi="Times New Roman" w:eastAsia="宋体" w:cs="Times New Roman"/>
                <w:color w:val="auto"/>
                <w:sz w:val="21"/>
                <w:szCs w:val="21"/>
                <w:highlight w:val="none"/>
              </w:rPr>
              <w:t>过程会有</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产生，此部分</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以无组织的形式排放。装卸工段</w:t>
            </w:r>
            <w:r>
              <w:rPr>
                <w:rFonts w:hint="default" w:ascii="Times New Roman" w:hAnsi="Times New Roman" w:eastAsia="宋体" w:cs="Times New Roman"/>
                <w:color w:val="auto"/>
                <w:spacing w:val="0"/>
                <w:kern w:val="0"/>
                <w:sz w:val="21"/>
                <w:szCs w:val="21"/>
                <w:highlight w:val="none"/>
                <w:lang w:val="en-US" w:eastAsia="zh-CN" w:bidi="ar"/>
              </w:rPr>
              <w:t>采用密闭性良好的设备，全封闭输送机、原粮入</w:t>
            </w:r>
            <w:r>
              <w:rPr>
                <w:rFonts w:hint="eastAsia" w:ascii="Times New Roman" w:hAnsi="Times New Roman" w:eastAsia="宋体"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eastAsia="宋体" w:cs="Times New Roman"/>
                <w:color w:val="auto"/>
                <w:sz w:val="21"/>
                <w:szCs w:val="21"/>
                <w:highlight w:val="none"/>
              </w:rPr>
              <w:t>等降尘措施，运输过程中采用封闭输送</w:t>
            </w:r>
            <w:r>
              <w:rPr>
                <w:rFonts w:hint="default" w:ascii="Times New Roman" w:hAnsi="Times New Roman" w:eastAsia="宋体" w:cs="Times New Roman"/>
                <w:color w:val="auto"/>
                <w:sz w:val="21"/>
                <w:szCs w:val="21"/>
                <w:highlight w:val="none"/>
                <w:lang w:eastAsia="zh-CN"/>
              </w:rPr>
              <w:t>；清粮采用全密闭</w:t>
            </w:r>
            <w:r>
              <w:rPr>
                <w:rFonts w:hint="eastAsia" w:ascii="Times New Roman" w:hAnsi="Times New Roman" w:eastAsia="宋体" w:cs="Times New Roman"/>
                <w:color w:val="auto"/>
                <w:sz w:val="21"/>
                <w:szCs w:val="21"/>
                <w:highlight w:val="none"/>
                <w:lang w:val="en-US" w:eastAsia="zh-CN"/>
              </w:rPr>
              <w:t>筛分机</w:t>
            </w:r>
            <w:r>
              <w:rPr>
                <w:rFonts w:hint="default" w:ascii="Times New Roman" w:hAnsi="Times New Roman" w:eastAsia="宋体" w:cs="Times New Roman"/>
                <w:color w:val="auto"/>
                <w:sz w:val="21"/>
                <w:szCs w:val="21"/>
                <w:highlight w:val="none"/>
                <w:lang w:eastAsia="zh-CN"/>
              </w:rPr>
              <w:t>，产生的粉尘经设备自带</w:t>
            </w:r>
            <w:r>
              <w:rPr>
                <w:rFonts w:hint="default" w:ascii="Times New Roman" w:hAnsi="Times New Roman" w:eastAsia="宋体" w:cs="Times New Roman"/>
                <w:color w:val="auto"/>
                <w:sz w:val="21"/>
                <w:szCs w:val="21"/>
                <w:highlight w:val="none"/>
                <w:lang w:val="en-US" w:eastAsia="zh-CN"/>
              </w:rPr>
              <w:t>袋式除尘器</w:t>
            </w:r>
            <w:r>
              <w:rPr>
                <w:rFonts w:hint="default" w:ascii="Times New Roman" w:hAnsi="Times New Roman" w:eastAsia="宋体" w:cs="Times New Roman"/>
                <w:color w:val="auto"/>
                <w:sz w:val="21"/>
                <w:szCs w:val="21"/>
                <w:highlight w:val="none"/>
                <w:lang w:eastAsia="zh-CN"/>
              </w:rPr>
              <w:t>处理后排放；烘干塔内部自带重力沉降室，烘干塔底部四周设置防尘挡板，粉尘受挡板</w:t>
            </w:r>
            <w:r>
              <w:rPr>
                <w:rFonts w:hint="eastAsia" w:ascii="Times New Roman" w:hAnsi="Times New Roman" w:eastAsia="宋体" w:cs="Times New Roman"/>
                <w:color w:val="auto"/>
                <w:sz w:val="21"/>
                <w:szCs w:val="21"/>
                <w:highlight w:val="none"/>
                <w:lang w:eastAsia="zh-CN"/>
              </w:rPr>
              <w:t>隔</w:t>
            </w:r>
            <w:r>
              <w:rPr>
                <w:rFonts w:hint="default" w:ascii="Times New Roman" w:hAnsi="Times New Roman" w:eastAsia="宋体" w:cs="Times New Roman"/>
                <w:color w:val="auto"/>
                <w:sz w:val="21"/>
                <w:szCs w:val="21"/>
                <w:highlight w:val="none"/>
                <w:lang w:eastAsia="zh-CN"/>
              </w:rPr>
              <w:t>挡后受重力作用回落到烘干塔底部收尘设施中</w:t>
            </w:r>
            <w:r>
              <w:rPr>
                <w:rFonts w:hint="default" w:ascii="Times New Roman" w:hAnsi="Times New Roman" w:eastAsia="宋体" w:cs="Times New Roman"/>
                <w:b w:val="0"/>
                <w:bCs w:val="0"/>
                <w:color w:val="auto"/>
                <w:sz w:val="21"/>
                <w:szCs w:val="21"/>
                <w:highlight w:val="none"/>
                <w:lang w:val="en-US" w:eastAsia="zh-CN"/>
              </w:rPr>
              <w:t>。燃料库、</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b w:val="0"/>
                <w:bCs w:val="0"/>
                <w:color w:val="auto"/>
                <w:sz w:val="21"/>
                <w:szCs w:val="21"/>
                <w:highlight w:val="none"/>
                <w:lang w:val="en-US" w:eastAsia="zh-CN"/>
              </w:rPr>
              <w:t>密闭并</w:t>
            </w:r>
            <w:r>
              <w:rPr>
                <w:rFonts w:hint="eastAsia" w:ascii="Times New Roman" w:hAnsi="Times New Roman" w:eastAsia="宋体" w:cs="Times New Roman"/>
                <w:b w:val="0"/>
                <w:bCs w:val="0"/>
                <w:color w:val="auto"/>
                <w:sz w:val="21"/>
                <w:szCs w:val="21"/>
                <w:highlight w:val="none"/>
                <w:lang w:val="en-US" w:eastAsia="zh-CN"/>
              </w:rPr>
              <w:t>定期洒水抑尘，减少粉尘扩散；</w:t>
            </w:r>
            <w:r>
              <w:rPr>
                <w:rFonts w:hint="default" w:ascii="Times New Roman" w:hAnsi="Times New Roman" w:eastAsia="宋体" w:cs="Times New Roman"/>
                <w:b w:val="0"/>
                <w:bCs w:val="0"/>
                <w:color w:val="auto"/>
                <w:spacing w:val="0"/>
                <w:position w:val="0"/>
                <w:sz w:val="21"/>
                <w:szCs w:val="21"/>
                <w:highlight w:val="none"/>
                <w:lang w:val="en-US" w:eastAsia="zh-CN"/>
              </w:rPr>
              <w:t>生物质锅炉所用燃料生物质颗粒</w:t>
            </w:r>
            <w:r>
              <w:rPr>
                <w:rFonts w:hint="default" w:ascii="Times New Roman" w:hAnsi="Times New Roman" w:eastAsia="宋体" w:cs="Times New Roman"/>
                <w:color w:val="auto"/>
                <w:sz w:val="21"/>
                <w:szCs w:val="21"/>
                <w:highlight w:val="none"/>
              </w:rPr>
              <w:t>随用随存，不长时间</w:t>
            </w:r>
            <w:r>
              <w:rPr>
                <w:rFonts w:hint="default" w:ascii="Times New Roman" w:hAnsi="Times New Roman" w:eastAsia="宋体" w:cs="Times New Roman"/>
                <w:color w:val="auto"/>
                <w:sz w:val="21"/>
                <w:szCs w:val="21"/>
                <w:highlight w:val="none"/>
                <w:lang w:val="en-US" w:eastAsia="zh-CN"/>
              </w:rPr>
              <w:t>储存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pacing w:val="0"/>
                <w:position w:val="0"/>
                <w:sz w:val="21"/>
                <w:szCs w:val="21"/>
                <w:highlight w:val="none"/>
                <w:lang w:val="en-US" w:eastAsia="zh-CN"/>
              </w:rPr>
              <w:t>生物质颗粒、</w:t>
            </w:r>
            <w:r>
              <w:rPr>
                <w:rFonts w:hint="eastAsia" w:ascii="Times New Roman" w:hAnsi="Times New Roman" w:eastAsia="宋体" w:cs="Times New Roman"/>
                <w:b w:val="0"/>
                <w:bCs w:val="0"/>
                <w:color w:val="auto"/>
                <w:spacing w:val="0"/>
                <w:position w:val="0"/>
                <w:sz w:val="21"/>
                <w:szCs w:val="21"/>
                <w:highlight w:val="none"/>
                <w:lang w:val="en-US" w:eastAsia="zh-CN"/>
              </w:rPr>
              <w:t>热风炉</w:t>
            </w:r>
            <w:r>
              <w:rPr>
                <w:rFonts w:hint="default" w:ascii="Times New Roman" w:hAnsi="Times New Roman" w:eastAsia="宋体" w:cs="Times New Roman"/>
                <w:color w:val="auto"/>
                <w:sz w:val="21"/>
                <w:szCs w:val="21"/>
                <w:highlight w:val="none"/>
              </w:rPr>
              <w:t>灰渣</w:t>
            </w:r>
            <w:r>
              <w:rPr>
                <w:rFonts w:hint="default"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z w:val="21"/>
                <w:szCs w:val="21"/>
                <w:highlight w:val="none"/>
              </w:rPr>
              <w:t>除尘器收集的除尘灰储存于</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color w:val="auto"/>
                <w:sz w:val="21"/>
                <w:szCs w:val="21"/>
                <w:highlight w:val="none"/>
              </w:rPr>
              <w:t>灰渣间内，灰渣间地面做防渗处理，灰渣间密闭</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杜绝露天堆放，并配合表面洒水降尘不会形成动力起尘的粉尘影响。</w:t>
            </w:r>
          </w:p>
          <w:p w14:paraId="229C7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i w:val="0"/>
                <w:iCs w:val="0"/>
                <w:cap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lang w:val="en-US" w:eastAsia="zh-CN"/>
              </w:rPr>
              <w:t>项目施工期</w:t>
            </w:r>
            <w:r>
              <w:rPr>
                <w:rFonts w:hint="default" w:ascii="Times New Roman" w:hAnsi="Times New Roman" w:eastAsia="宋体" w:cs="Times New Roman"/>
                <w:color w:val="auto"/>
                <w:sz w:val="21"/>
                <w:szCs w:val="21"/>
                <w:highlight w:val="none"/>
              </w:rPr>
              <w:t>施工车辆采取篷布加盖措施，施工车辆运输弃土、垃圾的车辆装载高度应低于车辆上沿，不得超高超载。实行封闭运输，以免车辆颠簸撒漏。坚持文明装卸，运输车辆装卸完货后应清洗车厢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在施工场地上设置专人负责弃土、建筑垃圾、建筑材料的处置、清运和堆放，堆放场地加盖蓬布或洒水，防止二次扬尘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对建筑垃圾及弃土应及时处理、清运、以减少占地，防止扬尘污染，在施工现场周围，连续设置不低于1.5m高的围挡，在施工场地安排员工定期对施工场地洒水</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施工结束后</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对场区内的裸露地面进行绿化、硬化工作</w:t>
            </w:r>
            <w:r>
              <w:rPr>
                <w:rFonts w:hint="default" w:ascii="Times New Roman" w:hAnsi="Times New Roman" w:eastAsia="宋体" w:cs="Times New Roman"/>
                <w:color w:val="auto"/>
                <w:sz w:val="21"/>
                <w:szCs w:val="21"/>
                <w:highlight w:val="none"/>
                <w:lang w:val="en-US" w:eastAsia="zh-CN"/>
              </w:rPr>
              <w:t>等措施，施工期</w:t>
            </w:r>
            <w:r>
              <w:rPr>
                <w:rFonts w:hint="default" w:ascii="Times New Roman" w:hAnsi="Times New Roman" w:eastAsia="宋体" w:cs="Times New Roman"/>
                <w:color w:val="auto"/>
                <w:sz w:val="21"/>
                <w:szCs w:val="21"/>
                <w:highlight w:val="none"/>
              </w:rPr>
              <w:t>减少扬尘的产生量</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b w:val="0"/>
                <w:bCs w:val="0"/>
                <w:i w:val="0"/>
                <w:iCs w:val="0"/>
                <w:caps w:val="0"/>
                <w:color w:val="auto"/>
                <w:spacing w:val="0"/>
                <w:sz w:val="21"/>
                <w:szCs w:val="21"/>
                <w:highlight w:val="none"/>
              </w:rPr>
              <w:t>秸秆</w:t>
            </w:r>
            <w:r>
              <w:rPr>
                <w:rFonts w:hint="eastAsia" w:cs="Times New Roman"/>
                <w:b w:val="0"/>
                <w:bCs w:val="0"/>
                <w:i w:val="0"/>
                <w:iCs w:val="0"/>
                <w:caps w:val="0"/>
                <w:color w:val="auto"/>
                <w:spacing w:val="0"/>
                <w:sz w:val="21"/>
                <w:szCs w:val="21"/>
                <w:highlight w:val="none"/>
                <w:lang w:val="en-US" w:eastAsia="zh-CN"/>
              </w:rPr>
              <w:t>利用及燃烧。</w:t>
            </w:r>
          </w:p>
          <w:p w14:paraId="48F15925">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宋体" w:hAnsi="宋体" w:eastAsia="宋体" w:cs="宋体"/>
                <w:color w:val="auto"/>
                <w:sz w:val="21"/>
                <w:szCs w:val="21"/>
                <w:highlight w:val="none"/>
                <w:lang w:val="en-US" w:eastAsia="zh-CN"/>
              </w:rPr>
            </w:pPr>
            <w:r>
              <w:rPr>
                <w:rFonts w:hint="eastAsia" w:cs="Times New Roman"/>
                <w:b w:val="0"/>
                <w:bCs w:val="0"/>
                <w:i w:val="0"/>
                <w:iCs w:val="0"/>
                <w:caps w:val="0"/>
                <w:color w:val="auto"/>
                <w:spacing w:val="0"/>
                <w:sz w:val="21"/>
                <w:szCs w:val="21"/>
                <w:highlight w:val="none"/>
                <w:lang w:val="en-US" w:eastAsia="zh-CN"/>
              </w:rPr>
              <w:t>综上所述，本项目</w:t>
            </w:r>
            <w:r>
              <w:rPr>
                <w:rFonts w:hint="eastAsia" w:cs="Times New Roman"/>
                <w:b w:val="0"/>
                <w:bCs w:val="0"/>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（黑政发【2023】19号）</w:t>
            </w:r>
            <w:r>
              <w:rPr>
                <w:rFonts w:hint="eastAsia" w:ascii="宋体" w:hAnsi="宋体" w:eastAsia="宋体" w:cs="宋体"/>
                <w:b w:val="0"/>
                <w:bCs w:val="0"/>
                <w:color w:val="auto"/>
                <w:sz w:val="21"/>
                <w:szCs w:val="21"/>
                <w:highlight w:val="none"/>
                <w:lang w:val="en-US" w:eastAsia="zh-CN"/>
              </w:rPr>
              <w:t>中要求。</w:t>
            </w:r>
          </w:p>
          <w:p w14:paraId="7A564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11、与《鸡西市空气质量持续改善行动计划贯彻落实方案》符合性分析</w:t>
            </w:r>
          </w:p>
          <w:p w14:paraId="098A7C4D">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jc w:val="both"/>
              <w:textAlignment w:val="auto"/>
              <w:rPr>
                <w:rFonts w:hint="default"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《鸡西市空气质量持续改善行动计划贯彻落实方案》</w:t>
            </w:r>
            <w:r>
              <w:rPr>
                <w:rFonts w:hint="eastAsia" w:cs="Times New Roman"/>
                <w:b w:val="0"/>
                <w:bCs w:val="0"/>
                <w:color w:val="auto"/>
                <w:sz w:val="21"/>
                <w:szCs w:val="21"/>
                <w:highlight w:val="none"/>
                <w:lang w:val="en-US" w:eastAsia="zh-CN"/>
              </w:rPr>
              <w:t>（鸡政发[2024]6号）中提出：</w:t>
            </w:r>
            <w:r>
              <w:rPr>
                <w:rFonts w:hint="default" w:ascii="Times New Roman" w:hAnsi="Times New Roman" w:eastAsia="宋体" w:cs="Times New Roman"/>
                <w:b w:val="0"/>
                <w:bCs w:val="0"/>
                <w:color w:val="auto"/>
                <w:sz w:val="21"/>
                <w:szCs w:val="21"/>
                <w:highlight w:val="none"/>
                <w:lang w:val="en-US" w:eastAsia="zh-CN"/>
              </w:rPr>
              <w:t>保持定力，稳中求进。坚持推进环境空气质量持续改善，通过发展方式转型，进一步推动产业结构、能源结构、运输结构调整和大气环境污染治理。.系统谋划，突出重点。以2035年美丽中国和“十四五”大气污染防治阶段性目标任务为中心，以细颗粒物（PM2.5）、臭氧（O3）等主要污染物协同控制为重点，改善重点时段、重点区域大气环境质量。</w:t>
            </w:r>
            <w:r>
              <w:rPr>
                <w:rFonts w:hint="eastAsia" w:ascii="Times New Roman" w:hAnsi="Times New Roman" w:eastAsia="宋体" w:cs="Times New Roman"/>
                <w:b w:val="0"/>
                <w:bCs w:val="0"/>
                <w:color w:val="auto"/>
                <w:sz w:val="21"/>
                <w:szCs w:val="21"/>
                <w:highlight w:val="none"/>
                <w:lang w:val="en-US" w:eastAsia="zh-CN"/>
              </w:rPr>
              <w:t>持续推进产业结构调整加快退出重点行业落后产能。</w:t>
            </w:r>
            <w:r>
              <w:rPr>
                <w:rFonts w:hint="default" w:ascii="Times New Roman" w:hAnsi="Times New Roman" w:eastAsia="宋体" w:cs="Times New Roman"/>
                <w:b w:val="0"/>
                <w:bCs w:val="0"/>
                <w:color w:val="auto"/>
                <w:sz w:val="21"/>
                <w:szCs w:val="21"/>
                <w:highlight w:val="none"/>
                <w:lang w:val="en-US" w:eastAsia="zh-CN"/>
              </w:rPr>
              <w:t>严格执行《产业结构调整指导目录》</w:t>
            </w:r>
            <w:r>
              <w:rPr>
                <w:rFonts w:hint="default" w:cs="Times New Roman"/>
                <w:b w:val="0"/>
                <w:bCs w:val="0"/>
                <w:color w:val="auto"/>
                <w:sz w:val="21"/>
                <w:szCs w:val="21"/>
                <w:highlight w:val="none"/>
                <w:lang w:val="en-US" w:eastAsia="zh-CN"/>
              </w:rPr>
              <w:t>要求，加快退出淘汰类产能、工艺、装备，提高限制类产能、工艺、装备淘汰改造引导力度。</w:t>
            </w:r>
            <w:r>
              <w:rPr>
                <w:rFonts w:hint="eastAsia" w:cs="Times New Roman"/>
                <w:b w:val="0"/>
                <w:bCs w:val="0"/>
                <w:color w:val="auto"/>
                <w:sz w:val="21"/>
                <w:szCs w:val="21"/>
                <w:highlight w:val="none"/>
                <w:lang w:val="en-US" w:eastAsia="zh-CN"/>
              </w:rPr>
              <w:t>持续优化改善能源结构，实施工业炉窑清洁能源替代。</w:t>
            </w:r>
          </w:p>
          <w:p w14:paraId="69B4CDDB">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本项目对现有1台600万Kcal/h燃煤热风炉进行改造，改造后使用生物质成型燃料，热风炉烟气通过</w:t>
            </w:r>
            <w:r>
              <w:rPr>
                <w:rFonts w:hint="default" w:ascii="Times New Roman" w:hAnsi="Times New Roman" w:eastAsia="宋体" w:cs="Times New Roman"/>
                <w:b w:val="0"/>
                <w:bCs w:val="0"/>
                <w:color w:val="auto"/>
                <w:kern w:val="2"/>
                <w:sz w:val="21"/>
                <w:szCs w:val="21"/>
                <w:highlight w:val="none"/>
                <w:lang w:val="en-US" w:eastAsia="zh-CN" w:bidi="ar-SA"/>
              </w:rPr>
              <w:t>布袋除尘器处理后经</w:t>
            </w:r>
            <w:r>
              <w:rPr>
                <w:rFonts w:hint="eastAsia" w:ascii="Times New Roman" w:hAnsi="Times New Roman" w:eastAsia="宋体" w:cs="Times New Roman"/>
                <w:b w:val="0"/>
                <w:bCs w:val="0"/>
                <w:color w:val="auto"/>
                <w:kern w:val="2"/>
                <w:sz w:val="21"/>
                <w:szCs w:val="21"/>
                <w:highlight w:val="none"/>
                <w:lang w:val="en-US" w:eastAsia="zh-CN" w:bidi="ar-SA"/>
              </w:rPr>
              <w:t>25m</w:t>
            </w:r>
            <w:r>
              <w:rPr>
                <w:rFonts w:hint="default" w:ascii="Times New Roman" w:hAnsi="Times New Roman" w:eastAsia="宋体" w:cs="Times New Roman"/>
                <w:b w:val="0"/>
                <w:bCs w:val="0"/>
                <w:color w:val="auto"/>
                <w:kern w:val="2"/>
                <w:sz w:val="21"/>
                <w:szCs w:val="21"/>
                <w:highlight w:val="none"/>
                <w:lang w:val="en-US" w:eastAsia="zh-CN" w:bidi="ar-SA"/>
              </w:rPr>
              <w:t>高烟囱排放，</w:t>
            </w:r>
            <w:r>
              <w:rPr>
                <w:rFonts w:hint="eastAsia" w:ascii="Times New Roman" w:hAnsi="Times New Roman" w:eastAsia="宋体" w:cs="Times New Roman"/>
                <w:b w:val="0"/>
                <w:bCs w:val="0"/>
                <w:color w:val="auto"/>
                <w:kern w:val="2"/>
                <w:sz w:val="21"/>
                <w:szCs w:val="21"/>
                <w:highlight w:val="none"/>
                <w:lang w:val="en-US" w:eastAsia="zh-CN" w:bidi="ar-SA"/>
              </w:rPr>
              <w:t>颗粒物</w:t>
            </w:r>
            <w:r>
              <w:rPr>
                <w:rFonts w:hint="default" w:ascii="Times New Roman" w:hAnsi="Times New Roman" w:eastAsia="宋体" w:cs="Times New Roman"/>
                <w:b w:val="0"/>
                <w:bCs w:val="0"/>
                <w:color w:val="auto"/>
                <w:kern w:val="2"/>
                <w:sz w:val="21"/>
                <w:szCs w:val="21"/>
                <w:highlight w:val="none"/>
                <w:lang w:val="en-US" w:eastAsia="zh-CN" w:bidi="ar-SA"/>
              </w:rPr>
              <w:t>、烟气黑度排放浓度满足《工业炉窑大气污染物排放标准》（GB9078-1996）表2二级标准，SO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排放浓度满足《工业炉窑大气污</w:t>
            </w:r>
            <w:r>
              <w:rPr>
                <w:rFonts w:hint="eastAsia" w:ascii="Times New Roman" w:hAnsi="Times New Roman" w:eastAsia="宋体" w:cs="Times New Roman"/>
                <w:b w:val="0"/>
                <w:bCs w:val="0"/>
                <w:color w:val="auto"/>
                <w:kern w:val="2"/>
                <w:sz w:val="21"/>
                <w:szCs w:val="21"/>
                <w:highlight w:val="none"/>
                <w:lang w:val="en-US" w:eastAsia="zh-CN" w:bidi="ar-SA"/>
              </w:rPr>
              <w:t>染物排放标准》（GB9078-1996）表4二级标准。使用生物质成型燃料，不燃烧煤炭，生物质成型燃料是一种洁净低碳的可再生能源。符合《鸡西市</w:t>
            </w:r>
            <w:r>
              <w:rPr>
                <w:rFonts w:hint="eastAsia" w:ascii="Times New Roman" w:hAnsi="Times New Roman" w:eastAsia="宋体" w:cs="Times New Roman"/>
                <w:b w:val="0"/>
                <w:bCs w:val="0"/>
                <w:color w:val="auto"/>
                <w:sz w:val="21"/>
                <w:szCs w:val="21"/>
                <w:highlight w:val="none"/>
                <w:lang w:val="en-US" w:eastAsia="zh-CN"/>
              </w:rPr>
              <w:t>空气质量持续改善行动计划贯彻落实方案》中提出的“</w:t>
            </w:r>
            <w:r>
              <w:rPr>
                <w:rFonts w:hint="default" w:ascii="Times New Roman" w:hAnsi="Times New Roman" w:eastAsia="宋体" w:cs="Times New Roman"/>
                <w:b w:val="0"/>
                <w:bCs w:val="0"/>
                <w:color w:val="auto"/>
                <w:sz w:val="21"/>
                <w:szCs w:val="21"/>
                <w:highlight w:val="none"/>
                <w:lang w:val="en-US" w:eastAsia="zh-CN"/>
              </w:rPr>
              <w:t>严格执行《产业结构调整指</w:t>
            </w:r>
            <w:r>
              <w:rPr>
                <w:rFonts w:hint="default" w:ascii="Times New Roman" w:hAnsi="Times New Roman" w:eastAsia="宋体" w:cs="Times New Roman"/>
                <w:b w:val="0"/>
                <w:bCs w:val="0"/>
                <w:color w:val="auto"/>
                <w:kern w:val="2"/>
                <w:sz w:val="21"/>
                <w:szCs w:val="21"/>
                <w:highlight w:val="none"/>
                <w:lang w:val="en-US" w:eastAsia="zh-CN" w:bidi="ar-SA"/>
              </w:rPr>
              <w:t>导目录》要求，加快退出淘汰类产能、工艺、装备，提高限制类产能、工艺、装备淘汰改造引导力度。</w:t>
            </w:r>
            <w:r>
              <w:rPr>
                <w:rFonts w:hint="eastAsia" w:ascii="Times New Roman" w:hAnsi="Times New Roman" w:eastAsia="宋体" w:cs="Times New Roman"/>
                <w:b w:val="0"/>
                <w:bCs w:val="0"/>
                <w:color w:val="auto"/>
                <w:kern w:val="2"/>
                <w:sz w:val="21"/>
                <w:szCs w:val="21"/>
                <w:highlight w:val="none"/>
                <w:lang w:val="en-US" w:eastAsia="zh-CN" w:bidi="ar-SA"/>
              </w:rPr>
              <w:t>持续优化改善能源结构，实施工业炉窑清洁能源替代”。</w:t>
            </w:r>
          </w:p>
          <w:p w14:paraId="026DBA76">
            <w:pPr>
              <w:pStyle w:val="1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12、与《鸡西市人民政府印发鸡西市“十四五”生态环境保护规划的通知》，（鸡政规〔2022〕7号）符合性分析</w:t>
            </w:r>
          </w:p>
          <w:p w14:paraId="7D716384">
            <w:pPr>
              <w:pStyle w:val="1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鸡西市“十四五”生态环境保护规划》中提出：“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探索开展绿色能源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加快推进煤城新能源项目建设。到2025年，全市清洁取暖率提高到40%以上。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50C77CC7">
            <w:pPr>
              <w:pStyle w:val="1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本项目使用生物质成型燃料，不燃烧煤炭，生物质成型燃料是一种洁净低碳的可再生能源，符合《鸡西市“十四五”生态环境保护规划》中提出：优化能源供给结构。建设清洁低碳、安全高效的能源体系。</w:t>
            </w:r>
          </w:p>
          <w:p w14:paraId="7B339976">
            <w:pPr>
              <w:pStyle w:val="26"/>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eastAsia="宋体"/>
                <w:color w:val="auto"/>
                <w:lang w:val="en-US" w:eastAsia="zh-CN"/>
              </w:rPr>
            </w:pPr>
          </w:p>
          <w:p w14:paraId="627D94BC">
            <w:pPr>
              <w:keepNext w:val="0"/>
              <w:keepLines w:val="0"/>
              <w:pageBreakBefore w:val="0"/>
              <w:suppressLineNumbers w:val="0"/>
              <w:kinsoku/>
              <w:wordWrap/>
              <w:overflowPunct/>
              <w:topLinePunct w:val="0"/>
              <w:bidi w:val="0"/>
              <w:spacing w:before="0" w:beforeAutospacing="0" w:after="0" w:afterAutospacing="0" w:line="360" w:lineRule="auto"/>
              <w:ind w:left="0" w:right="0"/>
              <w:textAlignment w:val="auto"/>
              <w:rPr>
                <w:rFonts w:hint="default" w:eastAsia="宋体"/>
                <w:color w:val="auto"/>
                <w:highlight w:val="none"/>
                <w:lang w:val="en-US" w:eastAsia="zh-CN"/>
              </w:rPr>
            </w:pPr>
          </w:p>
        </w:tc>
      </w:tr>
      <w:bookmarkEnd w:id="3"/>
    </w:tbl>
    <w:p w14:paraId="0084EF69">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19C7008E">
      <w:pPr>
        <w:pStyle w:val="29"/>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4"/>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8275"/>
      </w:tblGrid>
      <w:tr w14:paraId="4C2C51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7" w:hRule="atLeast"/>
          <w:jc w:val="center"/>
        </w:trPr>
        <w:tc>
          <w:tcPr>
            <w:tcW w:w="796" w:type="dxa"/>
            <w:vAlign w:val="center"/>
          </w:tcPr>
          <w:p w14:paraId="1FB2D65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275" w:type="dxa"/>
            <w:vAlign w:val="center"/>
          </w:tcPr>
          <w:p w14:paraId="41E92878">
            <w:pPr>
              <w:pStyle w:val="2"/>
              <w:keepNext w:val="0"/>
              <w:keepLines w:val="0"/>
              <w:widowControl w:val="0"/>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14:paraId="681220D7">
            <w:pPr>
              <w:keepNext w:val="0"/>
              <w:keepLines w:val="0"/>
              <w:numPr>
                <w:ilvl w:val="0"/>
                <w:numId w:val="0"/>
              </w:numPr>
              <w:suppressLineNumbers w:val="0"/>
              <w:adjustRightInd w:val="0"/>
              <w:spacing w:before="0" w:beforeAutospacing="0" w:after="0" w:afterAutospacing="0" w:line="360" w:lineRule="auto"/>
              <w:ind w:left="0" w:leftChars="0" w:right="0" w:rightChars="0" w:firstLine="420" w:firstLineChars="200"/>
              <w:textAlignment w:val="baseline"/>
              <w:rPr>
                <w:rFonts w:hint="default" w:ascii="Times New Roman" w:hAnsi="Times New Roman" w:eastAsia="宋体" w:cs="Times New Roman"/>
                <w:color w:val="auto"/>
                <w:kern w:val="21"/>
                <w:sz w:val="21"/>
                <w:szCs w:val="21"/>
                <w:highlight w:val="none"/>
                <w:lang w:val="en-US" w:eastAsia="zh-CN"/>
              </w:rPr>
            </w:pPr>
            <w:r>
              <w:rPr>
                <w:rFonts w:hint="eastAsia"/>
                <w:color w:val="auto"/>
                <w:sz w:val="21"/>
                <w:szCs w:val="21"/>
                <w:highlight w:val="none"/>
                <w:lang w:val="en-US" w:eastAsia="zh-CN"/>
              </w:rPr>
              <w:t>鸡东县东良粮库有限公司</w:t>
            </w:r>
            <w:r>
              <w:rPr>
                <w:rFonts w:hint="eastAsia" w:eastAsia="宋体"/>
                <w:color w:val="auto"/>
                <w:sz w:val="21"/>
                <w:szCs w:val="21"/>
                <w:highlight w:val="none"/>
                <w:lang w:val="en-US" w:eastAsia="zh-CN"/>
              </w:rPr>
              <w:t>现有工程占地面积</w:t>
            </w:r>
            <w:r>
              <w:rPr>
                <w:rFonts w:hint="eastAsia"/>
                <w:color w:val="auto"/>
                <w:sz w:val="21"/>
                <w:szCs w:val="21"/>
                <w:highlight w:val="none"/>
                <w:lang w:val="en-US" w:eastAsia="zh-CN"/>
              </w:rPr>
              <w:t>114022.9</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，现有1座</w:t>
            </w:r>
            <w:r>
              <w:rPr>
                <w:rFonts w:hint="eastAsia" w:cs="Times New Roman" w:eastAsiaTheme="minorEastAsia"/>
                <w:color w:val="auto"/>
                <w:sz w:val="21"/>
                <w:szCs w:val="21"/>
                <w:highlight w:val="none"/>
                <w:vertAlign w:val="baseline"/>
                <w:lang w:val="en-US" w:eastAsia="zh-CN"/>
              </w:rPr>
              <w:t>日烘干能力500t/d烘干塔配套1台600万Kcal/h燃煤热风炉、年运行1440h，以及平房仓、立筒仓用于粮食仓储，</w:t>
            </w:r>
            <w:r>
              <w:rPr>
                <w:rFonts w:hint="eastAsia" w:cs="Times New Roman"/>
                <w:color w:val="auto"/>
                <w:kern w:val="21"/>
                <w:sz w:val="21"/>
                <w:szCs w:val="21"/>
                <w:highlight w:val="none"/>
                <w:vertAlign w:val="baseline"/>
                <w:lang w:val="en-US" w:eastAsia="zh-CN"/>
              </w:rPr>
              <w:t>现有工程根据国家下达文件按指标要求储存粮食，收购的成品粮食直接入库储存，原粮经烘干塔烘干后入库储存，收购的原粮均为脱粒后的玉米，不涉及玉米须等固废，不涉及药剂熏蒸、原粮晾晒等工序，年烘干玉米30000t，粮食仓储22万t。</w:t>
            </w:r>
            <w:r>
              <w:rPr>
                <w:rFonts w:hint="default"/>
                <w:bCs/>
                <w:color w:val="auto"/>
                <w:sz w:val="21"/>
                <w:szCs w:val="21"/>
                <w:highlight w:val="none"/>
              </w:rPr>
              <w:t>本</w:t>
            </w:r>
            <w:r>
              <w:rPr>
                <w:rFonts w:hint="eastAsia"/>
                <w:bCs/>
                <w:color w:val="auto"/>
                <w:sz w:val="21"/>
                <w:szCs w:val="21"/>
                <w:highlight w:val="none"/>
                <w:lang w:eastAsia="zh-CN"/>
              </w:rPr>
              <w:t>次在现有厂区内进行建设</w:t>
            </w:r>
            <w:r>
              <w:rPr>
                <w:rFonts w:hint="eastAsia"/>
                <w:bCs/>
                <w:color w:val="auto"/>
                <w:sz w:val="21"/>
                <w:szCs w:val="21"/>
                <w:highlight w:val="none"/>
              </w:rPr>
              <w:t>，不新增</w:t>
            </w:r>
            <w:r>
              <w:rPr>
                <w:rFonts w:hint="default"/>
                <w:bCs/>
                <w:color w:val="auto"/>
                <w:sz w:val="21"/>
                <w:szCs w:val="21"/>
                <w:highlight w:val="none"/>
              </w:rPr>
              <w:t>占地面积</w:t>
            </w:r>
            <w:r>
              <w:rPr>
                <w:rFonts w:hint="eastAsia"/>
                <w:bCs/>
                <w:color w:val="auto"/>
                <w:sz w:val="21"/>
                <w:szCs w:val="21"/>
                <w:highlight w:val="none"/>
                <w:lang w:eastAsia="zh-CN"/>
              </w:rPr>
              <w:t>，</w:t>
            </w:r>
            <w:r>
              <w:rPr>
                <w:rFonts w:hint="eastAsia"/>
                <w:bCs/>
                <w:color w:val="auto"/>
                <w:sz w:val="21"/>
                <w:szCs w:val="21"/>
                <w:highlight w:val="none"/>
                <w:lang w:val="en-US" w:eastAsia="zh-CN"/>
              </w:rPr>
              <w:t>对现有1台600万Kcal/h燃煤热风炉进行改造，改造后使用生物质成型燃料，新增年烘干水</w:t>
            </w:r>
            <w:r>
              <w:rPr>
                <w:rFonts w:hint="eastAsia" w:cs="Times New Roman"/>
                <w:bCs/>
                <w:color w:val="auto"/>
                <w:kern w:val="0"/>
                <w:sz w:val="21"/>
                <w:szCs w:val="21"/>
                <w:highlight w:val="none"/>
                <w:lang w:val="en-US" w:eastAsia="zh-CN"/>
              </w:rPr>
              <w:t>稻75000t，扩建后烘干塔、热风炉年运行5040h，</w:t>
            </w:r>
            <w:r>
              <w:rPr>
                <w:rFonts w:hint="eastAsia" w:cs="Times New Roman"/>
                <w:color w:val="auto"/>
                <w:kern w:val="21"/>
                <w:sz w:val="21"/>
                <w:szCs w:val="21"/>
                <w:highlight w:val="none"/>
                <w:lang w:val="en-US" w:eastAsia="zh-CN"/>
              </w:rPr>
              <w:t>全厂年烘干玉米总量为30000t，水稻75000t</w:t>
            </w:r>
            <w:r>
              <w:rPr>
                <w:rFonts w:hint="eastAsia" w:cs="Times New Roman"/>
                <w:color w:val="auto"/>
                <w:kern w:val="21"/>
                <w:sz w:val="21"/>
                <w:szCs w:val="21"/>
                <w:highlight w:val="none"/>
                <w:vertAlign w:val="baseline"/>
                <w:lang w:eastAsia="zh-CN"/>
              </w:rPr>
              <w:t>。</w:t>
            </w:r>
            <w:r>
              <w:rPr>
                <w:rFonts w:hint="default" w:ascii="Times New Roman" w:hAnsi="Times New Roman" w:cs="Times New Roman"/>
                <w:color w:val="auto"/>
                <w:kern w:val="21"/>
                <w:sz w:val="21"/>
                <w:szCs w:val="21"/>
                <w:highlight w:val="none"/>
              </w:rPr>
              <w:t>主要建设内容见表2-1。</w:t>
            </w:r>
          </w:p>
          <w:p w14:paraId="09C14A2D">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表2-1主要建设内容及规模一览表</w:t>
            </w:r>
          </w:p>
          <w:tbl>
            <w:tblPr>
              <w:tblStyle w:val="3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154"/>
              <w:gridCol w:w="5167"/>
              <w:gridCol w:w="1080"/>
            </w:tblGrid>
            <w:tr w14:paraId="4AAF62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noWrap w:val="0"/>
                  <w:vAlign w:val="center"/>
                </w:tcPr>
                <w:p w14:paraId="703EC7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ascii="Times New Roman" w:hAnsi="Times New Roman" w:cs="Times New Roman"/>
                      <w:color w:val="auto"/>
                      <w:sz w:val="18"/>
                      <w:szCs w:val="18"/>
                      <w:highlight w:val="none"/>
                    </w:rPr>
                    <w:t>工程组成</w:t>
                  </w:r>
                </w:p>
              </w:tc>
              <w:tc>
                <w:tcPr>
                  <w:tcW w:w="716" w:type="pct"/>
                  <w:noWrap w:val="0"/>
                  <w:vAlign w:val="center"/>
                </w:tcPr>
                <w:p w14:paraId="1E8DB4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建设内容</w:t>
                  </w:r>
                </w:p>
              </w:tc>
              <w:tc>
                <w:tcPr>
                  <w:tcW w:w="3206" w:type="pct"/>
                  <w:noWrap w:val="0"/>
                  <w:vAlign w:val="center"/>
                </w:tcPr>
                <w:p w14:paraId="199B46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建设规模及内容</w:t>
                  </w:r>
                </w:p>
              </w:tc>
              <w:tc>
                <w:tcPr>
                  <w:tcW w:w="670" w:type="pct"/>
                  <w:noWrap w:val="0"/>
                  <w:vAlign w:val="center"/>
                </w:tcPr>
                <w:p w14:paraId="20C20B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备注</w:t>
                  </w:r>
                </w:p>
              </w:tc>
            </w:tr>
            <w:tr w14:paraId="07F12B0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4944A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主体工程</w:t>
                  </w:r>
                </w:p>
              </w:tc>
              <w:tc>
                <w:tcPr>
                  <w:tcW w:w="716" w:type="pct"/>
                  <w:noWrap w:val="0"/>
                  <w:vAlign w:val="center"/>
                </w:tcPr>
                <w:p w14:paraId="3A00B35F">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z w:val="18"/>
                      <w:szCs w:val="18"/>
                      <w:highlight w:val="none"/>
                    </w:rPr>
                    <w:t>烘干塔</w:t>
                  </w:r>
                </w:p>
              </w:tc>
              <w:tc>
                <w:tcPr>
                  <w:tcW w:w="3206" w:type="pct"/>
                  <w:noWrap w:val="0"/>
                  <w:vAlign w:val="center"/>
                </w:tcPr>
                <w:p w14:paraId="0E407FDC">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利旧原有500t/d烘干塔，高25米，新增年烘干水稻75000t。</w:t>
                  </w:r>
                </w:p>
              </w:tc>
              <w:tc>
                <w:tcPr>
                  <w:tcW w:w="670" w:type="pct"/>
                  <w:noWrap w:val="0"/>
                  <w:vAlign w:val="center"/>
                </w:tcPr>
                <w:p w14:paraId="5520E5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r>
                    <w:rPr>
                      <w:rFonts w:hint="eastAsia"/>
                      <w:color w:val="auto"/>
                      <w:sz w:val="18"/>
                      <w:szCs w:val="18"/>
                      <w:highlight w:val="none"/>
                      <w:lang w:val="en-US" w:eastAsia="zh-CN"/>
                    </w:rPr>
                    <w:t>依托</w:t>
                  </w:r>
                </w:p>
              </w:tc>
            </w:tr>
            <w:tr w14:paraId="6BCBA9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353C1B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2586CA04">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s="Times New Roman"/>
                      <w:bCs/>
                      <w:color w:val="auto"/>
                      <w:kern w:val="0"/>
                      <w:sz w:val="18"/>
                      <w:szCs w:val="18"/>
                      <w:highlight w:val="none"/>
                      <w:lang w:val="en-US" w:eastAsia="zh-CN"/>
                    </w:rPr>
                    <w:t>热风炉房</w:t>
                  </w:r>
                </w:p>
              </w:tc>
              <w:tc>
                <w:tcPr>
                  <w:tcW w:w="3206" w:type="pct"/>
                  <w:noWrap w:val="0"/>
                  <w:vAlign w:val="center"/>
                </w:tcPr>
                <w:p w14:paraId="15AD30AE">
                  <w:pPr>
                    <w:pStyle w:val="14"/>
                    <w:keepNext w:val="0"/>
                    <w:keepLines w:val="0"/>
                    <w:suppressLineNumbers w:val="0"/>
                    <w:bidi w:val="0"/>
                    <w:spacing w:before="0" w:beforeAutospacing="0" w:after="0" w:afterAutospacing="0"/>
                    <w:ind w:left="0" w:right="0"/>
                    <w:jc w:val="center"/>
                    <w:rPr>
                      <w:rFonts w:hint="default" w:eastAsia="宋体"/>
                      <w:color w:val="auto"/>
                      <w:sz w:val="18"/>
                      <w:szCs w:val="18"/>
                      <w:highlight w:val="none"/>
                      <w:lang w:val="en-US" w:eastAsia="zh-CN"/>
                    </w:rPr>
                  </w:pPr>
                  <w:r>
                    <w:rPr>
                      <w:rFonts w:hint="eastAsia" w:ascii="宋体" w:hAnsi="宋体" w:eastAsia="宋体" w:cs="宋体"/>
                      <w:color w:val="auto"/>
                      <w:kern w:val="21"/>
                      <w:sz w:val="18"/>
                      <w:szCs w:val="18"/>
                      <w:highlight w:val="none"/>
                      <w:lang w:val="en-US" w:eastAsia="zh-CN" w:bidi="ar-SA"/>
                    </w:rPr>
                    <w:t>1座单层砖混结构热风炉房，占地面积</w:t>
                  </w:r>
                  <w:r>
                    <w:rPr>
                      <w:rFonts w:hint="eastAsia" w:hAnsi="宋体" w:cs="宋体"/>
                      <w:color w:val="auto"/>
                      <w:kern w:val="21"/>
                      <w:sz w:val="18"/>
                      <w:szCs w:val="18"/>
                      <w:highlight w:val="none"/>
                      <w:lang w:val="en-US" w:eastAsia="zh-CN" w:bidi="ar-SA"/>
                    </w:rPr>
                    <w:t>300m</w:t>
                  </w:r>
                  <w:r>
                    <w:rPr>
                      <w:rFonts w:hint="eastAsia" w:hAnsi="宋体" w:cs="宋体"/>
                      <w:color w:val="auto"/>
                      <w:kern w:val="21"/>
                      <w:sz w:val="18"/>
                      <w:szCs w:val="18"/>
                      <w:highlight w:val="none"/>
                      <w:vertAlign w:val="superscript"/>
                      <w:lang w:val="en-US" w:eastAsia="zh-CN" w:bidi="ar-SA"/>
                    </w:rPr>
                    <w:t>2</w:t>
                  </w:r>
                  <w:r>
                    <w:rPr>
                      <w:rFonts w:hint="eastAsia" w:ascii="宋体" w:hAnsi="宋体" w:eastAsia="宋体" w:cs="宋体"/>
                      <w:color w:val="auto"/>
                      <w:kern w:val="21"/>
                      <w:sz w:val="18"/>
                      <w:szCs w:val="18"/>
                      <w:highlight w:val="none"/>
                      <w:lang w:val="en-US" w:eastAsia="zh-CN" w:bidi="ar-SA"/>
                    </w:rPr>
                    <w:t>，高</w:t>
                  </w:r>
                  <w:r>
                    <w:rPr>
                      <w:rFonts w:hint="eastAsia" w:hAnsi="宋体" w:cs="宋体"/>
                      <w:color w:val="auto"/>
                      <w:kern w:val="21"/>
                      <w:sz w:val="18"/>
                      <w:szCs w:val="18"/>
                      <w:highlight w:val="none"/>
                      <w:lang w:val="en-US" w:eastAsia="zh-CN" w:bidi="ar-SA"/>
                    </w:rPr>
                    <w:t>5</w:t>
                  </w:r>
                  <w:r>
                    <w:rPr>
                      <w:rFonts w:hint="eastAsia" w:ascii="宋体" w:hAnsi="宋体" w:eastAsia="宋体" w:cs="宋体"/>
                      <w:color w:val="auto"/>
                      <w:kern w:val="21"/>
                      <w:sz w:val="18"/>
                      <w:szCs w:val="18"/>
                      <w:highlight w:val="none"/>
                      <w:lang w:val="en-US" w:eastAsia="zh-CN" w:bidi="ar-SA"/>
                    </w:rPr>
                    <w:t>米，对现有1台600万Kcal/h燃煤热风炉进行改造，改造后使用生物质成型燃料。</w:t>
                  </w:r>
                </w:p>
              </w:tc>
              <w:tc>
                <w:tcPr>
                  <w:tcW w:w="670" w:type="pct"/>
                  <w:noWrap w:val="0"/>
                  <w:vAlign w:val="center"/>
                </w:tcPr>
                <w:p w14:paraId="6775CB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建筑依托、设备改造</w:t>
                  </w:r>
                </w:p>
              </w:tc>
            </w:tr>
            <w:tr w14:paraId="5D4759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6C23E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辅助工程</w:t>
                  </w:r>
                </w:p>
              </w:tc>
              <w:tc>
                <w:tcPr>
                  <w:tcW w:w="716" w:type="pct"/>
                  <w:noWrap w:val="0"/>
                  <w:vAlign w:val="center"/>
                </w:tcPr>
                <w:p w14:paraId="7D555316">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s="Times New Roman"/>
                      <w:color w:val="auto"/>
                      <w:sz w:val="18"/>
                      <w:szCs w:val="18"/>
                      <w:highlight w:val="none"/>
                      <w:lang w:val="en-US" w:eastAsia="zh-CN"/>
                    </w:rPr>
                    <w:t>办公室</w:t>
                  </w:r>
                </w:p>
              </w:tc>
              <w:tc>
                <w:tcPr>
                  <w:tcW w:w="3206" w:type="pct"/>
                  <w:noWrap w:val="0"/>
                  <w:vAlign w:val="center"/>
                </w:tcPr>
                <w:p w14:paraId="4E077546">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vertAlign w:val="baseline"/>
                      <w:lang w:val="en-US" w:eastAsia="zh-CN"/>
                    </w:rPr>
                  </w:pPr>
                  <w:r>
                    <w:rPr>
                      <w:rFonts w:hint="eastAsia" w:cs="Times New Roman"/>
                      <w:color w:val="auto"/>
                      <w:sz w:val="18"/>
                      <w:szCs w:val="18"/>
                      <w:highlight w:val="none"/>
                      <w:lang w:val="en-US" w:eastAsia="zh-CN"/>
                    </w:rPr>
                    <w:t>办公室1</w:t>
                  </w:r>
                  <w:r>
                    <w:rPr>
                      <w:rFonts w:hint="eastAsia" w:cs="Times New Roman"/>
                      <w:color w:val="auto"/>
                      <w:sz w:val="18"/>
                      <w:szCs w:val="18"/>
                      <w:highlight w:val="none"/>
                      <w:lang w:eastAsia="zh-CN"/>
                    </w:rPr>
                    <w:t>占地</w:t>
                  </w:r>
                  <w:r>
                    <w:rPr>
                      <w:rFonts w:hint="default" w:ascii="Times New Roman" w:hAnsi="Times New Roman" w:cs="Times New Roman"/>
                      <w:color w:val="auto"/>
                      <w:sz w:val="18"/>
                      <w:szCs w:val="18"/>
                      <w:highlight w:val="none"/>
                    </w:rPr>
                    <w:t>面积</w:t>
                  </w:r>
                  <w:r>
                    <w:rPr>
                      <w:rFonts w:hint="eastAsia" w:cs="Times New Roman"/>
                      <w:color w:val="auto"/>
                      <w:sz w:val="18"/>
                      <w:szCs w:val="18"/>
                      <w:highlight w:val="none"/>
                      <w:lang w:val="en-US" w:eastAsia="zh-CN"/>
                    </w:rPr>
                    <w:t>253</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eastAsia" w:cs="Times New Roman"/>
                      <w:color w:val="auto"/>
                      <w:sz w:val="18"/>
                      <w:szCs w:val="18"/>
                      <w:highlight w:val="none"/>
                      <w:vertAlign w:val="baseline"/>
                      <w:lang w:eastAsia="zh-CN"/>
                    </w:rPr>
                    <w:t>，</w:t>
                  </w:r>
                  <w:r>
                    <w:rPr>
                      <w:rFonts w:hint="eastAsia" w:cs="Times New Roman"/>
                      <w:color w:val="auto"/>
                      <w:sz w:val="18"/>
                      <w:szCs w:val="18"/>
                      <w:highlight w:val="none"/>
                      <w:vertAlign w:val="baseline"/>
                      <w:lang w:val="en-US" w:eastAsia="zh-CN"/>
                    </w:rPr>
                    <w:t>高3m，单层砖混结构，办公室2占地面积707m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vertAlign w:val="baseline"/>
                      <w:lang w:val="en-US" w:eastAsia="zh-CN"/>
                    </w:rPr>
                    <w:t>，高3米，单层砖混结构，用于企业办公。</w:t>
                  </w:r>
                </w:p>
              </w:tc>
              <w:tc>
                <w:tcPr>
                  <w:tcW w:w="670" w:type="pct"/>
                  <w:noWrap w:val="0"/>
                  <w:vAlign w:val="center"/>
                </w:tcPr>
                <w:p w14:paraId="45D396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1BCCC71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37B5F6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21ED9A9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库房</w:t>
                  </w:r>
                </w:p>
              </w:tc>
              <w:tc>
                <w:tcPr>
                  <w:tcW w:w="3206" w:type="pct"/>
                  <w:noWrap w:val="0"/>
                  <w:vAlign w:val="center"/>
                </w:tcPr>
                <w:p w14:paraId="33644074">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olor w:val="auto"/>
                      <w:highlight w:val="none"/>
                      <w:lang w:val="en-US" w:eastAsia="zh-CN"/>
                    </w:rPr>
                  </w:pPr>
                  <w:r>
                    <w:rPr>
                      <w:rFonts w:hint="eastAsia" w:cs="Times New Roman"/>
                      <w:color w:val="auto"/>
                      <w:sz w:val="18"/>
                      <w:szCs w:val="18"/>
                      <w:highlight w:val="none"/>
                      <w:lang w:val="en-US" w:eastAsia="zh-CN"/>
                    </w:rPr>
                    <w:t>库房1占地面积196m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，高3米，单层砖混结构。库房2占地面积221m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，高6米，双层砖混结构。库房3占地面积138m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，高3米，单层砖混结构。闲置平房1座，占地面积497m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w:t>
                  </w:r>
                </w:p>
              </w:tc>
              <w:tc>
                <w:tcPr>
                  <w:tcW w:w="670" w:type="pct"/>
                  <w:noWrap w:val="0"/>
                  <w:vAlign w:val="center"/>
                </w:tcPr>
                <w:p w14:paraId="20303F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16BB95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1553B8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071DD7D3">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车库</w:t>
                  </w:r>
                </w:p>
              </w:tc>
              <w:tc>
                <w:tcPr>
                  <w:tcW w:w="3206" w:type="pct"/>
                  <w:noWrap w:val="0"/>
                  <w:vAlign w:val="center"/>
                </w:tcPr>
                <w:p w14:paraId="57E91352">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车库1座，占地面积310m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，高5米，单层砖混结构</w:t>
                  </w:r>
                </w:p>
              </w:tc>
              <w:tc>
                <w:tcPr>
                  <w:tcW w:w="670" w:type="pct"/>
                  <w:noWrap w:val="0"/>
                  <w:vAlign w:val="center"/>
                </w:tcPr>
                <w:p w14:paraId="4ADE11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09139A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3E023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34BF6B85">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其他</w:t>
                  </w:r>
                </w:p>
              </w:tc>
              <w:tc>
                <w:tcPr>
                  <w:tcW w:w="3206" w:type="pct"/>
                  <w:noWrap w:val="0"/>
                  <w:vAlign w:val="center"/>
                </w:tcPr>
                <w:p w14:paraId="758B0120">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保管室1座，占地面积252m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，高3米，单层砖混结构，资材室1座，占地面积218m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，高3米，单层砖混结构，电工房1座，占地面积120m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，高3米，单层砖混结构。</w:t>
                  </w:r>
                </w:p>
              </w:tc>
              <w:tc>
                <w:tcPr>
                  <w:tcW w:w="670" w:type="pct"/>
                  <w:noWrap w:val="0"/>
                  <w:vAlign w:val="center"/>
                </w:tcPr>
                <w:p w14:paraId="2A80DC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10D743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4425C9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储运工程</w:t>
                  </w:r>
                </w:p>
              </w:tc>
              <w:tc>
                <w:tcPr>
                  <w:tcW w:w="716" w:type="pct"/>
                  <w:noWrap w:val="0"/>
                  <w:vAlign w:val="center"/>
                </w:tcPr>
                <w:p w14:paraId="317E5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潮粮</w:t>
                  </w:r>
                  <w:r>
                    <w:rPr>
                      <w:rFonts w:hint="eastAsia" w:eastAsia="宋体"/>
                      <w:color w:val="auto"/>
                      <w:sz w:val="18"/>
                      <w:szCs w:val="18"/>
                      <w:highlight w:val="none"/>
                      <w:lang w:val="en-US" w:eastAsia="zh-CN"/>
                    </w:rPr>
                    <w:t>仓</w:t>
                  </w:r>
                </w:p>
              </w:tc>
              <w:tc>
                <w:tcPr>
                  <w:tcW w:w="3206" w:type="pct"/>
                  <w:noWrap w:val="0"/>
                  <w:vAlign w:val="center"/>
                </w:tcPr>
                <w:p w14:paraId="4D1CCD54">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18"/>
                      <w:szCs w:val="18"/>
                      <w:highlight w:val="none"/>
                      <w:lang w:val="en-US" w:eastAsia="zh-CN"/>
                    </w:rPr>
                  </w:pPr>
                  <w:r>
                    <w:rPr>
                      <w:rFonts w:hint="eastAsia"/>
                      <w:color w:val="auto"/>
                      <w:sz w:val="18"/>
                      <w:szCs w:val="18"/>
                      <w:highlight w:val="none"/>
                      <w:lang w:val="en-US" w:eastAsia="zh-CN"/>
                    </w:rPr>
                    <w:t>1</w:t>
                  </w:r>
                  <w:r>
                    <w:rPr>
                      <w:rFonts w:hint="eastAsia" w:ascii="Times New Roman" w:hAnsi="Times New Roman" w:eastAsia="宋体"/>
                      <w:color w:val="auto"/>
                      <w:sz w:val="18"/>
                      <w:szCs w:val="18"/>
                      <w:highlight w:val="none"/>
                      <w:lang w:val="en-US" w:eastAsia="zh-CN"/>
                    </w:rPr>
                    <w:t>座，圆形钢结构</w:t>
                  </w:r>
                  <w:r>
                    <w:rPr>
                      <w:rFonts w:hint="eastAsia"/>
                      <w:color w:val="auto"/>
                      <w:sz w:val="18"/>
                      <w:szCs w:val="18"/>
                      <w:highlight w:val="none"/>
                      <w:lang w:val="en-US" w:eastAsia="zh-CN"/>
                    </w:rPr>
                    <w:t>筒仓</w:t>
                  </w:r>
                  <w:r>
                    <w:rPr>
                      <w:rFonts w:hint="eastAsia" w:ascii="Times New Roman" w:hAnsi="Times New Roman" w:eastAsia="宋体"/>
                      <w:color w:val="auto"/>
                      <w:sz w:val="18"/>
                      <w:szCs w:val="18"/>
                      <w:highlight w:val="none"/>
                      <w:lang w:val="en-US" w:eastAsia="zh-CN"/>
                    </w:rPr>
                    <w:t>，</w:t>
                  </w:r>
                  <w:r>
                    <w:rPr>
                      <w:rFonts w:hint="eastAsia"/>
                      <w:color w:val="auto"/>
                      <w:sz w:val="18"/>
                      <w:szCs w:val="18"/>
                      <w:highlight w:val="none"/>
                      <w:lang w:val="en-US" w:eastAsia="zh-CN"/>
                    </w:rPr>
                    <w:t>直径10米，高20米，</w:t>
                  </w:r>
                  <w:r>
                    <w:rPr>
                      <w:rFonts w:hint="eastAsia" w:ascii="Times New Roman" w:hAnsi="Times New Roman" w:eastAsia="宋体"/>
                      <w:color w:val="auto"/>
                      <w:sz w:val="18"/>
                      <w:szCs w:val="18"/>
                      <w:highlight w:val="none"/>
                      <w:lang w:val="en-US" w:eastAsia="zh-CN"/>
                    </w:rPr>
                    <w:t>有效容积</w:t>
                  </w:r>
                  <w:r>
                    <w:rPr>
                      <w:rFonts w:hint="eastAsia"/>
                      <w:color w:val="auto"/>
                      <w:sz w:val="18"/>
                      <w:szCs w:val="18"/>
                      <w:highlight w:val="none"/>
                      <w:lang w:val="en-US" w:eastAsia="zh-CN"/>
                    </w:rPr>
                    <w:t>约1200</w:t>
                  </w:r>
                  <w:r>
                    <w:rPr>
                      <w:rFonts w:hint="eastAsia" w:ascii="Times New Roman" w:hAnsi="Times New Roman" w:eastAsia="宋体"/>
                      <w:color w:val="auto"/>
                      <w:sz w:val="18"/>
                      <w:szCs w:val="18"/>
                      <w:highlight w:val="none"/>
                      <w:lang w:val="en-US" w:eastAsia="zh-CN"/>
                    </w:rPr>
                    <w:t>t，主要用于</w:t>
                  </w:r>
                  <w:r>
                    <w:rPr>
                      <w:rFonts w:hint="eastAsia"/>
                      <w:color w:val="auto"/>
                      <w:sz w:val="18"/>
                      <w:szCs w:val="18"/>
                      <w:highlight w:val="none"/>
                      <w:lang w:val="en-US" w:eastAsia="zh-CN"/>
                    </w:rPr>
                    <w:t>存储原料。</w:t>
                  </w:r>
                </w:p>
              </w:tc>
              <w:tc>
                <w:tcPr>
                  <w:tcW w:w="670" w:type="pct"/>
                  <w:noWrap w:val="0"/>
                  <w:vAlign w:val="center"/>
                </w:tcPr>
                <w:p w14:paraId="2B20A1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47FE15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21A85D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25BF0F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干粮仓</w:t>
                  </w:r>
                </w:p>
              </w:tc>
              <w:tc>
                <w:tcPr>
                  <w:tcW w:w="3206" w:type="pct"/>
                  <w:noWrap w:val="0"/>
                  <w:vAlign w:val="center"/>
                </w:tcPr>
                <w:p w14:paraId="29B7A672">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1座</w:t>
                  </w:r>
                  <w:r>
                    <w:rPr>
                      <w:rFonts w:hint="eastAsia" w:ascii="Times New Roman" w:hAnsi="Times New Roman" w:eastAsia="宋体"/>
                      <w:color w:val="auto"/>
                      <w:sz w:val="18"/>
                      <w:szCs w:val="18"/>
                      <w:highlight w:val="none"/>
                      <w:lang w:val="en-US" w:eastAsia="zh-CN"/>
                    </w:rPr>
                    <w:t>圆形钢结构</w:t>
                  </w:r>
                  <w:r>
                    <w:rPr>
                      <w:rFonts w:hint="eastAsia"/>
                      <w:color w:val="auto"/>
                      <w:sz w:val="18"/>
                      <w:szCs w:val="18"/>
                      <w:highlight w:val="none"/>
                      <w:lang w:val="en-US" w:eastAsia="zh-CN"/>
                    </w:rPr>
                    <w:t>筒仓</w:t>
                  </w:r>
                  <w:r>
                    <w:rPr>
                      <w:rFonts w:hint="eastAsia" w:ascii="Times New Roman" w:hAnsi="Times New Roman" w:eastAsia="宋体"/>
                      <w:color w:val="auto"/>
                      <w:sz w:val="18"/>
                      <w:szCs w:val="18"/>
                      <w:highlight w:val="none"/>
                      <w:lang w:val="en-US" w:eastAsia="zh-CN"/>
                    </w:rPr>
                    <w:t>，</w:t>
                  </w:r>
                  <w:r>
                    <w:rPr>
                      <w:rFonts w:hint="eastAsia"/>
                      <w:color w:val="auto"/>
                      <w:sz w:val="18"/>
                      <w:szCs w:val="18"/>
                      <w:highlight w:val="none"/>
                      <w:lang w:val="en-US" w:eastAsia="zh-CN"/>
                    </w:rPr>
                    <w:t>直径10米，高20米</w:t>
                  </w:r>
                  <w:r>
                    <w:rPr>
                      <w:rFonts w:hint="eastAsia" w:ascii="Times New Roman" w:hAnsi="Times New Roman" w:eastAsia="宋体"/>
                      <w:color w:val="auto"/>
                      <w:sz w:val="18"/>
                      <w:szCs w:val="18"/>
                      <w:highlight w:val="none"/>
                      <w:lang w:val="en-US" w:eastAsia="zh-CN"/>
                    </w:rPr>
                    <w:t>，有效容积</w:t>
                  </w:r>
                  <w:r>
                    <w:rPr>
                      <w:rFonts w:hint="eastAsia"/>
                      <w:color w:val="auto"/>
                      <w:sz w:val="18"/>
                      <w:szCs w:val="18"/>
                      <w:highlight w:val="none"/>
                      <w:lang w:val="en-US" w:eastAsia="zh-CN"/>
                    </w:rPr>
                    <w:t>约1200</w:t>
                  </w:r>
                  <w:r>
                    <w:rPr>
                      <w:rFonts w:hint="eastAsia" w:ascii="Times New Roman" w:hAnsi="Times New Roman" w:eastAsia="宋体"/>
                      <w:color w:val="auto"/>
                      <w:sz w:val="18"/>
                      <w:szCs w:val="18"/>
                      <w:highlight w:val="none"/>
                      <w:lang w:val="en-US" w:eastAsia="zh-CN"/>
                    </w:rPr>
                    <w:t>t，</w:t>
                  </w:r>
                  <w:r>
                    <w:rPr>
                      <w:rFonts w:hint="eastAsia"/>
                      <w:color w:val="auto"/>
                      <w:sz w:val="18"/>
                      <w:szCs w:val="18"/>
                      <w:highlight w:val="none"/>
                      <w:lang w:val="en-US" w:eastAsia="zh-CN"/>
                    </w:rPr>
                    <w:t>1座砖混结构圆形筒仓，直径13.6米，高15米，</w:t>
                  </w:r>
                  <w:r>
                    <w:rPr>
                      <w:rFonts w:hint="eastAsia" w:ascii="Times New Roman" w:hAnsi="Times New Roman" w:eastAsia="宋体"/>
                      <w:color w:val="auto"/>
                      <w:sz w:val="18"/>
                      <w:szCs w:val="18"/>
                      <w:highlight w:val="none"/>
                      <w:lang w:val="en-US" w:eastAsia="zh-CN"/>
                    </w:rPr>
                    <w:t>有效容积</w:t>
                  </w:r>
                  <w:r>
                    <w:rPr>
                      <w:rFonts w:hint="eastAsia"/>
                      <w:color w:val="auto"/>
                      <w:sz w:val="18"/>
                      <w:szCs w:val="18"/>
                      <w:highlight w:val="none"/>
                      <w:lang w:val="en-US" w:eastAsia="zh-CN"/>
                    </w:rPr>
                    <w:t>约2000</w:t>
                  </w:r>
                  <w:r>
                    <w:rPr>
                      <w:rFonts w:hint="eastAsia" w:ascii="Times New Roman" w:hAnsi="Times New Roman" w:eastAsia="宋体"/>
                      <w:color w:val="auto"/>
                      <w:sz w:val="18"/>
                      <w:szCs w:val="18"/>
                      <w:highlight w:val="none"/>
                      <w:lang w:val="en-US" w:eastAsia="zh-CN"/>
                    </w:rPr>
                    <w:t>t，主要用于暂存烘干后的成品</w:t>
                  </w:r>
                  <w:r>
                    <w:rPr>
                      <w:rFonts w:hint="eastAsia"/>
                      <w:color w:val="auto"/>
                      <w:sz w:val="18"/>
                      <w:szCs w:val="18"/>
                      <w:highlight w:val="none"/>
                      <w:lang w:val="en-US" w:eastAsia="zh-CN"/>
                    </w:rPr>
                    <w:t>。</w:t>
                  </w:r>
                </w:p>
              </w:tc>
              <w:tc>
                <w:tcPr>
                  <w:tcW w:w="670" w:type="pct"/>
                  <w:noWrap w:val="0"/>
                  <w:vAlign w:val="center"/>
                </w:tcPr>
                <w:p w14:paraId="7FA81E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4742BE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09700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2B366A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平方仓</w:t>
                  </w:r>
                </w:p>
              </w:tc>
              <w:tc>
                <w:tcPr>
                  <w:tcW w:w="3206" w:type="pct"/>
                  <w:noWrap w:val="0"/>
                  <w:vAlign w:val="center"/>
                </w:tcPr>
                <w:p w14:paraId="2E778347">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共5座平房仓：平方仓Ⅰ，钢结构，高9米，占地面积8640m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，有效容积约37000t，平方仓Ⅱ，钢结构，高9米，占地面积7182m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，有效容积约28000t，平方仓Ⅲ，砖混结构，高9米，占地面积3060m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，有效容积约13000t，平方仓Ⅳ，钢结构，高9米，占地面积2088m</w:t>
                  </w:r>
                  <w:r>
                    <w:rPr>
                      <w:rFonts w:hint="eastAsia"/>
                      <w:color w:val="auto"/>
                      <w:sz w:val="18"/>
                      <w:szCs w:val="18"/>
                      <w:highlight w:val="none"/>
                      <w:vertAlign w:val="superscript"/>
                      <w:lang w:val="en-US" w:eastAsia="zh-CN"/>
                    </w:rPr>
                    <w:t>2</w:t>
                  </w:r>
                  <w:r>
                    <w:rPr>
                      <w:rFonts w:hint="eastAsia"/>
                      <w:color w:val="auto"/>
                      <w:sz w:val="18"/>
                      <w:szCs w:val="18"/>
                      <w:highlight w:val="none"/>
                      <w:vertAlign w:val="baseline"/>
                      <w:lang w:val="en-US" w:eastAsia="zh-CN"/>
                    </w:rPr>
                    <w:t>有效容积约8500t，平方仓Ⅴ，钢结构，高9米，占地面积4212，有效容积约17000t。</w:t>
                  </w:r>
                </w:p>
              </w:tc>
              <w:tc>
                <w:tcPr>
                  <w:tcW w:w="670" w:type="pct"/>
                  <w:noWrap w:val="0"/>
                  <w:vAlign w:val="center"/>
                </w:tcPr>
                <w:p w14:paraId="7E2CB2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6EF90D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28BC49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6F1BE0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钢结构筒仓</w:t>
                  </w:r>
                </w:p>
              </w:tc>
              <w:tc>
                <w:tcPr>
                  <w:tcW w:w="3206" w:type="pct"/>
                  <w:noWrap w:val="0"/>
                  <w:vAlign w:val="center"/>
                </w:tcPr>
                <w:p w14:paraId="009CEE6E">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共20个筒仓：4个直径30米钢结构筒仓，高15米，单仓有效容积约5000t，12个直径36米钢结构筒仓，高16.5米，单仓有效容积约7000t。4个直径6米砖混结构筒仓，高15米，单仓有效容积约400t。</w:t>
                  </w:r>
                </w:p>
              </w:tc>
              <w:tc>
                <w:tcPr>
                  <w:tcW w:w="670" w:type="pct"/>
                  <w:noWrap w:val="0"/>
                  <w:vAlign w:val="center"/>
                </w:tcPr>
                <w:p w14:paraId="3E5D25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301FBA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15C02D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74D8FB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ascii="Times New Roman" w:hAnsi="Times New Roman" w:eastAsia="宋体"/>
                      <w:color w:val="auto"/>
                      <w:sz w:val="18"/>
                      <w:szCs w:val="18"/>
                      <w:highlight w:val="none"/>
                    </w:rPr>
                    <w:t>燃料库</w:t>
                  </w:r>
                </w:p>
              </w:tc>
              <w:tc>
                <w:tcPr>
                  <w:tcW w:w="3206" w:type="pct"/>
                  <w:noWrap w:val="0"/>
                  <w:vAlign w:val="center"/>
                </w:tcPr>
                <w:p w14:paraId="1F97AF0A">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位于</w:t>
                  </w:r>
                  <w:r>
                    <w:rPr>
                      <w:rFonts w:hint="eastAsia" w:cs="Times New Roman"/>
                      <w:bCs/>
                      <w:color w:val="auto"/>
                      <w:kern w:val="0"/>
                      <w:sz w:val="18"/>
                      <w:szCs w:val="18"/>
                      <w:highlight w:val="none"/>
                      <w:lang w:val="en-US" w:eastAsia="zh-CN"/>
                    </w:rPr>
                    <w:t>热风炉房</w:t>
                  </w:r>
                  <w:r>
                    <w:rPr>
                      <w:rFonts w:hint="eastAsia"/>
                      <w:color w:val="auto"/>
                      <w:sz w:val="18"/>
                      <w:szCs w:val="18"/>
                      <w:highlight w:val="none"/>
                      <w:lang w:val="en-US" w:eastAsia="zh-CN"/>
                    </w:rPr>
                    <w:t>内，用于贮存生物质燃料，</w:t>
                  </w:r>
                  <w:r>
                    <w:rPr>
                      <w:rFonts w:hint="eastAsia" w:ascii="Times New Roman" w:hAnsi="Times New Roman" w:eastAsia="宋体"/>
                      <w:color w:val="auto"/>
                      <w:sz w:val="18"/>
                      <w:szCs w:val="18"/>
                      <w:highlight w:val="none"/>
                    </w:rPr>
                    <w:t>最大存储</w:t>
                  </w:r>
                  <w:r>
                    <w:rPr>
                      <w:rFonts w:hint="eastAsia"/>
                      <w:color w:val="auto"/>
                      <w:sz w:val="18"/>
                      <w:szCs w:val="18"/>
                      <w:highlight w:val="none"/>
                      <w:lang w:val="en-US" w:eastAsia="zh-CN"/>
                    </w:rPr>
                    <w:t>30</w:t>
                  </w:r>
                  <w:r>
                    <w:rPr>
                      <w:rFonts w:hint="eastAsia" w:ascii="Times New Roman" w:hAnsi="Times New Roman" w:eastAsia="宋体"/>
                      <w:color w:val="auto"/>
                      <w:sz w:val="18"/>
                      <w:szCs w:val="18"/>
                      <w:highlight w:val="none"/>
                    </w:rPr>
                    <w:t>t</w:t>
                  </w:r>
                  <w:r>
                    <w:rPr>
                      <w:rFonts w:hint="eastAsia"/>
                      <w:color w:val="auto"/>
                      <w:sz w:val="18"/>
                      <w:szCs w:val="18"/>
                      <w:highlight w:val="none"/>
                      <w:lang w:eastAsia="zh-CN"/>
                    </w:rPr>
                    <w:t>。</w:t>
                  </w:r>
                </w:p>
              </w:tc>
              <w:tc>
                <w:tcPr>
                  <w:tcW w:w="670" w:type="pct"/>
                  <w:noWrap w:val="0"/>
                  <w:vAlign w:val="center"/>
                </w:tcPr>
                <w:p w14:paraId="6EE545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479179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7" w:type="pct"/>
                  <w:vMerge w:val="continue"/>
                  <w:noWrap w:val="0"/>
                  <w:vAlign w:val="center"/>
                </w:tcPr>
                <w:p w14:paraId="19682F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679796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sz w:val="18"/>
                      <w:szCs w:val="18"/>
                      <w:highlight w:val="none"/>
                      <w:lang w:val="en-US" w:eastAsia="zh-CN"/>
                    </w:rPr>
                  </w:pPr>
                  <w:r>
                    <w:rPr>
                      <w:rFonts w:hint="eastAsia" w:ascii="Times New Roman" w:hAnsi="Times New Roman" w:eastAsia="宋体"/>
                      <w:snapToGrid w:val="0"/>
                      <w:color w:val="auto"/>
                      <w:kern w:val="0"/>
                      <w:sz w:val="18"/>
                      <w:szCs w:val="18"/>
                      <w:highlight w:val="none"/>
                      <w:lang w:eastAsia="zh-CN"/>
                    </w:rPr>
                    <w:t>灰</w:t>
                  </w:r>
                  <w:r>
                    <w:rPr>
                      <w:rFonts w:hint="eastAsia" w:ascii="Times New Roman" w:hAnsi="Times New Roman" w:eastAsia="宋体"/>
                      <w:snapToGrid w:val="0"/>
                      <w:color w:val="auto"/>
                      <w:kern w:val="0"/>
                      <w:sz w:val="18"/>
                      <w:szCs w:val="18"/>
                      <w:highlight w:val="none"/>
                    </w:rPr>
                    <w:t>渣</w:t>
                  </w:r>
                  <w:r>
                    <w:rPr>
                      <w:rFonts w:hint="eastAsia"/>
                      <w:snapToGrid w:val="0"/>
                      <w:color w:val="auto"/>
                      <w:kern w:val="0"/>
                      <w:sz w:val="18"/>
                      <w:szCs w:val="18"/>
                      <w:highlight w:val="none"/>
                      <w:lang w:val="en-US" w:eastAsia="zh-CN"/>
                    </w:rPr>
                    <w:t>间</w:t>
                  </w:r>
                </w:p>
              </w:tc>
              <w:tc>
                <w:tcPr>
                  <w:tcW w:w="3206" w:type="pct"/>
                  <w:noWrap w:val="0"/>
                  <w:vAlign w:val="center"/>
                </w:tcPr>
                <w:p w14:paraId="5822F511">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热风炉房</w:t>
                  </w:r>
                  <w:r>
                    <w:rPr>
                      <w:rFonts w:hint="eastAsia" w:cs="Times New Roman"/>
                      <w:color w:val="auto"/>
                      <w:sz w:val="18"/>
                      <w:szCs w:val="18"/>
                      <w:highlight w:val="none"/>
                      <w:lang w:val="en-US" w:eastAsia="zh-CN"/>
                    </w:rPr>
                    <w:t>内设一个密闭灰渣间，</w:t>
                  </w:r>
                  <w:r>
                    <w:rPr>
                      <w:rFonts w:hint="eastAsia" w:ascii="Times New Roman" w:hAnsi="Times New Roman" w:eastAsia="宋体" w:cs="Times New Roman"/>
                      <w:snapToGrid w:val="0"/>
                      <w:color w:val="auto"/>
                      <w:kern w:val="0"/>
                      <w:sz w:val="18"/>
                      <w:szCs w:val="18"/>
                      <w:highlight w:val="none"/>
                      <w:lang w:eastAsia="zh-CN"/>
                    </w:rPr>
                    <w:t>储存能力</w:t>
                  </w:r>
                  <w:r>
                    <w:rPr>
                      <w:rFonts w:hint="eastAsia" w:cs="Times New Roman"/>
                      <w:snapToGrid w:val="0"/>
                      <w:color w:val="auto"/>
                      <w:kern w:val="0"/>
                      <w:sz w:val="18"/>
                      <w:szCs w:val="18"/>
                      <w:highlight w:val="none"/>
                      <w:lang w:val="en-US" w:eastAsia="zh-CN"/>
                    </w:rPr>
                    <w:t>10</w:t>
                  </w:r>
                  <w:r>
                    <w:rPr>
                      <w:rFonts w:hint="eastAsia" w:ascii="Times New Roman" w:hAnsi="Times New Roman" w:eastAsia="宋体" w:cs="Times New Roman"/>
                      <w:snapToGrid w:val="0"/>
                      <w:color w:val="auto"/>
                      <w:kern w:val="0"/>
                      <w:sz w:val="18"/>
                      <w:szCs w:val="18"/>
                      <w:highlight w:val="none"/>
                      <w:lang w:val="en-US" w:eastAsia="zh-CN"/>
                    </w:rPr>
                    <w:t>t，</w:t>
                  </w:r>
                  <w:r>
                    <w:rPr>
                      <w:rFonts w:hint="eastAsia" w:cs="Times New Roman"/>
                      <w:color w:val="auto"/>
                      <w:sz w:val="18"/>
                      <w:szCs w:val="18"/>
                      <w:highlight w:val="none"/>
                      <w:lang w:val="en-US" w:eastAsia="zh-CN"/>
                    </w:rPr>
                    <w:t>热风炉</w:t>
                  </w:r>
                  <w:r>
                    <w:rPr>
                      <w:rFonts w:hint="default" w:ascii="Times New Roman" w:hAnsi="Times New Roman" w:cs="Times New Roman"/>
                      <w:color w:val="auto"/>
                      <w:sz w:val="18"/>
                      <w:szCs w:val="18"/>
                      <w:highlight w:val="none"/>
                    </w:rPr>
                    <w:t>布袋除尘器</w:t>
                  </w:r>
                  <w:r>
                    <w:rPr>
                      <w:rFonts w:hint="eastAsia" w:cs="Times New Roman"/>
                      <w:color w:val="auto"/>
                      <w:sz w:val="18"/>
                      <w:szCs w:val="18"/>
                      <w:highlight w:val="none"/>
                      <w:lang w:val="en-US" w:eastAsia="zh-CN"/>
                    </w:rPr>
                    <w:t>收集粉尘及灰渣袋装存储于灰渣间，每10天清运1次，不在厂区长期储存，外售综合利用</w:t>
                  </w:r>
                  <w:r>
                    <w:rPr>
                      <w:rFonts w:hint="eastAsia" w:ascii="Times New Roman" w:hAnsi="Times New Roman" w:eastAsia="宋体" w:cs="Times New Roman"/>
                      <w:snapToGrid w:val="0"/>
                      <w:color w:val="auto"/>
                      <w:kern w:val="0"/>
                      <w:sz w:val="18"/>
                      <w:szCs w:val="18"/>
                      <w:highlight w:val="none"/>
                      <w:lang w:val="en-US" w:eastAsia="zh-CN"/>
                    </w:rPr>
                    <w:t>。</w:t>
                  </w:r>
                </w:p>
              </w:tc>
              <w:tc>
                <w:tcPr>
                  <w:tcW w:w="670" w:type="pct"/>
                  <w:noWrap w:val="0"/>
                  <w:vAlign w:val="center"/>
                </w:tcPr>
                <w:p w14:paraId="7020F3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27B95B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34610C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公用工程</w:t>
                  </w:r>
                </w:p>
              </w:tc>
              <w:tc>
                <w:tcPr>
                  <w:tcW w:w="716" w:type="pct"/>
                  <w:noWrap w:val="0"/>
                  <w:vAlign w:val="center"/>
                </w:tcPr>
                <w:p w14:paraId="6ADF2A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default"/>
                      <w:color w:val="auto"/>
                      <w:sz w:val="18"/>
                      <w:szCs w:val="18"/>
                      <w:highlight w:val="none"/>
                    </w:rPr>
                    <w:t>供</w:t>
                  </w:r>
                  <w:r>
                    <w:rPr>
                      <w:rFonts w:hint="eastAsia"/>
                      <w:color w:val="auto"/>
                      <w:sz w:val="18"/>
                      <w:szCs w:val="18"/>
                      <w:highlight w:val="none"/>
                      <w:lang w:val="en-US" w:eastAsia="zh-CN"/>
                    </w:rPr>
                    <w:t>水</w:t>
                  </w:r>
                </w:p>
              </w:tc>
              <w:tc>
                <w:tcPr>
                  <w:tcW w:w="3206" w:type="pct"/>
                  <w:noWrap w:val="0"/>
                  <w:vAlign w:val="center"/>
                </w:tcPr>
                <w:p w14:paraId="61D0FF18">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lang w:eastAsia="zh-CN"/>
                    </w:rPr>
                    <w:t>主要为生活用水</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由平阳村自来水供应。</w:t>
                  </w:r>
                </w:p>
              </w:tc>
              <w:tc>
                <w:tcPr>
                  <w:tcW w:w="670" w:type="pct"/>
                  <w:noWrap w:val="0"/>
                  <w:vAlign w:val="center"/>
                </w:tcPr>
                <w:p w14:paraId="1FE791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16DA70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777754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721A4F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lang w:val="en-US" w:eastAsia="zh-CN"/>
                    </w:rPr>
                    <w:t>排</w:t>
                  </w:r>
                  <w:r>
                    <w:rPr>
                      <w:rFonts w:hint="default"/>
                      <w:color w:val="auto"/>
                      <w:sz w:val="18"/>
                      <w:szCs w:val="18"/>
                      <w:highlight w:val="none"/>
                    </w:rPr>
                    <w:t>水</w:t>
                  </w:r>
                </w:p>
              </w:tc>
              <w:tc>
                <w:tcPr>
                  <w:tcW w:w="3206" w:type="pct"/>
                  <w:noWrap w:val="0"/>
                  <w:vAlign w:val="center"/>
                </w:tcPr>
                <w:p w14:paraId="26B37D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eastAsia="宋体"/>
                      <w:color w:val="auto"/>
                      <w:sz w:val="18"/>
                      <w:szCs w:val="18"/>
                      <w:highlight w:val="none"/>
                      <w:lang w:val="en-US" w:eastAsia="zh-CN"/>
                    </w:rPr>
                  </w:pPr>
                  <w:r>
                    <w:rPr>
                      <w:rFonts w:hint="eastAsia"/>
                      <w:bCs/>
                      <w:color w:val="auto"/>
                      <w:sz w:val="18"/>
                      <w:szCs w:val="18"/>
                      <w:highlight w:val="none"/>
                    </w:rPr>
                    <w:t>本项目生产过程中无废水产生，</w:t>
                  </w:r>
                  <w:r>
                    <w:rPr>
                      <w:rFonts w:hint="eastAsia"/>
                      <w:bCs/>
                      <w:color w:val="auto"/>
                      <w:sz w:val="18"/>
                      <w:szCs w:val="18"/>
                      <w:highlight w:val="none"/>
                      <w:lang w:eastAsia="zh-CN"/>
                    </w:rPr>
                    <w:t>生活污水排入防渗旱厕，定期清掏外运堆肥，不外排。</w:t>
                  </w:r>
                </w:p>
              </w:tc>
              <w:tc>
                <w:tcPr>
                  <w:tcW w:w="670" w:type="pct"/>
                  <w:noWrap w:val="0"/>
                  <w:vAlign w:val="center"/>
                </w:tcPr>
                <w:p w14:paraId="7CA95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7A5A28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1426BD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629F1F34">
                  <w:pPr>
                    <w:pStyle w:val="1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供电</w:t>
                  </w:r>
                </w:p>
              </w:tc>
              <w:tc>
                <w:tcPr>
                  <w:tcW w:w="3206" w:type="pct"/>
                  <w:noWrap w:val="0"/>
                  <w:vAlign w:val="center"/>
                </w:tcPr>
                <w:p w14:paraId="0C4E0F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color w:val="auto"/>
                      <w:sz w:val="18"/>
                      <w:szCs w:val="18"/>
                      <w:highlight w:val="none"/>
                      <w:lang w:val="en-US" w:eastAsia="zh-CN"/>
                    </w:rPr>
                  </w:pPr>
                  <w:r>
                    <w:rPr>
                      <w:rFonts w:hint="default" w:ascii="Times New Roman" w:hAnsi="Times New Roman" w:cs="Times New Roman"/>
                      <w:bCs/>
                      <w:color w:val="auto"/>
                      <w:sz w:val="18"/>
                      <w:szCs w:val="18"/>
                      <w:highlight w:val="none"/>
                    </w:rPr>
                    <w:t>由</w:t>
                  </w:r>
                  <w:r>
                    <w:rPr>
                      <w:rFonts w:hint="default" w:ascii="Times New Roman" w:hAnsi="Times New Roman" w:cs="Times New Roman"/>
                      <w:color w:val="auto"/>
                      <w:sz w:val="18"/>
                      <w:szCs w:val="18"/>
                      <w:highlight w:val="none"/>
                    </w:rPr>
                    <w:t>当地电业局供给</w:t>
                  </w:r>
                </w:p>
              </w:tc>
              <w:tc>
                <w:tcPr>
                  <w:tcW w:w="670" w:type="pct"/>
                  <w:noWrap w:val="0"/>
                  <w:vAlign w:val="center"/>
                </w:tcPr>
                <w:p w14:paraId="6D9C60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4B35E3C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6219FF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61236CED">
                  <w:pPr>
                    <w:pStyle w:val="1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rPr>
                    <w:t>供热</w:t>
                  </w:r>
                  <w:r>
                    <w:rPr>
                      <w:rFonts w:hint="eastAsia"/>
                      <w:color w:val="auto"/>
                      <w:sz w:val="18"/>
                      <w:szCs w:val="18"/>
                      <w:highlight w:val="none"/>
                      <w:lang w:val="en-US" w:eastAsia="zh-CN"/>
                    </w:rPr>
                    <w:t>供暖</w:t>
                  </w:r>
                </w:p>
              </w:tc>
              <w:tc>
                <w:tcPr>
                  <w:tcW w:w="3206" w:type="pct"/>
                  <w:noWrap w:val="0"/>
                  <w:vAlign w:val="center"/>
                </w:tcPr>
                <w:p w14:paraId="58B3085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项目生产用热由热风炉提供，</w:t>
                  </w:r>
                  <w:r>
                    <w:rPr>
                      <w:rFonts w:hint="eastAsia" w:cs="Times New Roman"/>
                      <w:color w:val="auto"/>
                      <w:sz w:val="18"/>
                      <w:szCs w:val="18"/>
                      <w:highlight w:val="none"/>
                      <w:lang w:val="en-US" w:eastAsia="zh-CN"/>
                    </w:rPr>
                    <w:t>供暖为电取暖。</w:t>
                  </w:r>
                </w:p>
              </w:tc>
              <w:tc>
                <w:tcPr>
                  <w:tcW w:w="670" w:type="pct"/>
                  <w:noWrap w:val="0"/>
                  <w:vAlign w:val="center"/>
                </w:tcPr>
                <w:p w14:paraId="75D68F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依托</w:t>
                  </w:r>
                </w:p>
              </w:tc>
            </w:tr>
            <w:tr w14:paraId="30821F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24847A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环保工程</w:t>
                  </w:r>
                </w:p>
              </w:tc>
              <w:tc>
                <w:tcPr>
                  <w:tcW w:w="716" w:type="pct"/>
                  <w:vMerge w:val="restart"/>
                  <w:noWrap w:val="0"/>
                  <w:vAlign w:val="center"/>
                </w:tcPr>
                <w:p w14:paraId="139B6E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default"/>
                      <w:color w:val="auto"/>
                      <w:sz w:val="18"/>
                      <w:szCs w:val="18"/>
                      <w:highlight w:val="none"/>
                    </w:rPr>
                    <w:t>废</w:t>
                  </w:r>
                  <w:r>
                    <w:rPr>
                      <w:rFonts w:hint="eastAsia"/>
                      <w:color w:val="auto"/>
                      <w:sz w:val="18"/>
                      <w:szCs w:val="18"/>
                      <w:highlight w:val="none"/>
                      <w:lang w:val="en-US" w:eastAsia="zh-CN"/>
                    </w:rPr>
                    <w:t>气</w:t>
                  </w:r>
                </w:p>
              </w:tc>
              <w:tc>
                <w:tcPr>
                  <w:tcW w:w="3206" w:type="pct"/>
                  <w:noWrap w:val="0"/>
                  <w:vAlign w:val="center"/>
                </w:tcPr>
                <w:p w14:paraId="12F78A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auto"/>
                      <w:sz w:val="18"/>
                      <w:szCs w:val="18"/>
                      <w:highlight w:val="none"/>
                    </w:rPr>
                  </w:pPr>
                  <w:r>
                    <w:rPr>
                      <w:rFonts w:hint="default" w:ascii="Times New Roman" w:hAnsi="Times New Roman" w:cs="Times New Roman"/>
                      <w:color w:val="auto"/>
                      <w:sz w:val="18"/>
                      <w:szCs w:val="18"/>
                      <w:highlight w:val="none"/>
                      <w:lang w:eastAsia="zh-CN"/>
                    </w:rPr>
                    <w:t>热风炉烟气：本项目</w:t>
                  </w:r>
                  <w:r>
                    <w:rPr>
                      <w:rFonts w:hint="default" w:ascii="Times New Roman" w:hAnsi="Times New Roman" w:cs="Times New Roman"/>
                      <w:color w:val="auto"/>
                      <w:sz w:val="18"/>
                      <w:szCs w:val="18"/>
                      <w:highlight w:val="none"/>
                    </w:rPr>
                    <w:t>热风炉</w:t>
                  </w:r>
                  <w:r>
                    <w:rPr>
                      <w:rFonts w:hint="default" w:ascii="Times New Roman" w:hAnsi="Times New Roman" w:cs="Times New Roman"/>
                      <w:color w:val="auto"/>
                      <w:sz w:val="18"/>
                      <w:szCs w:val="18"/>
                      <w:highlight w:val="none"/>
                      <w:lang w:eastAsia="zh-CN"/>
                    </w:rPr>
                    <w:t>烟</w:t>
                  </w:r>
                  <w:r>
                    <w:rPr>
                      <w:rFonts w:hint="default" w:ascii="Times New Roman" w:hAnsi="Times New Roman" w:cs="Times New Roman"/>
                      <w:color w:val="auto"/>
                      <w:sz w:val="18"/>
                      <w:szCs w:val="18"/>
                      <w:highlight w:val="none"/>
                    </w:rPr>
                    <w:t>气</w:t>
                  </w:r>
                  <w:r>
                    <w:rPr>
                      <w:rFonts w:hint="default" w:ascii="Times New Roman" w:hAnsi="Times New Roman" w:cs="Times New Roman"/>
                      <w:color w:val="auto"/>
                      <w:sz w:val="18"/>
                      <w:szCs w:val="18"/>
                      <w:highlight w:val="none"/>
                      <w:lang w:eastAsia="zh-CN"/>
                    </w:rPr>
                    <w:t>通过</w:t>
                  </w:r>
                  <w:r>
                    <w:rPr>
                      <w:rFonts w:hint="eastAsia" w:ascii="Times New Roman" w:hAnsi="Times New Roman" w:cs="Times New Roman"/>
                      <w:color w:val="auto"/>
                      <w:sz w:val="18"/>
                      <w:szCs w:val="18"/>
                      <w:highlight w:val="none"/>
                      <w:lang w:eastAsia="zh-CN"/>
                    </w:rPr>
                    <w:t>布袋除尘器</w:t>
                  </w:r>
                  <w:r>
                    <w:rPr>
                      <w:rFonts w:hint="default" w:ascii="Times New Roman" w:hAnsi="Times New Roman" w:cs="Times New Roman"/>
                      <w:color w:val="auto"/>
                      <w:sz w:val="18"/>
                      <w:szCs w:val="18"/>
                      <w:highlight w:val="none"/>
                      <w:lang w:val="en-US" w:eastAsia="zh-CN"/>
                    </w:rPr>
                    <w:t>处理</w:t>
                  </w:r>
                  <w:r>
                    <w:rPr>
                      <w:rFonts w:hint="default" w:ascii="Times New Roman" w:hAnsi="Times New Roman" w:cs="Times New Roman"/>
                      <w:color w:val="auto"/>
                      <w:sz w:val="18"/>
                      <w:szCs w:val="18"/>
                      <w:highlight w:val="none"/>
                      <w:lang w:eastAsia="zh-CN"/>
                    </w:rPr>
                    <w:t>后经</w:t>
                  </w:r>
                  <w:r>
                    <w:rPr>
                      <w:rFonts w:hint="eastAsia" w:cs="Times New Roman"/>
                      <w:color w:val="auto"/>
                      <w:sz w:val="18"/>
                      <w:szCs w:val="18"/>
                      <w:highlight w:val="none"/>
                      <w:lang w:val="en-US" w:eastAsia="zh-CN"/>
                    </w:rPr>
                    <w:t>25m</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宋体" w:hAnsi="宋体" w:eastAsia="宋体" w:cs="宋体"/>
                      <w:color w:val="auto"/>
                      <w:sz w:val="18"/>
                      <w:szCs w:val="18"/>
                      <w:highlight w:val="none"/>
                      <w:lang w:val="en-US" w:eastAsia="zh-CN"/>
                    </w:rPr>
                    <w:t>DA00</w:t>
                  </w:r>
                  <w:r>
                    <w:rPr>
                      <w:rFonts w:hint="eastAsia" w:ascii="宋体" w:hAnsi="宋体" w:cs="宋体"/>
                      <w:color w:val="auto"/>
                      <w:sz w:val="18"/>
                      <w:szCs w:val="18"/>
                      <w:highlight w:val="none"/>
                      <w:lang w:val="en-US" w:eastAsia="zh-CN"/>
                    </w:rPr>
                    <w:t>1</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eastAsia="zh-CN"/>
                    </w:rPr>
                    <w:t>排放，SO</w:t>
                  </w:r>
                  <w:r>
                    <w:rPr>
                      <w:rFonts w:hint="default" w:ascii="Times New Roman" w:hAnsi="Times New Roman" w:cs="Times New Roman"/>
                      <w:color w:val="auto"/>
                      <w:sz w:val="18"/>
                      <w:szCs w:val="18"/>
                      <w:highlight w:val="none"/>
                      <w:vertAlign w:val="subscript"/>
                      <w:lang w:eastAsia="zh-CN"/>
                    </w:rPr>
                    <w:t>2</w:t>
                  </w:r>
                  <w:r>
                    <w:rPr>
                      <w:rFonts w:hint="default" w:ascii="Times New Roman" w:hAnsi="Times New Roman" w:cs="Times New Roman"/>
                      <w:color w:val="auto"/>
                      <w:sz w:val="18"/>
                      <w:szCs w:val="18"/>
                      <w:highlight w:val="none"/>
                      <w:lang w:eastAsia="zh-CN"/>
                    </w:rPr>
                    <w:t>排放浓度</w:t>
                  </w:r>
                  <w:r>
                    <w:rPr>
                      <w:rFonts w:hint="eastAsia" w:cs="Times New Roman"/>
                      <w:color w:val="auto"/>
                      <w:sz w:val="18"/>
                      <w:szCs w:val="18"/>
                      <w:highlight w:val="none"/>
                      <w:lang w:val="en-US" w:eastAsia="zh-CN"/>
                    </w:rPr>
                    <w:t>符合</w:t>
                  </w:r>
                  <w:r>
                    <w:rPr>
                      <w:rFonts w:hint="default" w:ascii="Times New Roman" w:hAnsi="Times New Roman" w:cs="Times New Roman"/>
                      <w:color w:val="auto"/>
                      <w:sz w:val="18"/>
                      <w:szCs w:val="18"/>
                      <w:highlight w:val="none"/>
                      <w:lang w:eastAsia="zh-CN"/>
                    </w:rPr>
                    <w:t>《工业炉窑大气污染物排放标准》（GB9078-1996）中的表4中的二级标准，</w:t>
                  </w:r>
                  <w:r>
                    <w:rPr>
                      <w:rFonts w:hint="eastAsia" w:cs="Times New Roman"/>
                      <w:color w:val="auto"/>
                      <w:sz w:val="18"/>
                      <w:szCs w:val="18"/>
                      <w:highlight w:val="none"/>
                      <w:lang w:eastAsia="zh-CN"/>
                    </w:rPr>
                    <w:t>颗粒物排放浓度及烟气黑度符合</w:t>
                  </w:r>
                  <w:r>
                    <w:rPr>
                      <w:rFonts w:hint="default" w:ascii="Times New Roman" w:hAnsi="Times New Roman" w:cs="Times New Roman"/>
                      <w:color w:val="auto"/>
                      <w:sz w:val="18"/>
                      <w:szCs w:val="18"/>
                      <w:highlight w:val="none"/>
                      <w:lang w:eastAsia="zh-CN"/>
                    </w:rPr>
                    <w:t>《工业炉窑大气污染物排放标准》（GB9078-1996）中的表2中的二级标准</w:t>
                  </w:r>
                  <w:r>
                    <w:rPr>
                      <w:rFonts w:hint="eastAsia" w:cs="Times New Roman"/>
                      <w:color w:val="auto"/>
                      <w:sz w:val="18"/>
                      <w:szCs w:val="18"/>
                      <w:highlight w:val="none"/>
                      <w:lang w:eastAsia="zh-CN"/>
                    </w:rPr>
                    <w:t>。</w:t>
                  </w:r>
                </w:p>
              </w:tc>
              <w:tc>
                <w:tcPr>
                  <w:tcW w:w="670" w:type="pct"/>
                  <w:noWrap w:val="0"/>
                  <w:vAlign w:val="center"/>
                </w:tcPr>
                <w:p w14:paraId="7CE4FE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339BB7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53C58E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vMerge w:val="continue"/>
                  <w:noWrap w:val="0"/>
                  <w:vAlign w:val="center"/>
                </w:tcPr>
                <w:p w14:paraId="07F523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p>
              </w:tc>
              <w:tc>
                <w:tcPr>
                  <w:tcW w:w="3206" w:type="pct"/>
                  <w:noWrap w:val="0"/>
                  <w:vAlign w:val="center"/>
                </w:tcPr>
                <w:p w14:paraId="277E5B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原料烘干</w:t>
                  </w:r>
                  <w:r>
                    <w:rPr>
                      <w:rFonts w:hint="default" w:ascii="Times New Roman" w:hAnsi="Times New Roman" w:cs="Times New Roman"/>
                      <w:color w:val="auto"/>
                      <w:sz w:val="18"/>
                      <w:szCs w:val="18"/>
                      <w:highlight w:val="none"/>
                      <w:lang w:eastAsia="zh-CN"/>
                    </w:rPr>
                    <w:t>、运输</w:t>
                  </w:r>
                  <w:r>
                    <w:rPr>
                      <w:rFonts w:hint="eastAsia" w:cs="Times New Roman"/>
                      <w:color w:val="auto"/>
                      <w:sz w:val="18"/>
                      <w:szCs w:val="18"/>
                      <w:highlight w:val="none"/>
                      <w:lang w:val="en-US" w:eastAsia="zh-CN"/>
                    </w:rPr>
                    <w:t>及筛分</w:t>
                  </w:r>
                  <w:r>
                    <w:rPr>
                      <w:rFonts w:hint="default" w:ascii="Times New Roman" w:hAnsi="Times New Roman" w:cs="Times New Roman"/>
                      <w:color w:val="auto"/>
                      <w:sz w:val="18"/>
                      <w:szCs w:val="18"/>
                      <w:highlight w:val="none"/>
                    </w:rPr>
                    <w:t>过程会有</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产生，此部分</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以无组织的形式排放。装卸工段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r>
                    <w:rPr>
                      <w:rFonts w:hint="default" w:ascii="Times New Roman" w:hAnsi="Times New Roman" w:cs="Times New Roman"/>
                      <w:color w:val="auto"/>
                      <w:sz w:val="18"/>
                      <w:szCs w:val="18"/>
                      <w:highlight w:val="none"/>
                      <w:lang w:eastAsia="zh-CN"/>
                    </w:rPr>
                    <w:t>。燃料库</w:t>
                  </w:r>
                  <w:r>
                    <w:rPr>
                      <w:rFonts w:hint="eastAsia" w:cs="Times New Roman"/>
                      <w:color w:val="auto"/>
                      <w:sz w:val="18"/>
                      <w:szCs w:val="18"/>
                      <w:highlight w:val="none"/>
                      <w:lang w:eastAsia="zh-CN"/>
                    </w:rPr>
                    <w:t>、</w:t>
                  </w:r>
                  <w:r>
                    <w:rPr>
                      <w:rFonts w:hint="eastAsia" w:cs="Times New Roman"/>
                      <w:bCs/>
                      <w:color w:val="auto"/>
                      <w:kern w:val="0"/>
                      <w:sz w:val="18"/>
                      <w:szCs w:val="18"/>
                      <w:highlight w:val="none"/>
                      <w:lang w:val="en-US" w:eastAsia="zh-CN"/>
                    </w:rPr>
                    <w:t>热风炉房</w:t>
                  </w:r>
                  <w:r>
                    <w:rPr>
                      <w:rFonts w:hint="default" w:ascii="Times New Roman" w:hAnsi="Times New Roman" w:cs="Times New Roman"/>
                      <w:color w:val="auto"/>
                      <w:sz w:val="18"/>
                      <w:szCs w:val="18"/>
                      <w:highlight w:val="none"/>
                      <w:lang w:eastAsia="zh-CN"/>
                    </w:rPr>
                    <w:t>密闭并定期洒水抑尘，减少粉尘扩散，</w:t>
                  </w:r>
                  <w:r>
                    <w:rPr>
                      <w:rFonts w:hint="default" w:ascii="Times New Roman" w:hAnsi="Times New Roman" w:cs="Times New Roman"/>
                      <w:color w:val="auto"/>
                      <w:sz w:val="18"/>
                      <w:szCs w:val="18"/>
                      <w:highlight w:val="none"/>
                    </w:rPr>
                    <w:t>厂界颗粒物排放浓度符合《大气污染物综合排放标准》（GB16297-1996）表2无组织排放浓度限值要求</w:t>
                  </w:r>
                  <w:r>
                    <w:rPr>
                      <w:rFonts w:hint="eastAsia" w:cs="Times New Roman"/>
                      <w:color w:val="auto"/>
                      <w:sz w:val="18"/>
                      <w:szCs w:val="18"/>
                      <w:highlight w:val="none"/>
                      <w:lang w:eastAsia="zh-CN"/>
                    </w:rPr>
                    <w:t>。</w:t>
                  </w:r>
                </w:p>
              </w:tc>
              <w:tc>
                <w:tcPr>
                  <w:tcW w:w="670" w:type="pct"/>
                  <w:noWrap w:val="0"/>
                  <w:vAlign w:val="center"/>
                </w:tcPr>
                <w:p w14:paraId="395AB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27D9DD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79EF8D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C62FD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废</w:t>
                  </w:r>
                  <w:r>
                    <w:rPr>
                      <w:rFonts w:hint="eastAsia"/>
                      <w:color w:val="auto"/>
                      <w:sz w:val="18"/>
                      <w:szCs w:val="18"/>
                      <w:highlight w:val="none"/>
                      <w:lang w:val="en-US" w:eastAsia="zh-CN"/>
                    </w:rPr>
                    <w:t>水</w:t>
                  </w:r>
                </w:p>
              </w:tc>
              <w:tc>
                <w:tcPr>
                  <w:tcW w:w="3206" w:type="pct"/>
                  <w:noWrap w:val="0"/>
                  <w:vAlign w:val="center"/>
                </w:tcPr>
                <w:p w14:paraId="18097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sz w:val="18"/>
                      <w:szCs w:val="18"/>
                      <w:highlight w:val="none"/>
                      <w:lang w:val="en-US" w:eastAsia="zh-CN"/>
                    </w:rPr>
                  </w:pPr>
                  <w:r>
                    <w:rPr>
                      <w:rFonts w:hint="eastAsia"/>
                      <w:bCs/>
                      <w:color w:val="auto"/>
                      <w:sz w:val="18"/>
                      <w:szCs w:val="18"/>
                      <w:highlight w:val="none"/>
                    </w:rPr>
                    <w:t>本项目生产过程中无废水产生，</w:t>
                  </w:r>
                  <w:r>
                    <w:rPr>
                      <w:rFonts w:hint="eastAsia"/>
                      <w:bCs/>
                      <w:color w:val="auto"/>
                      <w:sz w:val="18"/>
                      <w:szCs w:val="18"/>
                      <w:highlight w:val="none"/>
                      <w:lang w:eastAsia="zh-CN"/>
                    </w:rPr>
                    <w:t>生活污水排入防渗旱厕，定期清掏外运堆肥，不外排。</w:t>
                  </w:r>
                </w:p>
              </w:tc>
              <w:tc>
                <w:tcPr>
                  <w:tcW w:w="670" w:type="pct"/>
                  <w:noWrap w:val="0"/>
                  <w:vAlign w:val="center"/>
                </w:tcPr>
                <w:p w14:paraId="7E5FB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0E978D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3A92E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7DDC14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default"/>
                      <w:color w:val="auto"/>
                      <w:sz w:val="18"/>
                      <w:szCs w:val="18"/>
                      <w:highlight w:val="none"/>
                    </w:rPr>
                    <w:t>噪声</w:t>
                  </w:r>
                </w:p>
              </w:tc>
              <w:tc>
                <w:tcPr>
                  <w:tcW w:w="3206" w:type="pct"/>
                  <w:noWrap w:val="0"/>
                  <w:vAlign w:val="center"/>
                </w:tcPr>
                <w:p w14:paraId="1578BD3D">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设备运行</w:t>
                  </w:r>
                  <w:r>
                    <w:rPr>
                      <w:rFonts w:hint="default" w:ascii="Times New Roman" w:hAnsi="Times New Roman" w:cs="Times New Roman"/>
                      <w:color w:val="auto"/>
                      <w:sz w:val="18"/>
                      <w:szCs w:val="18"/>
                      <w:highlight w:val="none"/>
                      <w:lang w:eastAsia="zh-CN"/>
                    </w:rPr>
                    <w:t>产生的噪声</w:t>
                  </w:r>
                  <w:r>
                    <w:rPr>
                      <w:rFonts w:hint="default" w:ascii="Times New Roman" w:hAnsi="Times New Roman" w:cs="Times New Roman"/>
                      <w:color w:val="auto"/>
                      <w:sz w:val="18"/>
                      <w:szCs w:val="18"/>
                      <w:highlight w:val="none"/>
                    </w:rPr>
                    <w:t>经</w:t>
                  </w: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安装消声器</w:t>
                  </w:r>
                  <w:r>
                    <w:rPr>
                      <w:rFonts w:hint="default" w:ascii="Times New Roman" w:hAnsi="Times New Roman" w:cs="Times New Roman"/>
                      <w:color w:val="auto"/>
                      <w:sz w:val="18"/>
                      <w:szCs w:val="18"/>
                      <w:highlight w:val="none"/>
                      <w:lang w:eastAsia="zh-CN"/>
                    </w:rPr>
                    <w:t>等措施处理</w:t>
                  </w:r>
                  <w:r>
                    <w:rPr>
                      <w:rFonts w:hint="default" w:ascii="Times New Roman" w:hAnsi="Times New Roman" w:cs="Times New Roman"/>
                      <w:color w:val="auto"/>
                      <w:sz w:val="18"/>
                      <w:szCs w:val="18"/>
                      <w:highlight w:val="none"/>
                    </w:rPr>
                    <w:t>后</w:t>
                  </w:r>
                  <w:r>
                    <w:rPr>
                      <w:rFonts w:hint="eastAsia" w:ascii="Times New Roman" w:hAnsi="Times New Roman" w:cs="Times New Roman"/>
                      <w:color w:val="auto"/>
                      <w:sz w:val="18"/>
                      <w:szCs w:val="18"/>
                      <w:highlight w:val="none"/>
                      <w:lang w:eastAsia="zh-CN"/>
                    </w:rPr>
                    <w:t>，厂界满足</w:t>
                  </w:r>
                  <w:r>
                    <w:rPr>
                      <w:rFonts w:hint="default" w:ascii="Times New Roman" w:hAnsi="Times New Roman" w:cs="Times New Roman"/>
                      <w:color w:val="auto"/>
                      <w:sz w:val="18"/>
                      <w:szCs w:val="18"/>
                      <w:highlight w:val="none"/>
                    </w:rPr>
                    <w:t>《工业企业厂界环境噪声排放标准》（GB12348-2008）中</w:t>
                  </w:r>
                  <w:r>
                    <w:rPr>
                      <w:rFonts w:hint="eastAsia" w:cs="Times New Roman"/>
                      <w:color w:val="auto"/>
                      <w:sz w:val="18"/>
                      <w:szCs w:val="18"/>
                      <w:highlight w:val="none"/>
                      <w:lang w:val="en-US" w:eastAsia="zh-CN"/>
                    </w:rPr>
                    <w:t>2类</w:t>
                  </w:r>
                  <w:r>
                    <w:rPr>
                      <w:rFonts w:hint="default" w:ascii="Times New Roman" w:hAnsi="Times New Roman" w:cs="Times New Roman"/>
                      <w:color w:val="auto"/>
                      <w:sz w:val="18"/>
                      <w:szCs w:val="18"/>
                      <w:highlight w:val="none"/>
                    </w:rPr>
                    <w:t>标准</w:t>
                  </w:r>
                  <w:r>
                    <w:rPr>
                      <w:rFonts w:hint="eastAsia" w:cs="Times New Roman"/>
                      <w:color w:val="auto"/>
                      <w:sz w:val="18"/>
                      <w:szCs w:val="18"/>
                      <w:highlight w:val="none"/>
                      <w:lang w:eastAsia="zh-CN"/>
                    </w:rPr>
                    <w:t>。</w:t>
                  </w:r>
                </w:p>
              </w:tc>
              <w:tc>
                <w:tcPr>
                  <w:tcW w:w="670" w:type="pct"/>
                  <w:noWrap w:val="0"/>
                  <w:vAlign w:val="center"/>
                </w:tcPr>
                <w:p w14:paraId="6E2A89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依托</w:t>
                  </w:r>
                </w:p>
              </w:tc>
            </w:tr>
            <w:tr w14:paraId="2859E2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24D9CC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230852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固体废物</w:t>
                  </w:r>
                </w:p>
              </w:tc>
              <w:tc>
                <w:tcPr>
                  <w:tcW w:w="3206" w:type="pct"/>
                  <w:noWrap w:val="0"/>
                  <w:vAlign w:val="center"/>
                </w:tcPr>
                <w:p w14:paraId="0E220F8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sz w:val="18"/>
                      <w:szCs w:val="18"/>
                      <w:highlight w:val="none"/>
                    </w:rPr>
                  </w:pPr>
                  <w:r>
                    <w:rPr>
                      <w:rFonts w:hint="default"/>
                      <w:color w:val="auto"/>
                      <w:sz w:val="18"/>
                      <w:szCs w:val="18"/>
                      <w:highlight w:val="none"/>
                    </w:rPr>
                    <w:t>本项目</w:t>
                  </w:r>
                  <w:r>
                    <w:rPr>
                      <w:rFonts w:hint="eastAsia"/>
                      <w:color w:val="auto"/>
                      <w:sz w:val="18"/>
                      <w:szCs w:val="18"/>
                      <w:highlight w:val="none"/>
                      <w:lang w:val="en-US" w:eastAsia="zh-CN"/>
                    </w:rPr>
                    <w:t>热风炉</w:t>
                  </w:r>
                  <w:r>
                    <w:rPr>
                      <w:rFonts w:hint="eastAsia"/>
                      <w:color w:val="auto"/>
                      <w:sz w:val="18"/>
                      <w:szCs w:val="18"/>
                      <w:highlight w:val="none"/>
                    </w:rPr>
                    <w:t>布袋除尘器收尘</w:t>
                  </w:r>
                  <w:r>
                    <w:rPr>
                      <w:rFonts w:hint="eastAsia"/>
                      <w:color w:val="auto"/>
                      <w:sz w:val="18"/>
                      <w:szCs w:val="18"/>
                      <w:highlight w:val="none"/>
                      <w:lang w:val="en-US" w:eastAsia="zh-CN"/>
                    </w:rPr>
                    <w:t>及</w:t>
                  </w:r>
                  <w:r>
                    <w:rPr>
                      <w:rFonts w:hint="eastAsia"/>
                      <w:color w:val="auto"/>
                      <w:sz w:val="18"/>
                      <w:szCs w:val="18"/>
                      <w:highlight w:val="none"/>
                    </w:rPr>
                    <w:t>热风炉</w:t>
                  </w:r>
                  <w:r>
                    <w:rPr>
                      <w:rFonts w:hint="eastAsia"/>
                      <w:color w:val="auto"/>
                      <w:sz w:val="18"/>
                      <w:szCs w:val="18"/>
                      <w:highlight w:val="none"/>
                      <w:lang w:eastAsia="zh-CN"/>
                    </w:rPr>
                    <w:t>灰渣</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袋装存储于灰渣间，每10天清运1次，不在厂区长期储存，外售综合利用</w:t>
                  </w:r>
                  <w:r>
                    <w:rPr>
                      <w:rFonts w:hint="eastAsia" w:cs="Times New Roman"/>
                      <w:color w:val="auto"/>
                      <w:kern w:val="21"/>
                      <w:sz w:val="18"/>
                      <w:szCs w:val="18"/>
                      <w:highlight w:val="none"/>
                      <w:lang w:val="en-US" w:eastAsia="zh-CN"/>
                    </w:rPr>
                    <w:t>；</w:t>
                  </w:r>
                  <w:r>
                    <w:rPr>
                      <w:rFonts w:hint="eastAsia" w:ascii="宋体" w:hAnsi="宋体" w:cs="宋体"/>
                      <w:color w:val="auto"/>
                      <w:sz w:val="18"/>
                      <w:szCs w:val="18"/>
                      <w:highlight w:val="none"/>
                      <w:lang w:val="en-US" w:eastAsia="zh-CN"/>
                    </w:rPr>
                    <w:t>废布袋，</w:t>
                  </w:r>
                  <w:r>
                    <w:rPr>
                      <w:rFonts w:hint="eastAsia" w:ascii="宋体" w:hAnsi="宋体" w:cs="宋体"/>
                      <w:color w:val="auto"/>
                      <w:sz w:val="18"/>
                      <w:szCs w:val="18"/>
                      <w:highlight w:val="none"/>
                    </w:rPr>
                    <w:t>由除尘器厂家更换后直接带走</w:t>
                  </w:r>
                  <w:r>
                    <w:rPr>
                      <w:rFonts w:hint="eastAsia" w:ascii="宋体" w:hAnsi="宋体" w:cs="宋体"/>
                      <w:color w:val="auto"/>
                      <w:sz w:val="18"/>
                      <w:szCs w:val="18"/>
                      <w:highlight w:val="none"/>
                      <w:lang w:eastAsia="zh-CN"/>
                    </w:rPr>
                    <w:t>；</w:t>
                  </w: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及输送装卸、烘干</w:t>
                  </w:r>
                  <w:r>
                    <w:rPr>
                      <w:rFonts w:hint="eastAsia" w:cs="Times New Roman"/>
                      <w:color w:val="auto"/>
                      <w:sz w:val="18"/>
                      <w:szCs w:val="18"/>
                      <w:highlight w:val="none"/>
                      <w:lang w:val="en-US" w:eastAsia="zh-CN"/>
                    </w:rPr>
                    <w:t>、成品输送粉尘、生活垃圾交由环卫部门处理，在库房3内设置一处危险废物贮存点，占地面积4m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，采取重点防渗，</w:t>
                  </w:r>
                  <w:r>
                    <w:rPr>
                      <w:rFonts w:hint="eastAsia" w:ascii="Times New Roman" w:hAnsi="Times New Roman" w:eastAsia="宋体" w:cs="Times New Roman"/>
                      <w:bCs/>
                      <w:color w:val="auto"/>
                      <w:sz w:val="18"/>
                      <w:szCs w:val="18"/>
                      <w:highlight w:val="none"/>
                      <w:lang w:val="en-US" w:eastAsia="zh-CN"/>
                    </w:rPr>
                    <w:t>至少2mm厚的防渗人工材料，防渗系数≤10</w:t>
                  </w:r>
                  <w:r>
                    <w:rPr>
                      <w:rFonts w:hint="eastAsia" w:ascii="Times New Roman" w:hAnsi="Times New Roman" w:eastAsia="宋体" w:cs="Times New Roman"/>
                      <w:bCs/>
                      <w:color w:val="auto"/>
                      <w:sz w:val="18"/>
                      <w:szCs w:val="18"/>
                      <w:highlight w:val="none"/>
                      <w:vertAlign w:val="superscript"/>
                      <w:lang w:val="en-US" w:eastAsia="zh-CN"/>
                    </w:rPr>
                    <w:t>-</w:t>
                  </w:r>
                  <w:r>
                    <w:rPr>
                      <w:rFonts w:hint="eastAsia" w:cs="Times New Roman"/>
                      <w:bCs/>
                      <w:color w:val="auto"/>
                      <w:sz w:val="18"/>
                      <w:szCs w:val="18"/>
                      <w:highlight w:val="none"/>
                      <w:vertAlign w:val="superscript"/>
                      <w:lang w:val="en-US" w:eastAsia="zh-CN"/>
                    </w:rPr>
                    <w:t>10</w:t>
                  </w:r>
                  <w:r>
                    <w:rPr>
                      <w:rFonts w:hint="eastAsia" w:ascii="Times New Roman" w:hAnsi="Times New Roman" w:eastAsia="宋体" w:cs="Times New Roman"/>
                      <w:bCs/>
                      <w:color w:val="auto"/>
                      <w:sz w:val="18"/>
                      <w:szCs w:val="18"/>
                      <w:highlight w:val="none"/>
                      <w:lang w:val="en-US" w:eastAsia="zh-CN"/>
                    </w:rPr>
                    <w:t>cm/s，</w:t>
                  </w:r>
                  <w:r>
                    <w:rPr>
                      <w:rFonts w:hint="eastAsia" w:cs="Times New Roman"/>
                      <w:color w:val="auto"/>
                      <w:sz w:val="18"/>
                      <w:szCs w:val="18"/>
                      <w:highlight w:val="none"/>
                      <w:lang w:val="en-US" w:eastAsia="zh-CN"/>
                    </w:rPr>
                    <w:t>用于暂存</w:t>
                  </w:r>
                  <w:r>
                    <w:rPr>
                      <w:rFonts w:hint="eastAsia" w:ascii="Times New Roman" w:hAnsi="Times New Roman" w:eastAsia="宋体" w:cs="Times New Roman"/>
                      <w:color w:val="auto"/>
                      <w:sz w:val="18"/>
                      <w:szCs w:val="18"/>
                      <w:highlight w:val="none"/>
                    </w:rPr>
                    <w:t>废机</w:t>
                  </w:r>
                  <w:r>
                    <w:rPr>
                      <w:rFonts w:hint="eastAsia" w:ascii="Times New Roman" w:hAnsi="Times New Roman" w:eastAsia="宋体" w:cs="Times New Roman"/>
                      <w:color w:val="auto"/>
                      <w:sz w:val="18"/>
                      <w:szCs w:val="18"/>
                      <w:highlight w:val="none"/>
                      <w:lang w:val="en-US" w:eastAsia="zh-CN"/>
                    </w:rPr>
                    <w:t>油、含油抹布手套等危险废物</w:t>
                  </w:r>
                  <w:r>
                    <w:rPr>
                      <w:rFonts w:hint="eastAsia" w:ascii="Times New Roman" w:hAnsi="Times New Roman" w:eastAsia="宋体" w:cs="Times New Roman"/>
                      <w:color w:val="auto"/>
                      <w:sz w:val="18"/>
                      <w:szCs w:val="18"/>
                      <w:highlight w:val="none"/>
                    </w:rPr>
                    <w:t>，</w:t>
                  </w:r>
                  <w:r>
                    <w:rPr>
                      <w:rFonts w:hint="eastAsia" w:cs="Times New Roman"/>
                      <w:color w:val="auto"/>
                      <w:sz w:val="18"/>
                      <w:szCs w:val="18"/>
                      <w:highlight w:val="none"/>
                      <w:lang w:val="en-US" w:eastAsia="zh-CN"/>
                    </w:rPr>
                    <w:t>定期</w:t>
                  </w:r>
                  <w:r>
                    <w:rPr>
                      <w:rFonts w:hint="eastAsia" w:ascii="Times New Roman" w:hAnsi="Times New Roman" w:eastAsia="宋体" w:cs="Times New Roman"/>
                      <w:color w:val="auto"/>
                      <w:sz w:val="18"/>
                      <w:szCs w:val="18"/>
                      <w:highlight w:val="none"/>
                    </w:rPr>
                    <w:t>委托有资质单位处置。</w:t>
                  </w:r>
                </w:p>
              </w:tc>
              <w:tc>
                <w:tcPr>
                  <w:tcW w:w="670" w:type="pct"/>
                  <w:noWrap w:val="0"/>
                  <w:vAlign w:val="center"/>
                </w:tcPr>
                <w:p w14:paraId="7D53E3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依托</w:t>
                  </w:r>
                </w:p>
              </w:tc>
            </w:tr>
          </w:tbl>
          <w:p w14:paraId="7D885F03">
            <w:pPr>
              <w:keepNext w:val="0"/>
              <w:keepLines w:val="0"/>
              <w:suppressLineNumbers w:val="0"/>
              <w:adjustRightInd w:val="0"/>
              <w:snapToGrid w:val="0"/>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14:paraId="73AAF2C6">
            <w:pPr>
              <w:keepNext w:val="0"/>
              <w:keepLines w:val="0"/>
              <w:suppressLineNumbers w:val="0"/>
              <w:adjustRightInd w:val="0"/>
              <w:snapToGrid w:val="0"/>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本项目产品方案详见表2-2。</w:t>
            </w:r>
          </w:p>
          <w:p w14:paraId="0F9EE580">
            <w:pPr>
              <w:keepNext w:val="0"/>
              <w:keepLines w:val="0"/>
              <w:suppressLineNumbers w:val="0"/>
              <w:adjustRightInd w:val="0"/>
              <w:snapToGrid w:val="0"/>
              <w:spacing w:before="0" w:beforeAutospacing="0" w:after="0" w:afterAutospacing="0"/>
              <w:ind w:left="0" w:right="0"/>
              <w:jc w:val="center"/>
              <w:rPr>
                <w:rFonts w:hint="eastAsia" w:eastAsia="宋体"/>
                <w:b/>
                <w:color w:val="auto"/>
                <w:szCs w:val="21"/>
                <w:highlight w:val="none"/>
                <w:lang w:eastAsia="zh-CN"/>
              </w:rPr>
            </w:pPr>
            <w:r>
              <w:rPr>
                <w:rFonts w:hint="default"/>
                <w:b/>
                <w:color w:val="auto"/>
                <w:szCs w:val="21"/>
                <w:highlight w:val="none"/>
              </w:rPr>
              <w:t>表2-2主要产品及产能</w:t>
            </w:r>
          </w:p>
          <w:tbl>
            <w:tblPr>
              <w:tblStyle w:val="35"/>
              <w:tblW w:w="4996"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146"/>
              <w:gridCol w:w="1378"/>
              <w:gridCol w:w="1917"/>
              <w:gridCol w:w="1179"/>
              <w:gridCol w:w="614"/>
              <w:gridCol w:w="1207"/>
            </w:tblGrid>
            <w:tr w14:paraId="55216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vAlign w:val="center"/>
                </w:tcPr>
                <w:p w14:paraId="3B20262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序号</w:t>
                  </w:r>
                </w:p>
              </w:tc>
              <w:tc>
                <w:tcPr>
                  <w:tcW w:w="1146" w:type="dxa"/>
                  <w:vAlign w:val="center"/>
                </w:tcPr>
                <w:p w14:paraId="703CF99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产品名称</w:t>
                  </w:r>
                </w:p>
              </w:tc>
              <w:tc>
                <w:tcPr>
                  <w:tcW w:w="1378" w:type="dxa"/>
                  <w:vAlign w:val="center"/>
                </w:tcPr>
                <w:p w14:paraId="12D0313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现有</w:t>
                  </w:r>
                  <w:r>
                    <w:rPr>
                      <w:rFonts w:hint="default" w:ascii="Times New Roman" w:hAnsi="Times New Roman" w:eastAsia="宋体" w:cs="Times New Roman"/>
                      <w:b w:val="0"/>
                      <w:bCs w:val="0"/>
                      <w:color w:val="auto"/>
                      <w:sz w:val="18"/>
                      <w:szCs w:val="18"/>
                      <w:highlight w:val="none"/>
                      <w:vertAlign w:val="baseline"/>
                      <w:lang w:val="en-US" w:eastAsia="zh-CN"/>
                    </w:rPr>
                    <w:t>年产量</w:t>
                  </w:r>
                </w:p>
              </w:tc>
              <w:tc>
                <w:tcPr>
                  <w:tcW w:w="1917" w:type="dxa"/>
                  <w:vAlign w:val="center"/>
                </w:tcPr>
                <w:p w14:paraId="2F6D7EA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本次项目新增年产量</w:t>
                  </w:r>
                </w:p>
              </w:tc>
              <w:tc>
                <w:tcPr>
                  <w:tcW w:w="1179" w:type="dxa"/>
                  <w:vAlign w:val="center"/>
                </w:tcPr>
                <w:p w14:paraId="0EF0E41C">
                  <w:pPr>
                    <w:keepNext w:val="0"/>
                    <w:keepLines w:val="0"/>
                    <w:suppressLineNumbers w:val="0"/>
                    <w:spacing w:before="0" w:beforeAutospacing="0" w:after="0" w:afterAutospacing="0"/>
                    <w:ind w:left="0" w:right="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全厂年产量</w:t>
                  </w:r>
                </w:p>
              </w:tc>
              <w:tc>
                <w:tcPr>
                  <w:tcW w:w="614" w:type="dxa"/>
                  <w:vAlign w:val="center"/>
                </w:tcPr>
                <w:p w14:paraId="6353848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单位</w:t>
                  </w:r>
                </w:p>
              </w:tc>
              <w:tc>
                <w:tcPr>
                  <w:tcW w:w="1207" w:type="dxa"/>
                  <w:vAlign w:val="center"/>
                </w:tcPr>
                <w:p w14:paraId="69CAD51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备注</w:t>
                  </w:r>
                </w:p>
              </w:tc>
            </w:tr>
            <w:tr w14:paraId="2C63E2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vAlign w:val="center"/>
                </w:tcPr>
                <w:p w14:paraId="5989206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1146" w:type="dxa"/>
                  <w:vAlign w:val="center"/>
                </w:tcPr>
                <w:p w14:paraId="5A44A29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lang w:val="en-US" w:eastAsia="zh-CN"/>
                    </w:rPr>
                    <w:t>干玉米（含水率14%）</w:t>
                  </w:r>
                </w:p>
              </w:tc>
              <w:tc>
                <w:tcPr>
                  <w:tcW w:w="1378" w:type="dxa"/>
                  <w:vAlign w:val="center"/>
                </w:tcPr>
                <w:p w14:paraId="1AD700A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color w:val="auto"/>
                      <w:kern w:val="0"/>
                      <w:sz w:val="18"/>
                      <w:szCs w:val="18"/>
                      <w:highlight w:val="none"/>
                      <w:lang w:val="en-US" w:eastAsia="zh-CN" w:bidi="ar-SA"/>
                    </w:rPr>
                    <w:t>24411.1</w:t>
                  </w:r>
                </w:p>
              </w:tc>
              <w:tc>
                <w:tcPr>
                  <w:tcW w:w="1917" w:type="dxa"/>
                  <w:vAlign w:val="center"/>
                </w:tcPr>
                <w:p w14:paraId="29A9FF4E">
                  <w:pPr>
                    <w:keepNext w:val="0"/>
                    <w:keepLines w:val="0"/>
                    <w:suppressLineNumbers w:val="0"/>
                    <w:spacing w:before="0" w:beforeAutospacing="0" w:after="0" w:afterAutospacing="0"/>
                    <w:ind w:left="0" w:leftChars="0" w:right="0" w:rightChars="0"/>
                    <w:jc w:val="center"/>
                    <w:rPr>
                      <w:rFonts w:hint="default"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w:t>
                  </w:r>
                </w:p>
              </w:tc>
              <w:tc>
                <w:tcPr>
                  <w:tcW w:w="1179" w:type="dxa"/>
                  <w:vAlign w:val="center"/>
                </w:tcPr>
                <w:p w14:paraId="5F124D1B">
                  <w:pPr>
                    <w:keepNext w:val="0"/>
                    <w:keepLines w:val="0"/>
                    <w:suppressLineNumbers w:val="0"/>
                    <w:spacing w:before="0" w:beforeAutospacing="0" w:after="0" w:afterAutospacing="0"/>
                    <w:ind w:left="0" w:leftChars="0" w:right="0" w:rightChars="0"/>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24411.1</w:t>
                  </w:r>
                </w:p>
              </w:tc>
              <w:tc>
                <w:tcPr>
                  <w:tcW w:w="614" w:type="dxa"/>
                  <w:vAlign w:val="center"/>
                </w:tcPr>
                <w:p w14:paraId="21D786E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t/a</w:t>
                  </w:r>
                </w:p>
              </w:tc>
              <w:tc>
                <w:tcPr>
                  <w:tcW w:w="1207" w:type="dxa"/>
                  <w:vAlign w:val="center"/>
                </w:tcPr>
                <w:p w14:paraId="3C7DC50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lang w:val="en-US" w:eastAsia="zh-CN"/>
                    </w:rPr>
                    <w:t>/</w:t>
                  </w:r>
                </w:p>
              </w:tc>
            </w:tr>
            <w:tr w14:paraId="3FD493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vAlign w:val="center"/>
                </w:tcPr>
                <w:p w14:paraId="2CCFA57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1146" w:type="dxa"/>
                  <w:vAlign w:val="center"/>
                </w:tcPr>
                <w:p w14:paraId="127B47F3">
                  <w:pPr>
                    <w:keepNext w:val="0"/>
                    <w:keepLines w:val="0"/>
                    <w:suppressLineNumbers w:val="0"/>
                    <w:spacing w:before="0" w:beforeAutospacing="0" w:after="0" w:afterAutospacing="0"/>
                    <w:ind w:left="0" w:right="0"/>
                    <w:jc w:val="center"/>
                    <w:rPr>
                      <w:rFonts w:hint="eastAsia"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干水稻（含水率10%）</w:t>
                  </w:r>
                </w:p>
              </w:tc>
              <w:tc>
                <w:tcPr>
                  <w:tcW w:w="1378" w:type="dxa"/>
                  <w:vAlign w:val="center"/>
                </w:tcPr>
                <w:p w14:paraId="471ED675">
                  <w:pPr>
                    <w:keepNext w:val="0"/>
                    <w:keepLines w:val="0"/>
                    <w:suppressLineNumbers w:val="0"/>
                    <w:spacing w:before="0" w:beforeAutospacing="0" w:after="0" w:afterAutospacing="0"/>
                    <w:ind w:left="0" w:leftChars="0" w:right="0" w:rightChars="0"/>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w:t>
                  </w:r>
                </w:p>
              </w:tc>
              <w:tc>
                <w:tcPr>
                  <w:tcW w:w="1917" w:type="dxa"/>
                  <w:vAlign w:val="center"/>
                </w:tcPr>
                <w:p w14:paraId="6A001662">
                  <w:pPr>
                    <w:keepNext w:val="0"/>
                    <w:keepLines w:val="0"/>
                    <w:suppressLineNumbers w:val="0"/>
                    <w:spacing w:before="0" w:beforeAutospacing="0" w:after="0" w:afterAutospacing="0" w:line="240" w:lineRule="auto"/>
                    <w:ind w:left="0" w:leftChars="0" w:right="0" w:rightChars="0"/>
                    <w:contextualSpacing/>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64872.5</w:t>
                  </w:r>
                </w:p>
              </w:tc>
              <w:tc>
                <w:tcPr>
                  <w:tcW w:w="1179" w:type="dxa"/>
                  <w:shd w:val="clear" w:color="auto" w:fill="auto"/>
                  <w:vAlign w:val="center"/>
                </w:tcPr>
                <w:p w14:paraId="6AE2FF5F">
                  <w:pPr>
                    <w:keepNext w:val="0"/>
                    <w:keepLines w:val="0"/>
                    <w:suppressLineNumbers w:val="0"/>
                    <w:spacing w:before="0" w:beforeAutospacing="0" w:after="0" w:afterAutospacing="0" w:line="240" w:lineRule="auto"/>
                    <w:ind w:left="0" w:leftChars="0" w:right="0" w:rightChars="0"/>
                    <w:contextualSpacing/>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64872.5</w:t>
                  </w:r>
                </w:p>
              </w:tc>
              <w:tc>
                <w:tcPr>
                  <w:tcW w:w="614" w:type="dxa"/>
                  <w:vAlign w:val="center"/>
                </w:tcPr>
                <w:p w14:paraId="6CB24D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t/a</w:t>
                  </w:r>
                </w:p>
              </w:tc>
              <w:tc>
                <w:tcPr>
                  <w:tcW w:w="1207" w:type="dxa"/>
                  <w:vAlign w:val="center"/>
                </w:tcPr>
                <w:p w14:paraId="05949F5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w:t>
                  </w:r>
                </w:p>
              </w:tc>
            </w:tr>
          </w:tbl>
          <w:p w14:paraId="2CF7F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14:paraId="7C7EA8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snapToGrid w:val="0"/>
                <w:color w:val="auto"/>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w:t>
            </w:r>
          </w:p>
          <w:p w14:paraId="10AF4005">
            <w:pPr>
              <w:keepNext w:val="0"/>
              <w:keepLines w:val="0"/>
              <w:suppressLineNumbers w:val="0"/>
              <w:spacing w:before="0" w:beforeAutospacing="0" w:after="0" w:afterAutospacing="0"/>
              <w:ind w:left="0" w:right="0"/>
              <w:jc w:val="center"/>
              <w:rPr>
                <w:rFonts w:hint="eastAsia"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主要设备一览表</w:t>
            </w:r>
          </w:p>
          <w:tbl>
            <w:tblPr>
              <w:tblStyle w:val="35"/>
              <w:tblW w:w="8056" w:type="dxa"/>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1322"/>
              <w:gridCol w:w="1212"/>
              <w:gridCol w:w="897"/>
              <w:gridCol w:w="1212"/>
              <w:gridCol w:w="1142"/>
              <w:gridCol w:w="1207"/>
              <w:gridCol w:w="591"/>
            </w:tblGrid>
            <w:tr w14:paraId="1DBFD4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73" w:type="dxa"/>
                  <w:vAlign w:val="center"/>
                </w:tcPr>
                <w:p w14:paraId="740BC5AE">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p>
              </w:tc>
              <w:tc>
                <w:tcPr>
                  <w:tcW w:w="1322" w:type="dxa"/>
                  <w:vAlign w:val="center"/>
                </w:tcPr>
                <w:p w14:paraId="35B26891">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p>
              </w:tc>
              <w:tc>
                <w:tcPr>
                  <w:tcW w:w="2109" w:type="dxa"/>
                  <w:gridSpan w:val="2"/>
                  <w:vAlign w:val="center"/>
                </w:tcPr>
                <w:p w14:paraId="5E9D814B">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现有设备</w:t>
                  </w:r>
                </w:p>
              </w:tc>
              <w:tc>
                <w:tcPr>
                  <w:tcW w:w="2354" w:type="dxa"/>
                  <w:gridSpan w:val="2"/>
                  <w:vAlign w:val="center"/>
                </w:tcPr>
                <w:p w14:paraId="37C2A79E">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新增设备</w:t>
                  </w:r>
                </w:p>
              </w:tc>
              <w:tc>
                <w:tcPr>
                  <w:tcW w:w="1207" w:type="dxa"/>
                  <w:vAlign w:val="center"/>
                </w:tcPr>
                <w:p w14:paraId="4B087A8D">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p>
              </w:tc>
              <w:tc>
                <w:tcPr>
                  <w:tcW w:w="591" w:type="dxa"/>
                  <w:vAlign w:val="center"/>
                </w:tcPr>
                <w:p w14:paraId="7760CA23">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p>
              </w:tc>
            </w:tr>
            <w:tr w14:paraId="1DB0D4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73" w:type="dxa"/>
                  <w:vAlign w:val="center"/>
                </w:tcPr>
                <w:p w14:paraId="369F7E36">
                  <w:pPr>
                    <w:keepNext w:val="0"/>
                    <w:keepLines w:val="0"/>
                    <w:suppressLineNumbers w:val="0"/>
                    <w:spacing w:before="0" w:beforeAutospacing="0" w:after="0" w:afterAutospacing="0"/>
                    <w:ind w:left="0" w:leftChars="0" w:right="0" w:rightChars="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322" w:type="dxa"/>
                  <w:vAlign w:val="center"/>
                </w:tcPr>
                <w:p w14:paraId="57BC99F2">
                  <w:pPr>
                    <w:keepNext w:val="0"/>
                    <w:keepLines w:val="0"/>
                    <w:suppressLineNumbers w:val="0"/>
                    <w:spacing w:before="0" w:beforeAutospacing="0" w:after="0" w:afterAutospacing="0"/>
                    <w:ind w:left="0" w:leftChars="0" w:right="0" w:rightChars="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设备名称</w:t>
                  </w:r>
                </w:p>
              </w:tc>
              <w:tc>
                <w:tcPr>
                  <w:tcW w:w="1212" w:type="dxa"/>
                  <w:vAlign w:val="center"/>
                </w:tcPr>
                <w:p w14:paraId="5836FE97">
                  <w:pPr>
                    <w:keepNext w:val="0"/>
                    <w:keepLines w:val="0"/>
                    <w:suppressLineNumbers w:val="0"/>
                    <w:spacing w:before="0" w:beforeAutospacing="0" w:after="0" w:afterAutospacing="0"/>
                    <w:ind w:left="0" w:leftChars="0" w:right="0" w:rightChars="0"/>
                    <w:jc w:val="center"/>
                    <w:rPr>
                      <w:rFonts w:hint="default" w:eastAsiaTheme="minorEastAsia"/>
                      <w:color w:val="auto"/>
                      <w:sz w:val="18"/>
                      <w:szCs w:val="18"/>
                      <w:highlight w:val="none"/>
                      <w:vertAlign w:val="baseline"/>
                      <w:lang w:val="en-US" w:eastAsia="zh-CN"/>
                    </w:rPr>
                  </w:pPr>
                  <w:r>
                    <w:rPr>
                      <w:rFonts w:hint="eastAsia" w:eastAsiaTheme="minorEastAsia"/>
                      <w:color w:val="auto"/>
                      <w:sz w:val="18"/>
                      <w:szCs w:val="18"/>
                      <w:highlight w:val="none"/>
                      <w:vertAlign w:val="baseline"/>
                      <w:lang w:val="en-US" w:eastAsia="zh-CN"/>
                    </w:rPr>
                    <w:t>型号</w:t>
                  </w:r>
                </w:p>
              </w:tc>
              <w:tc>
                <w:tcPr>
                  <w:tcW w:w="897" w:type="dxa"/>
                  <w:vAlign w:val="center"/>
                </w:tcPr>
                <w:p w14:paraId="2D013E26">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数量</w:t>
                  </w:r>
                </w:p>
              </w:tc>
              <w:tc>
                <w:tcPr>
                  <w:tcW w:w="1212" w:type="dxa"/>
                  <w:vAlign w:val="center"/>
                </w:tcPr>
                <w:p w14:paraId="05BE17A1">
                  <w:pPr>
                    <w:keepNext w:val="0"/>
                    <w:keepLines w:val="0"/>
                    <w:suppressLineNumbers w:val="0"/>
                    <w:spacing w:before="0" w:beforeAutospacing="0" w:after="0" w:afterAutospacing="0"/>
                    <w:ind w:left="0" w:leftChars="0" w:right="0" w:rightChars="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型号</w:t>
                  </w:r>
                </w:p>
              </w:tc>
              <w:tc>
                <w:tcPr>
                  <w:tcW w:w="1142" w:type="dxa"/>
                  <w:vAlign w:val="center"/>
                </w:tcPr>
                <w:p w14:paraId="1F1CA15E">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数量</w:t>
                  </w:r>
                </w:p>
              </w:tc>
              <w:tc>
                <w:tcPr>
                  <w:tcW w:w="1207" w:type="dxa"/>
                  <w:vAlign w:val="center"/>
                </w:tcPr>
                <w:p w14:paraId="02E1B64F">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全厂设备数量</w:t>
                  </w:r>
                </w:p>
              </w:tc>
              <w:tc>
                <w:tcPr>
                  <w:tcW w:w="591" w:type="dxa"/>
                  <w:vAlign w:val="center"/>
                </w:tcPr>
                <w:p w14:paraId="52B0CA38">
                  <w:pPr>
                    <w:keepNext w:val="0"/>
                    <w:keepLines w:val="0"/>
                    <w:suppressLineNumbers w:val="0"/>
                    <w:spacing w:before="0" w:beforeAutospacing="0" w:after="0" w:afterAutospacing="0"/>
                    <w:ind w:left="0" w:leftChars="0" w:right="0" w:rightChars="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r>
            <w:tr w14:paraId="0E2B3E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473" w:type="dxa"/>
                  <w:vAlign w:val="center"/>
                </w:tcPr>
                <w:p w14:paraId="4626EB7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322" w:type="dxa"/>
                  <w:vAlign w:val="center"/>
                </w:tcPr>
                <w:p w14:paraId="10291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rPr>
                    <w:t>烘干塔</w:t>
                  </w:r>
                </w:p>
              </w:tc>
              <w:tc>
                <w:tcPr>
                  <w:tcW w:w="1212" w:type="dxa"/>
                  <w:vAlign w:val="center"/>
                </w:tcPr>
                <w:p w14:paraId="5C6234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5HSH-500</w:t>
                  </w:r>
                </w:p>
              </w:tc>
              <w:tc>
                <w:tcPr>
                  <w:tcW w:w="897" w:type="dxa"/>
                  <w:vAlign w:val="center"/>
                </w:tcPr>
                <w:p w14:paraId="44977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1</w:t>
                  </w:r>
                </w:p>
              </w:tc>
              <w:tc>
                <w:tcPr>
                  <w:tcW w:w="1212" w:type="dxa"/>
                  <w:shd w:val="clear" w:color="auto" w:fill="auto"/>
                  <w:vAlign w:val="center"/>
                </w:tcPr>
                <w:p w14:paraId="6C69E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w:t>
                  </w:r>
                </w:p>
              </w:tc>
              <w:tc>
                <w:tcPr>
                  <w:tcW w:w="1142" w:type="dxa"/>
                  <w:vAlign w:val="center"/>
                </w:tcPr>
                <w:p w14:paraId="2B946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0</w:t>
                  </w:r>
                </w:p>
              </w:tc>
              <w:tc>
                <w:tcPr>
                  <w:tcW w:w="1207" w:type="dxa"/>
                  <w:vAlign w:val="center"/>
                </w:tcPr>
                <w:p w14:paraId="5C91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bCs/>
                      <w:color w:val="auto"/>
                      <w:kern w:val="0"/>
                      <w:sz w:val="18"/>
                      <w:szCs w:val="18"/>
                      <w:highlight w:val="none"/>
                      <w:lang w:val="en-US" w:eastAsia="zh-CN"/>
                    </w:rPr>
                  </w:pPr>
                  <w:r>
                    <w:rPr>
                      <w:rFonts w:hint="eastAsia" w:cs="Times New Roman" w:eastAsiaTheme="minorEastAsia"/>
                      <w:color w:val="auto"/>
                      <w:sz w:val="18"/>
                      <w:szCs w:val="18"/>
                      <w:highlight w:val="none"/>
                      <w:vertAlign w:val="baseline"/>
                      <w:lang w:val="en-US" w:eastAsia="zh-CN"/>
                    </w:rPr>
                    <w:t>1</w:t>
                  </w:r>
                </w:p>
              </w:tc>
              <w:tc>
                <w:tcPr>
                  <w:tcW w:w="591" w:type="dxa"/>
                  <w:vAlign w:val="center"/>
                </w:tcPr>
                <w:p w14:paraId="6B5A5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default" w:ascii="Times New Roman" w:hAnsi="Times New Roman" w:cs="Times New Roman"/>
                      <w:color w:val="auto"/>
                      <w:sz w:val="18"/>
                      <w:szCs w:val="18"/>
                      <w:highlight w:val="none"/>
                    </w:rPr>
                    <w:t>座</w:t>
                  </w:r>
                </w:p>
              </w:tc>
            </w:tr>
            <w:tr w14:paraId="3CF2FF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73" w:type="dxa"/>
                  <w:vAlign w:val="center"/>
                </w:tcPr>
                <w:p w14:paraId="6CE550D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322" w:type="dxa"/>
                  <w:vAlign w:val="center"/>
                </w:tcPr>
                <w:p w14:paraId="1E7744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rPr>
                    <w:t>热风炉</w:t>
                  </w:r>
                </w:p>
              </w:tc>
              <w:tc>
                <w:tcPr>
                  <w:tcW w:w="1212" w:type="dxa"/>
                  <w:vAlign w:val="center"/>
                </w:tcPr>
                <w:p w14:paraId="009B00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cs="Times New Roman"/>
                      <w:bCs/>
                      <w:color w:val="auto"/>
                      <w:kern w:val="0"/>
                      <w:sz w:val="18"/>
                      <w:szCs w:val="18"/>
                      <w:highlight w:val="none"/>
                      <w:lang w:val="en-US" w:eastAsia="zh-CN"/>
                    </w:rPr>
                    <w:t>600万</w:t>
                  </w:r>
                  <w:r>
                    <w:rPr>
                      <w:rFonts w:hint="eastAsia" w:cs="Times New Roman"/>
                      <w:bCs/>
                      <w:color w:val="auto"/>
                      <w:kern w:val="0"/>
                      <w:sz w:val="18"/>
                      <w:szCs w:val="18"/>
                      <w:highlight w:val="none"/>
                      <w:vertAlign w:val="baseline"/>
                      <w:lang w:val="en-US" w:eastAsia="zh-CN"/>
                    </w:rPr>
                    <w:t>Kcal</w:t>
                  </w:r>
                  <w:r>
                    <w:rPr>
                      <w:rFonts w:hint="eastAsia" w:cs="Times New Roman"/>
                      <w:bCs/>
                      <w:color w:val="auto"/>
                      <w:kern w:val="0"/>
                      <w:sz w:val="18"/>
                      <w:szCs w:val="18"/>
                      <w:highlight w:val="none"/>
                      <w:lang w:val="en-US" w:eastAsia="zh-CN"/>
                    </w:rPr>
                    <w:t>/h</w:t>
                  </w:r>
                </w:p>
              </w:tc>
              <w:tc>
                <w:tcPr>
                  <w:tcW w:w="897" w:type="dxa"/>
                  <w:vAlign w:val="center"/>
                </w:tcPr>
                <w:p w14:paraId="57EE5F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1</w:t>
                  </w:r>
                </w:p>
              </w:tc>
              <w:tc>
                <w:tcPr>
                  <w:tcW w:w="1212" w:type="dxa"/>
                  <w:vAlign w:val="center"/>
                </w:tcPr>
                <w:p w14:paraId="2743B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color w:val="auto"/>
                      <w:sz w:val="18"/>
                      <w:szCs w:val="18"/>
                      <w:highlight w:val="none"/>
                      <w:vertAlign w:val="baseline"/>
                      <w:lang w:val="en-US" w:eastAsia="zh-CN"/>
                    </w:rPr>
                  </w:pPr>
                </w:p>
              </w:tc>
              <w:tc>
                <w:tcPr>
                  <w:tcW w:w="1142" w:type="dxa"/>
                  <w:vAlign w:val="center"/>
                </w:tcPr>
                <w:p w14:paraId="03998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b w:val="0"/>
                      <w:bCs w:val="0"/>
                      <w:color w:val="auto"/>
                      <w:kern w:val="0"/>
                      <w:sz w:val="18"/>
                      <w:szCs w:val="18"/>
                      <w:highlight w:val="none"/>
                      <w:lang w:val="en-US" w:eastAsia="zh-CN"/>
                    </w:rPr>
                  </w:pPr>
                </w:p>
              </w:tc>
              <w:tc>
                <w:tcPr>
                  <w:tcW w:w="1207" w:type="dxa"/>
                  <w:vAlign w:val="center"/>
                </w:tcPr>
                <w:p w14:paraId="662169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lang w:val="en-US" w:eastAsia="zh-CN"/>
                    </w:rPr>
                    <w:t>1</w:t>
                  </w:r>
                </w:p>
              </w:tc>
              <w:tc>
                <w:tcPr>
                  <w:tcW w:w="591" w:type="dxa"/>
                  <w:vAlign w:val="center"/>
                </w:tcPr>
                <w:p w14:paraId="0D74DE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rPr>
                    <w:t>台</w:t>
                  </w:r>
                </w:p>
              </w:tc>
            </w:tr>
            <w:tr w14:paraId="4DF591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73" w:type="dxa"/>
                  <w:vAlign w:val="center"/>
                </w:tcPr>
                <w:p w14:paraId="38CB790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1322" w:type="dxa"/>
                  <w:vAlign w:val="center"/>
                </w:tcPr>
                <w:p w14:paraId="21368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热风机</w:t>
                  </w:r>
                </w:p>
              </w:tc>
              <w:tc>
                <w:tcPr>
                  <w:tcW w:w="1212" w:type="dxa"/>
                  <w:vAlign w:val="center"/>
                </w:tcPr>
                <w:p w14:paraId="37A5D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Y4-73No11D</w:t>
                  </w:r>
                </w:p>
              </w:tc>
              <w:tc>
                <w:tcPr>
                  <w:tcW w:w="897" w:type="dxa"/>
                  <w:vAlign w:val="center"/>
                </w:tcPr>
                <w:p w14:paraId="26BDC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212" w:type="dxa"/>
                  <w:shd w:val="clear" w:color="auto" w:fill="auto"/>
                  <w:vAlign w:val="center"/>
                </w:tcPr>
                <w:p w14:paraId="752552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1142" w:type="dxa"/>
                  <w:vAlign w:val="center"/>
                </w:tcPr>
                <w:p w14:paraId="1E190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76D70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p>
              </w:tc>
              <w:tc>
                <w:tcPr>
                  <w:tcW w:w="591" w:type="dxa"/>
                  <w:vAlign w:val="center"/>
                </w:tcPr>
                <w:p w14:paraId="3F9BF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台</w:t>
                  </w:r>
                </w:p>
              </w:tc>
            </w:tr>
            <w:tr w14:paraId="2484ED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6CBDB67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p>
              </w:tc>
              <w:tc>
                <w:tcPr>
                  <w:tcW w:w="1322" w:type="dxa"/>
                  <w:vAlign w:val="center"/>
                </w:tcPr>
                <w:p w14:paraId="22FCE6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Theme="minorEastAsia"/>
                      <w:color w:val="auto"/>
                      <w:sz w:val="18"/>
                      <w:szCs w:val="18"/>
                      <w:highlight w:val="none"/>
                      <w:vertAlign w:val="baseline"/>
                      <w:lang w:val="en-US" w:eastAsia="zh-CN"/>
                    </w:rPr>
                  </w:pPr>
                  <w:r>
                    <w:rPr>
                      <w:rFonts w:hint="eastAsia" w:eastAsiaTheme="minorEastAsia"/>
                      <w:color w:val="auto"/>
                      <w:sz w:val="18"/>
                      <w:szCs w:val="18"/>
                      <w:highlight w:val="none"/>
                      <w:vertAlign w:val="baseline"/>
                      <w:lang w:val="en-US" w:eastAsia="zh-CN"/>
                    </w:rPr>
                    <w:t>冷风机</w:t>
                  </w:r>
                </w:p>
              </w:tc>
              <w:tc>
                <w:tcPr>
                  <w:tcW w:w="1212" w:type="dxa"/>
                  <w:vAlign w:val="center"/>
                </w:tcPr>
                <w:p w14:paraId="5DA5C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G4-68No9D</w:t>
                  </w:r>
                </w:p>
              </w:tc>
              <w:tc>
                <w:tcPr>
                  <w:tcW w:w="897" w:type="dxa"/>
                  <w:vAlign w:val="center"/>
                </w:tcPr>
                <w:p w14:paraId="29084E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1</w:t>
                  </w:r>
                </w:p>
              </w:tc>
              <w:tc>
                <w:tcPr>
                  <w:tcW w:w="1212" w:type="dxa"/>
                  <w:shd w:val="clear" w:color="auto" w:fill="auto"/>
                  <w:vAlign w:val="center"/>
                </w:tcPr>
                <w:p w14:paraId="3A5BFF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w:t>
                  </w:r>
                </w:p>
              </w:tc>
              <w:tc>
                <w:tcPr>
                  <w:tcW w:w="1142" w:type="dxa"/>
                  <w:vAlign w:val="center"/>
                </w:tcPr>
                <w:p w14:paraId="5D8A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0C732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1</w:t>
                  </w:r>
                </w:p>
              </w:tc>
              <w:tc>
                <w:tcPr>
                  <w:tcW w:w="591" w:type="dxa"/>
                  <w:vAlign w:val="center"/>
                </w:tcPr>
                <w:p w14:paraId="2DB10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台</w:t>
                  </w:r>
                </w:p>
              </w:tc>
            </w:tr>
            <w:tr w14:paraId="49780B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7DBD039A">
                  <w:pPr>
                    <w:keepNext w:val="0"/>
                    <w:keepLines w:val="0"/>
                    <w:suppressLineNumbers w:val="0"/>
                    <w:spacing w:before="0" w:beforeAutospacing="0" w:after="0" w:afterAutospacing="0"/>
                    <w:ind w:left="0" w:leftChars="0" w:right="0" w:rightChars="0"/>
                    <w:jc w:val="center"/>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5</w:t>
                  </w:r>
                </w:p>
              </w:tc>
              <w:tc>
                <w:tcPr>
                  <w:tcW w:w="1322" w:type="dxa"/>
                  <w:vAlign w:val="center"/>
                </w:tcPr>
                <w:p w14:paraId="710C28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排粮机</w:t>
                  </w:r>
                </w:p>
              </w:tc>
              <w:tc>
                <w:tcPr>
                  <w:tcW w:w="1212" w:type="dxa"/>
                  <w:vAlign w:val="center"/>
                </w:tcPr>
                <w:p w14:paraId="07B13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BW1.5-2-59</w:t>
                  </w:r>
                </w:p>
              </w:tc>
              <w:tc>
                <w:tcPr>
                  <w:tcW w:w="897" w:type="dxa"/>
                  <w:vAlign w:val="center"/>
                </w:tcPr>
                <w:p w14:paraId="166B92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w:t>
                  </w:r>
                </w:p>
              </w:tc>
              <w:tc>
                <w:tcPr>
                  <w:tcW w:w="1212" w:type="dxa"/>
                  <w:shd w:val="clear" w:color="auto" w:fill="auto"/>
                  <w:vAlign w:val="center"/>
                </w:tcPr>
                <w:p w14:paraId="65CB6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vAlign w:val="center"/>
                </w:tcPr>
                <w:p w14:paraId="00C4DB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406F76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2</w:t>
                  </w:r>
                </w:p>
              </w:tc>
              <w:tc>
                <w:tcPr>
                  <w:tcW w:w="591" w:type="dxa"/>
                  <w:vAlign w:val="center"/>
                </w:tcPr>
                <w:p w14:paraId="2C0243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台</w:t>
                  </w:r>
                </w:p>
              </w:tc>
            </w:tr>
            <w:tr w14:paraId="5FEF84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75189497">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w:t>
                  </w:r>
                </w:p>
              </w:tc>
              <w:tc>
                <w:tcPr>
                  <w:tcW w:w="1322" w:type="dxa"/>
                  <w:vAlign w:val="center"/>
                </w:tcPr>
                <w:p w14:paraId="2C8AB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料位机</w:t>
                  </w:r>
                </w:p>
              </w:tc>
              <w:tc>
                <w:tcPr>
                  <w:tcW w:w="1212" w:type="dxa"/>
                  <w:vAlign w:val="center"/>
                </w:tcPr>
                <w:p w14:paraId="6B2FD9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073142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w:t>
                  </w:r>
                </w:p>
              </w:tc>
              <w:tc>
                <w:tcPr>
                  <w:tcW w:w="1212" w:type="dxa"/>
                  <w:shd w:val="clear" w:color="auto" w:fill="auto"/>
                  <w:vAlign w:val="center"/>
                </w:tcPr>
                <w:p w14:paraId="3981E4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7F6A2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70569F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2</w:t>
                  </w:r>
                </w:p>
              </w:tc>
              <w:tc>
                <w:tcPr>
                  <w:tcW w:w="591" w:type="dxa"/>
                  <w:vAlign w:val="center"/>
                </w:tcPr>
                <w:p w14:paraId="7921A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套</w:t>
                  </w:r>
                </w:p>
              </w:tc>
            </w:tr>
            <w:tr w14:paraId="218A1C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5FD19307">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7</w:t>
                  </w:r>
                </w:p>
              </w:tc>
              <w:tc>
                <w:tcPr>
                  <w:tcW w:w="1322" w:type="dxa"/>
                  <w:vAlign w:val="center"/>
                </w:tcPr>
                <w:p w14:paraId="7D0D6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管路</w:t>
                  </w:r>
                </w:p>
              </w:tc>
              <w:tc>
                <w:tcPr>
                  <w:tcW w:w="1212" w:type="dxa"/>
                  <w:vAlign w:val="center"/>
                </w:tcPr>
                <w:p w14:paraId="58B14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5B0D6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w:t>
                  </w:r>
                </w:p>
              </w:tc>
              <w:tc>
                <w:tcPr>
                  <w:tcW w:w="1212" w:type="dxa"/>
                  <w:shd w:val="clear" w:color="auto" w:fill="auto"/>
                  <w:vAlign w:val="center"/>
                </w:tcPr>
                <w:p w14:paraId="0F658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0EDBA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2E2A0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3</w:t>
                  </w:r>
                </w:p>
              </w:tc>
              <w:tc>
                <w:tcPr>
                  <w:tcW w:w="591" w:type="dxa"/>
                  <w:vAlign w:val="center"/>
                </w:tcPr>
                <w:p w14:paraId="1EEF1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根</w:t>
                  </w:r>
                </w:p>
              </w:tc>
            </w:tr>
            <w:tr w14:paraId="272806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D9E412B">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8</w:t>
                  </w:r>
                </w:p>
              </w:tc>
              <w:tc>
                <w:tcPr>
                  <w:tcW w:w="1322" w:type="dxa"/>
                  <w:vAlign w:val="center"/>
                </w:tcPr>
                <w:p w14:paraId="26DC9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初清筛</w:t>
                  </w:r>
                </w:p>
              </w:tc>
              <w:tc>
                <w:tcPr>
                  <w:tcW w:w="1212" w:type="dxa"/>
                  <w:vAlign w:val="center"/>
                </w:tcPr>
                <w:p w14:paraId="4BD27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4.1*1.8*2.5m</w:t>
                  </w:r>
                </w:p>
              </w:tc>
              <w:tc>
                <w:tcPr>
                  <w:tcW w:w="897" w:type="dxa"/>
                  <w:vAlign w:val="center"/>
                </w:tcPr>
                <w:p w14:paraId="5573BB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01345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39CF6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1A76E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1B4C1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39D97C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4235D693">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9</w:t>
                  </w:r>
                </w:p>
              </w:tc>
              <w:tc>
                <w:tcPr>
                  <w:tcW w:w="1322" w:type="dxa"/>
                  <w:vAlign w:val="center"/>
                </w:tcPr>
                <w:p w14:paraId="5709B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塔前提升机</w:t>
                  </w:r>
                </w:p>
              </w:tc>
              <w:tc>
                <w:tcPr>
                  <w:tcW w:w="1212" w:type="dxa"/>
                  <w:vAlign w:val="center"/>
                </w:tcPr>
                <w:p w14:paraId="5DB89B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TDTG63/33</w:t>
                  </w:r>
                </w:p>
              </w:tc>
              <w:tc>
                <w:tcPr>
                  <w:tcW w:w="897" w:type="dxa"/>
                  <w:vAlign w:val="center"/>
                </w:tcPr>
                <w:p w14:paraId="35493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w:t>
                  </w:r>
                </w:p>
              </w:tc>
              <w:tc>
                <w:tcPr>
                  <w:tcW w:w="1212" w:type="dxa"/>
                  <w:shd w:val="clear" w:color="auto" w:fill="auto"/>
                  <w:vAlign w:val="center"/>
                </w:tcPr>
                <w:p w14:paraId="003FF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33DDE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6E741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2</w:t>
                  </w:r>
                </w:p>
              </w:tc>
              <w:tc>
                <w:tcPr>
                  <w:tcW w:w="591" w:type="dxa"/>
                  <w:vAlign w:val="center"/>
                </w:tcPr>
                <w:p w14:paraId="1143C2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01F245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446397C4">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10</w:t>
                  </w:r>
                </w:p>
              </w:tc>
              <w:tc>
                <w:tcPr>
                  <w:tcW w:w="1322" w:type="dxa"/>
                  <w:vAlign w:val="center"/>
                </w:tcPr>
                <w:p w14:paraId="12E3E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提升机护架</w:t>
                  </w:r>
                </w:p>
              </w:tc>
              <w:tc>
                <w:tcPr>
                  <w:tcW w:w="1212" w:type="dxa"/>
                  <w:vAlign w:val="center"/>
                </w:tcPr>
                <w:p w14:paraId="2739A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2.5*2.5*30m</w:t>
                  </w:r>
                </w:p>
              </w:tc>
              <w:tc>
                <w:tcPr>
                  <w:tcW w:w="897" w:type="dxa"/>
                  <w:vAlign w:val="center"/>
                </w:tcPr>
                <w:p w14:paraId="1C562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w:t>
                  </w:r>
                </w:p>
              </w:tc>
              <w:tc>
                <w:tcPr>
                  <w:tcW w:w="1212" w:type="dxa"/>
                  <w:shd w:val="clear" w:color="auto" w:fill="auto"/>
                  <w:vAlign w:val="center"/>
                </w:tcPr>
                <w:p w14:paraId="4E2AB6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65413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3CE12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2</w:t>
                  </w:r>
                </w:p>
              </w:tc>
              <w:tc>
                <w:tcPr>
                  <w:tcW w:w="591" w:type="dxa"/>
                  <w:vAlign w:val="center"/>
                </w:tcPr>
                <w:p w14:paraId="132FF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6B0542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260A05E">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11</w:t>
                  </w:r>
                </w:p>
              </w:tc>
              <w:tc>
                <w:tcPr>
                  <w:tcW w:w="1322" w:type="dxa"/>
                  <w:vAlign w:val="center"/>
                </w:tcPr>
                <w:p w14:paraId="7EB33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溜粮管</w:t>
                  </w:r>
                </w:p>
              </w:tc>
              <w:tc>
                <w:tcPr>
                  <w:tcW w:w="1212" w:type="dxa"/>
                  <w:vAlign w:val="center"/>
                </w:tcPr>
                <w:p w14:paraId="3F601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5FD65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45507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0A124C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63E963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2F92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根</w:t>
                  </w:r>
                </w:p>
              </w:tc>
            </w:tr>
            <w:tr w14:paraId="039D84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1A1BF4F4">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12</w:t>
                  </w:r>
                </w:p>
              </w:tc>
              <w:tc>
                <w:tcPr>
                  <w:tcW w:w="1322" w:type="dxa"/>
                  <w:vAlign w:val="center"/>
                </w:tcPr>
                <w:p w14:paraId="03CEF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走台</w:t>
                  </w:r>
                </w:p>
              </w:tc>
              <w:tc>
                <w:tcPr>
                  <w:tcW w:w="1212" w:type="dxa"/>
                  <w:vAlign w:val="center"/>
                </w:tcPr>
                <w:p w14:paraId="79612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0AC83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6F64DB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44E96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644DE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159DB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52EAE0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F93E332">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13</w:t>
                  </w:r>
                </w:p>
              </w:tc>
              <w:tc>
                <w:tcPr>
                  <w:tcW w:w="1322" w:type="dxa"/>
                  <w:vAlign w:val="center"/>
                </w:tcPr>
                <w:p w14:paraId="07F34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燃料上料机</w:t>
                  </w:r>
                </w:p>
              </w:tc>
              <w:tc>
                <w:tcPr>
                  <w:tcW w:w="1212" w:type="dxa"/>
                  <w:vAlign w:val="center"/>
                </w:tcPr>
                <w:p w14:paraId="7F1F6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0227E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w:t>
                  </w:r>
                </w:p>
              </w:tc>
              <w:tc>
                <w:tcPr>
                  <w:tcW w:w="1212" w:type="dxa"/>
                  <w:shd w:val="clear" w:color="auto" w:fill="auto"/>
                  <w:vAlign w:val="center"/>
                </w:tcPr>
                <w:p w14:paraId="2C0FC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ZF-10</w:t>
                  </w:r>
                </w:p>
              </w:tc>
              <w:tc>
                <w:tcPr>
                  <w:tcW w:w="1142" w:type="dxa"/>
                  <w:shd w:val="clear" w:color="auto" w:fill="auto"/>
                  <w:vAlign w:val="center"/>
                </w:tcPr>
                <w:p w14:paraId="11EB3B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1207" w:type="dxa"/>
                  <w:shd w:val="clear" w:color="auto" w:fill="auto"/>
                  <w:vAlign w:val="center"/>
                </w:tcPr>
                <w:p w14:paraId="3D8A0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5E5458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116C2C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99D37B9">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14</w:t>
                  </w:r>
                </w:p>
              </w:tc>
              <w:tc>
                <w:tcPr>
                  <w:tcW w:w="1322" w:type="dxa"/>
                  <w:vAlign w:val="center"/>
                </w:tcPr>
                <w:p w14:paraId="25A2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除渣机</w:t>
                  </w:r>
                </w:p>
              </w:tc>
              <w:tc>
                <w:tcPr>
                  <w:tcW w:w="1212" w:type="dxa"/>
                  <w:vAlign w:val="center"/>
                </w:tcPr>
                <w:p w14:paraId="3D63A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5D70A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w:t>
                  </w:r>
                </w:p>
              </w:tc>
              <w:tc>
                <w:tcPr>
                  <w:tcW w:w="1212" w:type="dxa"/>
                  <w:shd w:val="clear" w:color="auto" w:fill="auto"/>
                  <w:vAlign w:val="center"/>
                </w:tcPr>
                <w:p w14:paraId="64F2E0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CBC-4B10</w:t>
                  </w:r>
                </w:p>
              </w:tc>
              <w:tc>
                <w:tcPr>
                  <w:tcW w:w="1142" w:type="dxa"/>
                  <w:shd w:val="clear" w:color="auto" w:fill="auto"/>
                  <w:vAlign w:val="center"/>
                </w:tcPr>
                <w:p w14:paraId="5DBF1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1207" w:type="dxa"/>
                  <w:shd w:val="clear" w:color="auto" w:fill="auto"/>
                  <w:vAlign w:val="center"/>
                </w:tcPr>
                <w:p w14:paraId="07F18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11C03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357F72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FCAD4E1">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15</w:t>
                  </w:r>
                </w:p>
              </w:tc>
              <w:tc>
                <w:tcPr>
                  <w:tcW w:w="1322" w:type="dxa"/>
                  <w:vAlign w:val="center"/>
                </w:tcPr>
                <w:p w14:paraId="2056DC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引风机</w:t>
                  </w:r>
                </w:p>
              </w:tc>
              <w:tc>
                <w:tcPr>
                  <w:tcW w:w="1212" w:type="dxa"/>
                  <w:vAlign w:val="center"/>
                </w:tcPr>
                <w:p w14:paraId="30A77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4-72-No5A</w:t>
                  </w:r>
                </w:p>
              </w:tc>
              <w:tc>
                <w:tcPr>
                  <w:tcW w:w="897" w:type="dxa"/>
                  <w:vAlign w:val="center"/>
                </w:tcPr>
                <w:p w14:paraId="2DE5C4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417CC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22B33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6B7748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21555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6CA02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19C91F88">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16</w:t>
                  </w:r>
                </w:p>
              </w:tc>
              <w:tc>
                <w:tcPr>
                  <w:tcW w:w="1322" w:type="dxa"/>
                  <w:vAlign w:val="center"/>
                </w:tcPr>
                <w:p w14:paraId="3AA40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引风机</w:t>
                  </w:r>
                </w:p>
              </w:tc>
              <w:tc>
                <w:tcPr>
                  <w:tcW w:w="1212" w:type="dxa"/>
                  <w:vAlign w:val="center"/>
                </w:tcPr>
                <w:p w14:paraId="52994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Y5-47No9C</w:t>
                  </w:r>
                </w:p>
              </w:tc>
              <w:tc>
                <w:tcPr>
                  <w:tcW w:w="897" w:type="dxa"/>
                  <w:vAlign w:val="center"/>
                </w:tcPr>
                <w:p w14:paraId="49AD8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40ED2F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0AA5D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2AD25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591" w:type="dxa"/>
                  <w:vAlign w:val="center"/>
                </w:tcPr>
                <w:p w14:paraId="341A9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37088C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0570A21B">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17</w:t>
                  </w:r>
                </w:p>
              </w:tc>
              <w:tc>
                <w:tcPr>
                  <w:tcW w:w="1322" w:type="dxa"/>
                  <w:vAlign w:val="center"/>
                </w:tcPr>
                <w:p w14:paraId="59836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炉排减速机</w:t>
                  </w:r>
                </w:p>
              </w:tc>
              <w:tc>
                <w:tcPr>
                  <w:tcW w:w="1212" w:type="dxa"/>
                  <w:vAlign w:val="center"/>
                </w:tcPr>
                <w:p w14:paraId="2721A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LT10B</w:t>
                  </w:r>
                </w:p>
              </w:tc>
              <w:tc>
                <w:tcPr>
                  <w:tcW w:w="897" w:type="dxa"/>
                  <w:vAlign w:val="center"/>
                </w:tcPr>
                <w:p w14:paraId="649147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59940A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07361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5E969D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3EFB21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6BFB70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1937385D">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18</w:t>
                  </w:r>
                </w:p>
              </w:tc>
              <w:tc>
                <w:tcPr>
                  <w:tcW w:w="1322" w:type="dxa"/>
                  <w:vAlign w:val="center"/>
                </w:tcPr>
                <w:p w14:paraId="067FF5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慢速斗式提升机</w:t>
                  </w:r>
                </w:p>
              </w:tc>
              <w:tc>
                <w:tcPr>
                  <w:tcW w:w="1212" w:type="dxa"/>
                  <w:vAlign w:val="center"/>
                </w:tcPr>
                <w:p w14:paraId="2E6C6C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63/29</w:t>
                  </w:r>
                </w:p>
              </w:tc>
              <w:tc>
                <w:tcPr>
                  <w:tcW w:w="897" w:type="dxa"/>
                  <w:vAlign w:val="center"/>
                </w:tcPr>
                <w:p w14:paraId="7148D3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7121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6FF1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37B2B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320E07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70FDE4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3A40D69D">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19</w:t>
                  </w:r>
                </w:p>
              </w:tc>
              <w:tc>
                <w:tcPr>
                  <w:tcW w:w="1322" w:type="dxa"/>
                  <w:vAlign w:val="center"/>
                </w:tcPr>
                <w:p w14:paraId="48D8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水平输送机</w:t>
                  </w:r>
                </w:p>
              </w:tc>
              <w:tc>
                <w:tcPr>
                  <w:tcW w:w="1212" w:type="dxa"/>
                  <w:vAlign w:val="center"/>
                </w:tcPr>
                <w:p w14:paraId="61C84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B650-27m</w:t>
                  </w:r>
                </w:p>
              </w:tc>
              <w:tc>
                <w:tcPr>
                  <w:tcW w:w="897" w:type="dxa"/>
                  <w:vAlign w:val="center"/>
                </w:tcPr>
                <w:p w14:paraId="656593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13</w:t>
                  </w:r>
                </w:p>
              </w:tc>
              <w:tc>
                <w:tcPr>
                  <w:tcW w:w="1212" w:type="dxa"/>
                  <w:shd w:val="clear" w:color="auto" w:fill="auto"/>
                  <w:vAlign w:val="center"/>
                </w:tcPr>
                <w:p w14:paraId="4BB18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7D3EC8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4AF9E9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536E7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18D7C5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25860B44">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20</w:t>
                  </w:r>
                </w:p>
              </w:tc>
              <w:tc>
                <w:tcPr>
                  <w:tcW w:w="1322" w:type="dxa"/>
                  <w:vAlign w:val="center"/>
                </w:tcPr>
                <w:p w14:paraId="165AB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仓前提升机</w:t>
                  </w:r>
                </w:p>
              </w:tc>
              <w:tc>
                <w:tcPr>
                  <w:tcW w:w="1212" w:type="dxa"/>
                  <w:vAlign w:val="center"/>
                </w:tcPr>
                <w:p w14:paraId="20AAC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olor w:val="auto"/>
                      <w:lang w:val="en-US" w:eastAsia="zh-CN"/>
                    </w:rPr>
                  </w:pPr>
                  <w:r>
                    <w:rPr>
                      <w:rFonts w:hint="eastAsia" w:cs="Times New Roman" w:eastAsiaTheme="minorEastAsia"/>
                      <w:color w:val="auto"/>
                      <w:sz w:val="18"/>
                      <w:szCs w:val="18"/>
                      <w:highlight w:val="none"/>
                      <w:lang w:val="en-US" w:eastAsia="zh-CN"/>
                    </w:rPr>
                    <w:t>含护架、走台</w:t>
                  </w:r>
                </w:p>
              </w:tc>
              <w:tc>
                <w:tcPr>
                  <w:tcW w:w="897" w:type="dxa"/>
                  <w:vAlign w:val="center"/>
                </w:tcPr>
                <w:p w14:paraId="52F1D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07F4E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21"/>
                      <w:szCs w:val="24"/>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4D090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0FE8E8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0914E2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2DF26B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3ADF0FAB">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21</w:t>
                  </w:r>
                </w:p>
              </w:tc>
              <w:tc>
                <w:tcPr>
                  <w:tcW w:w="1322" w:type="dxa"/>
                  <w:vAlign w:val="center"/>
                </w:tcPr>
                <w:p w14:paraId="309CF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电控温控系统</w:t>
                  </w:r>
                </w:p>
              </w:tc>
              <w:tc>
                <w:tcPr>
                  <w:tcW w:w="1212" w:type="dxa"/>
                  <w:vAlign w:val="center"/>
                </w:tcPr>
                <w:p w14:paraId="20B43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MCC-3</w:t>
                  </w:r>
                </w:p>
              </w:tc>
              <w:tc>
                <w:tcPr>
                  <w:tcW w:w="897" w:type="dxa"/>
                  <w:vAlign w:val="center"/>
                </w:tcPr>
                <w:p w14:paraId="0A2C56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6FD6DA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0619CF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521B2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1</w:t>
                  </w:r>
                </w:p>
              </w:tc>
              <w:tc>
                <w:tcPr>
                  <w:tcW w:w="591" w:type="dxa"/>
                  <w:vAlign w:val="center"/>
                </w:tcPr>
                <w:p w14:paraId="712216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套</w:t>
                  </w:r>
                </w:p>
              </w:tc>
            </w:tr>
            <w:tr w14:paraId="0DCCF9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3" w:type="dxa"/>
                  <w:vAlign w:val="center"/>
                </w:tcPr>
                <w:p w14:paraId="3C59A70F">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22</w:t>
                  </w:r>
                </w:p>
              </w:tc>
              <w:tc>
                <w:tcPr>
                  <w:tcW w:w="1322" w:type="dxa"/>
                  <w:vAlign w:val="center"/>
                </w:tcPr>
                <w:p w14:paraId="24A710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布袋除尘器</w:t>
                  </w:r>
                </w:p>
              </w:tc>
              <w:tc>
                <w:tcPr>
                  <w:tcW w:w="1212" w:type="dxa"/>
                  <w:vAlign w:val="center"/>
                </w:tcPr>
                <w:p w14:paraId="4E2C68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897" w:type="dxa"/>
                  <w:vAlign w:val="center"/>
                </w:tcPr>
                <w:p w14:paraId="1B9E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1212" w:type="dxa"/>
                  <w:shd w:val="clear" w:color="auto" w:fill="auto"/>
                  <w:vAlign w:val="center"/>
                </w:tcPr>
                <w:p w14:paraId="47581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1142" w:type="dxa"/>
                  <w:shd w:val="clear" w:color="auto" w:fill="auto"/>
                  <w:vAlign w:val="center"/>
                </w:tcPr>
                <w:p w14:paraId="28035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w:t>
                  </w:r>
                </w:p>
              </w:tc>
              <w:tc>
                <w:tcPr>
                  <w:tcW w:w="1207" w:type="dxa"/>
                  <w:shd w:val="clear" w:color="auto" w:fill="auto"/>
                  <w:vAlign w:val="center"/>
                </w:tcPr>
                <w:p w14:paraId="2F831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591" w:type="dxa"/>
                  <w:vAlign w:val="center"/>
                </w:tcPr>
                <w:p w14:paraId="0974CE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bl>
          <w:p w14:paraId="7D4905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14:paraId="465B747A">
            <w:pPr>
              <w:keepNext w:val="0"/>
              <w:keepLines w:val="0"/>
              <w:suppressLineNumbers w:val="0"/>
              <w:spacing w:before="0" w:beforeAutospacing="0" w:after="0" w:afterAutospacing="0"/>
              <w:ind w:left="0" w:right="0"/>
              <w:jc w:val="center"/>
              <w:rPr>
                <w:rFonts w:hint="eastAsia"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4</w:t>
            </w:r>
            <w:r>
              <w:rPr>
                <w:rFonts w:hint="default" w:ascii="Times New Roman" w:hAnsi="Times New Roman" w:eastAsia="宋体" w:cs="Times New Roman"/>
                <w:b/>
                <w:bCs/>
                <w:snapToGrid w:val="0"/>
                <w:color w:val="auto"/>
                <w:szCs w:val="21"/>
                <w:highlight w:val="none"/>
              </w:rPr>
              <w:t>原辅材料消耗一览表</w:t>
            </w:r>
          </w:p>
          <w:tbl>
            <w:tblPr>
              <w:tblStyle w:val="35"/>
              <w:tblW w:w="4972"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1170"/>
              <w:gridCol w:w="1305"/>
              <w:gridCol w:w="1860"/>
              <w:gridCol w:w="1305"/>
              <w:gridCol w:w="615"/>
              <w:gridCol w:w="1164"/>
            </w:tblGrid>
            <w:tr w14:paraId="39EFF4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5" w:type="dxa"/>
                  <w:vAlign w:val="center"/>
                </w:tcPr>
                <w:p w14:paraId="7DCCCB37">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170" w:type="dxa"/>
                  <w:vAlign w:val="center"/>
                </w:tcPr>
                <w:p w14:paraId="308B95F2">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w:t>
                  </w:r>
                </w:p>
              </w:tc>
              <w:tc>
                <w:tcPr>
                  <w:tcW w:w="1305" w:type="dxa"/>
                  <w:vAlign w:val="center"/>
                </w:tcPr>
                <w:p w14:paraId="6AA25EFF">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现有年消耗量</w:t>
                  </w:r>
                </w:p>
              </w:tc>
              <w:tc>
                <w:tcPr>
                  <w:tcW w:w="1860" w:type="dxa"/>
                  <w:vAlign w:val="center"/>
                </w:tcPr>
                <w:p w14:paraId="71BCD677">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新增年消耗量</w:t>
                  </w:r>
                </w:p>
              </w:tc>
              <w:tc>
                <w:tcPr>
                  <w:tcW w:w="1305" w:type="dxa"/>
                  <w:vAlign w:val="center"/>
                </w:tcPr>
                <w:p w14:paraId="1BCA456E">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全厂年消耗量</w:t>
                  </w:r>
                </w:p>
              </w:tc>
              <w:tc>
                <w:tcPr>
                  <w:tcW w:w="615" w:type="dxa"/>
                  <w:vAlign w:val="center"/>
                </w:tcPr>
                <w:p w14:paraId="5B5C1DCF">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1164" w:type="dxa"/>
                  <w:vAlign w:val="center"/>
                </w:tcPr>
                <w:p w14:paraId="1E272587">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来源</w:t>
                  </w:r>
                </w:p>
              </w:tc>
            </w:tr>
            <w:tr w14:paraId="7146E1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5" w:type="dxa"/>
                  <w:vAlign w:val="center"/>
                </w:tcPr>
                <w:p w14:paraId="67FDD513">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170" w:type="dxa"/>
                  <w:vAlign w:val="center"/>
                </w:tcPr>
                <w:p w14:paraId="3D3277B1">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bCs/>
                      <w:color w:val="auto"/>
                      <w:sz w:val="18"/>
                      <w:szCs w:val="18"/>
                      <w:highlight w:val="none"/>
                      <w:lang w:val="en-US" w:eastAsia="zh-CN"/>
                    </w:rPr>
                    <w:t>玉米（含水率30%）</w:t>
                  </w:r>
                </w:p>
              </w:tc>
              <w:tc>
                <w:tcPr>
                  <w:tcW w:w="1305" w:type="dxa"/>
                  <w:vAlign w:val="center"/>
                </w:tcPr>
                <w:p w14:paraId="5904BA03">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bCs/>
                      <w:color w:val="auto"/>
                      <w:sz w:val="18"/>
                      <w:szCs w:val="18"/>
                      <w:highlight w:val="none"/>
                      <w:lang w:val="en-US" w:eastAsia="zh-CN"/>
                    </w:rPr>
                    <w:t>30000</w:t>
                  </w:r>
                </w:p>
              </w:tc>
              <w:tc>
                <w:tcPr>
                  <w:tcW w:w="1860" w:type="dxa"/>
                  <w:shd w:val="clear" w:color="auto" w:fill="auto"/>
                  <w:vAlign w:val="center"/>
                </w:tcPr>
                <w:p w14:paraId="3EA99224">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0</w:t>
                  </w:r>
                </w:p>
              </w:tc>
              <w:tc>
                <w:tcPr>
                  <w:tcW w:w="1305" w:type="dxa"/>
                  <w:vAlign w:val="center"/>
                </w:tcPr>
                <w:p w14:paraId="7649DB1A">
                  <w:pPr>
                    <w:keepNext w:val="0"/>
                    <w:keepLines w:val="0"/>
                    <w:widowControl/>
                    <w:suppressLineNumbers w:val="0"/>
                    <w:spacing w:before="0" w:beforeAutospacing="0" w:after="0" w:afterAutospacing="0"/>
                    <w:ind w:left="0" w:right="0"/>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30000</w:t>
                  </w:r>
                </w:p>
              </w:tc>
              <w:tc>
                <w:tcPr>
                  <w:tcW w:w="615" w:type="dxa"/>
                  <w:vAlign w:val="center"/>
                </w:tcPr>
                <w:p w14:paraId="6CC18FB1">
                  <w:pPr>
                    <w:keepNext w:val="0"/>
                    <w:keepLines w:val="0"/>
                    <w:widowControl/>
                    <w:suppressLineNumbers w:val="0"/>
                    <w:spacing w:before="0" w:beforeAutospacing="0" w:after="0" w:afterAutospacing="0"/>
                    <w:ind w:left="0" w:right="0"/>
                    <w:jc w:val="center"/>
                    <w:rPr>
                      <w:rFonts w:hint="eastAsia" w:cs="Times New Roman" w:eastAsiaTheme="minorEastAsia"/>
                      <w:bCs/>
                      <w:color w:val="auto"/>
                      <w:sz w:val="18"/>
                      <w:szCs w:val="18"/>
                      <w:highlight w:val="none"/>
                      <w:lang w:val="en-US" w:eastAsia="zh-CN"/>
                    </w:rPr>
                  </w:pPr>
                  <w:r>
                    <w:rPr>
                      <w:rFonts w:hint="default" w:ascii="Times New Roman" w:hAnsi="Times New Roman" w:cs="Times New Roman"/>
                      <w:bCs/>
                      <w:color w:val="auto"/>
                      <w:sz w:val="18"/>
                      <w:szCs w:val="18"/>
                      <w:highlight w:val="none"/>
                    </w:rPr>
                    <w:t>t/a</w:t>
                  </w:r>
                </w:p>
              </w:tc>
              <w:tc>
                <w:tcPr>
                  <w:tcW w:w="1164" w:type="dxa"/>
                  <w:vAlign w:val="center"/>
                </w:tcPr>
                <w:p w14:paraId="4901DB4A">
                  <w:pPr>
                    <w:keepNext w:val="0"/>
                    <w:keepLines w:val="0"/>
                    <w:widowControl/>
                    <w:suppressLineNumbers w:val="0"/>
                    <w:spacing w:before="0" w:beforeAutospacing="0" w:after="0" w:afterAutospacing="0"/>
                    <w:ind w:left="0" w:right="0"/>
                    <w:jc w:val="center"/>
                    <w:rPr>
                      <w:rFonts w:hint="eastAsia"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bCs/>
                      <w:color w:val="auto"/>
                      <w:sz w:val="18"/>
                      <w:szCs w:val="18"/>
                      <w:highlight w:val="none"/>
                      <w:lang w:val="en-US" w:eastAsia="zh-CN"/>
                    </w:rPr>
                    <w:t>外购</w:t>
                  </w:r>
                </w:p>
              </w:tc>
            </w:tr>
            <w:tr w14:paraId="353AD7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5" w:type="dxa"/>
                  <w:vAlign w:val="center"/>
                </w:tcPr>
                <w:p w14:paraId="3C882DE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w:t>
                  </w:r>
                </w:p>
              </w:tc>
              <w:tc>
                <w:tcPr>
                  <w:tcW w:w="1170" w:type="dxa"/>
                  <w:vAlign w:val="center"/>
                </w:tcPr>
                <w:p w14:paraId="03B10C0E">
                  <w:pPr>
                    <w:keepNext w:val="0"/>
                    <w:keepLines w:val="0"/>
                    <w:widowControl/>
                    <w:suppressLineNumbers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水稻（含水率22%）</w:t>
                  </w:r>
                </w:p>
              </w:tc>
              <w:tc>
                <w:tcPr>
                  <w:tcW w:w="1305" w:type="dxa"/>
                  <w:vAlign w:val="center"/>
                </w:tcPr>
                <w:p w14:paraId="0B98B6D1">
                  <w:pPr>
                    <w:keepNext w:val="0"/>
                    <w:keepLines w:val="0"/>
                    <w:widowControl/>
                    <w:suppressLineNumbers w:val="0"/>
                    <w:spacing w:before="0" w:beforeAutospacing="0" w:after="0" w:afterAutospacing="0"/>
                    <w:ind w:left="0" w:right="0"/>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0</w:t>
                  </w:r>
                </w:p>
              </w:tc>
              <w:tc>
                <w:tcPr>
                  <w:tcW w:w="1860" w:type="dxa"/>
                  <w:vAlign w:val="center"/>
                </w:tcPr>
                <w:p w14:paraId="7DC57632">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75000</w:t>
                  </w:r>
                </w:p>
              </w:tc>
              <w:tc>
                <w:tcPr>
                  <w:tcW w:w="1305" w:type="dxa"/>
                  <w:vAlign w:val="center"/>
                </w:tcPr>
                <w:p w14:paraId="4A2B02A0">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75000</w:t>
                  </w:r>
                </w:p>
              </w:tc>
              <w:tc>
                <w:tcPr>
                  <w:tcW w:w="615" w:type="dxa"/>
                  <w:shd w:val="clear" w:color="auto" w:fill="auto"/>
                  <w:vAlign w:val="center"/>
                </w:tcPr>
                <w:p w14:paraId="278E8381">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t/a</w:t>
                  </w:r>
                </w:p>
              </w:tc>
              <w:tc>
                <w:tcPr>
                  <w:tcW w:w="1164" w:type="dxa"/>
                  <w:shd w:val="clear" w:color="auto" w:fill="auto"/>
                  <w:vAlign w:val="center"/>
                </w:tcPr>
                <w:p w14:paraId="18EC3EB5">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bCs/>
                      <w:color w:val="auto"/>
                      <w:sz w:val="18"/>
                      <w:szCs w:val="18"/>
                      <w:highlight w:val="none"/>
                      <w:lang w:val="en-US" w:eastAsia="zh-CN"/>
                    </w:rPr>
                    <w:t>外购</w:t>
                  </w:r>
                </w:p>
              </w:tc>
            </w:tr>
            <w:tr w14:paraId="1217E8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5" w:type="dxa"/>
                  <w:vAlign w:val="center"/>
                </w:tcPr>
                <w:p w14:paraId="11AAAEC9">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p>
              </w:tc>
              <w:tc>
                <w:tcPr>
                  <w:tcW w:w="1170" w:type="dxa"/>
                  <w:shd w:val="clear" w:color="auto" w:fill="auto"/>
                  <w:vAlign w:val="center"/>
                </w:tcPr>
                <w:p w14:paraId="7824D7B5">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生物质颗粒</w:t>
                  </w:r>
                </w:p>
              </w:tc>
              <w:tc>
                <w:tcPr>
                  <w:tcW w:w="1305" w:type="dxa"/>
                  <w:shd w:val="clear" w:color="auto" w:fill="auto"/>
                  <w:vAlign w:val="center"/>
                </w:tcPr>
                <w:p w14:paraId="2DE7AFC8">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cs="Times New Roman" w:eastAsiaTheme="minorEastAsia"/>
                      <w:bCs/>
                      <w:color w:val="auto"/>
                      <w:sz w:val="18"/>
                      <w:szCs w:val="18"/>
                      <w:highlight w:val="none"/>
                      <w:lang w:val="en-US" w:eastAsia="zh-CN"/>
                    </w:rPr>
                    <w:t>0</w:t>
                  </w:r>
                </w:p>
              </w:tc>
              <w:tc>
                <w:tcPr>
                  <w:tcW w:w="1860" w:type="dxa"/>
                  <w:shd w:val="clear" w:color="auto" w:fill="auto"/>
                  <w:vAlign w:val="center"/>
                </w:tcPr>
                <w:p w14:paraId="6BBD57F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eastAsia" w:cs="Times New Roman" w:eastAsiaTheme="minorEastAsia"/>
                      <w:bCs/>
                      <w:color w:val="auto"/>
                      <w:sz w:val="18"/>
                      <w:szCs w:val="18"/>
                      <w:highlight w:val="none"/>
                      <w:lang w:val="en-US" w:eastAsia="zh-CN"/>
                    </w:rPr>
                    <w:t>9015</w:t>
                  </w:r>
                </w:p>
              </w:tc>
              <w:tc>
                <w:tcPr>
                  <w:tcW w:w="1305" w:type="dxa"/>
                  <w:shd w:val="clear" w:color="auto" w:fill="auto"/>
                  <w:vAlign w:val="center"/>
                </w:tcPr>
                <w:p w14:paraId="15728AB6">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eastAsia" w:cs="Times New Roman" w:eastAsiaTheme="minorEastAsia"/>
                      <w:bCs/>
                      <w:color w:val="auto"/>
                      <w:sz w:val="18"/>
                      <w:szCs w:val="18"/>
                      <w:highlight w:val="none"/>
                      <w:lang w:val="en-US" w:eastAsia="zh-CN"/>
                    </w:rPr>
                    <w:t>9015</w:t>
                  </w:r>
                </w:p>
              </w:tc>
              <w:tc>
                <w:tcPr>
                  <w:tcW w:w="615" w:type="dxa"/>
                  <w:shd w:val="clear" w:color="auto" w:fill="auto"/>
                  <w:vAlign w:val="center"/>
                </w:tcPr>
                <w:p w14:paraId="3A906D35">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t/a</w:t>
                  </w:r>
                </w:p>
              </w:tc>
              <w:tc>
                <w:tcPr>
                  <w:tcW w:w="1164" w:type="dxa"/>
                  <w:shd w:val="clear" w:color="auto" w:fill="auto"/>
                  <w:vAlign w:val="center"/>
                </w:tcPr>
                <w:p w14:paraId="589B0B10">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bCs/>
                      <w:color w:val="auto"/>
                      <w:sz w:val="18"/>
                      <w:szCs w:val="18"/>
                      <w:highlight w:val="none"/>
                      <w:lang w:val="en-US" w:eastAsia="zh-CN"/>
                    </w:rPr>
                    <w:t>外购</w:t>
                  </w:r>
                </w:p>
              </w:tc>
            </w:tr>
          </w:tbl>
          <w:p w14:paraId="1409F100">
            <w:pPr>
              <w:pStyle w:val="157"/>
              <w:keepNext w:val="0"/>
              <w:keepLines w:val="0"/>
              <w:suppressLineNumbers w:val="0"/>
              <w:spacing w:before="0" w:beforeAutospacing="0" w:after="0" w:afterAutospacing="0" w:line="240" w:lineRule="auto"/>
              <w:ind w:left="0" w:right="0"/>
              <w:rPr>
                <w:rFonts w:hint="default" w:eastAsia="宋体"/>
                <w:color w:val="auto"/>
                <w:highlight w:val="none"/>
                <w:lang w:val="en-US"/>
              </w:rPr>
            </w:pPr>
            <w:r>
              <w:rPr>
                <w:rFonts w:hint="eastAsia" w:eastAsia="宋体"/>
                <w:color w:val="auto"/>
                <w:highlight w:val="none"/>
              </w:rPr>
              <w:t>表2-</w:t>
            </w:r>
            <w:r>
              <w:rPr>
                <w:rFonts w:hint="eastAsia"/>
                <w:color w:val="auto"/>
                <w:highlight w:val="none"/>
                <w:lang w:val="en-US" w:eastAsia="zh-CN"/>
              </w:rPr>
              <w:t>5</w:t>
            </w:r>
            <w:r>
              <w:rPr>
                <w:rFonts w:hint="eastAsia" w:eastAsia="宋体"/>
                <w:color w:val="auto"/>
                <w:highlight w:val="none"/>
              </w:rPr>
              <w:t xml:space="preserve"> </w:t>
            </w:r>
            <w:r>
              <w:rPr>
                <w:rFonts w:hint="eastAsia"/>
                <w:color w:val="auto"/>
                <w:highlight w:val="none"/>
                <w:lang w:val="en-US" w:eastAsia="zh-CN"/>
              </w:rPr>
              <w:t>生物质成分分析一览表</w:t>
            </w:r>
          </w:p>
          <w:tbl>
            <w:tblPr>
              <w:tblStyle w:val="35"/>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9"/>
              <w:gridCol w:w="1325"/>
              <w:gridCol w:w="1615"/>
              <w:gridCol w:w="2410"/>
            </w:tblGrid>
            <w:tr w14:paraId="1807B8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7D29913F">
                  <w:pPr>
                    <w:pStyle w:val="157"/>
                    <w:keepNext w:val="0"/>
                    <w:keepLines w:val="0"/>
                    <w:suppressLineNumbers w:val="0"/>
                    <w:spacing w:before="0" w:beforeAutospacing="0" w:after="0" w:afterAutospacing="0" w:line="240" w:lineRule="auto"/>
                    <w:ind w:left="0" w:right="0"/>
                    <w:rPr>
                      <w:rFonts w:hint="eastAsia" w:eastAsia="宋体"/>
                      <w:color w:val="auto"/>
                      <w:highlight w:val="none"/>
                      <w:vertAlign w:val="baseline"/>
                      <w:lang w:val="en-US" w:eastAsia="zh-CN"/>
                    </w:rPr>
                  </w:pPr>
                  <w:r>
                    <w:rPr>
                      <w:rFonts w:hint="eastAsia"/>
                      <w:color w:val="auto"/>
                      <w:highlight w:val="none"/>
                      <w:vertAlign w:val="baseline"/>
                      <w:lang w:val="en-US" w:eastAsia="zh-CN"/>
                    </w:rPr>
                    <w:t>名称</w:t>
                  </w:r>
                </w:p>
              </w:tc>
              <w:tc>
                <w:tcPr>
                  <w:tcW w:w="1325" w:type="dxa"/>
                  <w:tcBorders>
                    <w:tl2br w:val="nil"/>
                    <w:tr2bl w:val="nil"/>
                  </w:tcBorders>
                  <w:vAlign w:val="center"/>
                </w:tcPr>
                <w:p w14:paraId="3A90DD82">
                  <w:pPr>
                    <w:pStyle w:val="157"/>
                    <w:keepNext w:val="0"/>
                    <w:keepLines w:val="0"/>
                    <w:suppressLineNumbers w:val="0"/>
                    <w:spacing w:before="0" w:beforeAutospacing="0" w:after="0" w:afterAutospacing="0" w:line="240" w:lineRule="auto"/>
                    <w:ind w:left="0" w:right="0"/>
                    <w:rPr>
                      <w:rFonts w:hint="default" w:eastAsia="宋体"/>
                      <w:color w:val="auto"/>
                      <w:highlight w:val="none"/>
                      <w:vertAlign w:val="baseline"/>
                      <w:lang w:val="en-US" w:eastAsia="zh-CN"/>
                    </w:rPr>
                  </w:pPr>
                  <w:r>
                    <w:rPr>
                      <w:rFonts w:hint="eastAsia"/>
                      <w:color w:val="auto"/>
                      <w:highlight w:val="none"/>
                      <w:vertAlign w:val="baseline"/>
                      <w:lang w:val="en-US" w:eastAsia="zh-CN"/>
                    </w:rPr>
                    <w:t>符号</w:t>
                  </w:r>
                </w:p>
              </w:tc>
              <w:tc>
                <w:tcPr>
                  <w:tcW w:w="1615" w:type="dxa"/>
                  <w:tcBorders>
                    <w:tl2br w:val="nil"/>
                    <w:tr2bl w:val="nil"/>
                  </w:tcBorders>
                  <w:vAlign w:val="center"/>
                </w:tcPr>
                <w:p w14:paraId="374A1943">
                  <w:pPr>
                    <w:pStyle w:val="157"/>
                    <w:keepNext w:val="0"/>
                    <w:keepLines w:val="0"/>
                    <w:suppressLineNumbers w:val="0"/>
                    <w:spacing w:before="0" w:beforeAutospacing="0" w:after="0" w:afterAutospacing="0" w:line="240" w:lineRule="auto"/>
                    <w:ind w:left="0" w:right="0"/>
                    <w:rPr>
                      <w:rFonts w:hint="eastAsia" w:eastAsia="宋体"/>
                      <w:color w:val="auto"/>
                      <w:highlight w:val="none"/>
                      <w:vertAlign w:val="baseline"/>
                      <w:lang w:val="en-US" w:eastAsia="zh-CN"/>
                    </w:rPr>
                  </w:pPr>
                  <w:r>
                    <w:rPr>
                      <w:rFonts w:hint="eastAsia"/>
                      <w:color w:val="auto"/>
                      <w:highlight w:val="none"/>
                      <w:vertAlign w:val="baseline"/>
                      <w:lang w:val="en-US" w:eastAsia="zh-CN"/>
                    </w:rPr>
                    <w:t>单位</w:t>
                  </w:r>
                </w:p>
              </w:tc>
              <w:tc>
                <w:tcPr>
                  <w:tcW w:w="2410" w:type="dxa"/>
                  <w:tcBorders>
                    <w:tl2br w:val="nil"/>
                    <w:tr2bl w:val="nil"/>
                  </w:tcBorders>
                  <w:vAlign w:val="center"/>
                </w:tcPr>
                <w:p w14:paraId="41699B63">
                  <w:pPr>
                    <w:pStyle w:val="157"/>
                    <w:keepNext w:val="0"/>
                    <w:keepLines w:val="0"/>
                    <w:suppressLineNumbers w:val="0"/>
                    <w:spacing w:before="0" w:beforeAutospacing="0" w:after="0" w:afterAutospacing="0" w:line="240" w:lineRule="auto"/>
                    <w:ind w:left="0" w:right="0"/>
                    <w:rPr>
                      <w:rFonts w:hint="default" w:eastAsia="宋体"/>
                      <w:color w:val="auto"/>
                      <w:highlight w:val="none"/>
                      <w:vertAlign w:val="baseline"/>
                      <w:lang w:val="en-US" w:eastAsia="zh-CN"/>
                    </w:rPr>
                  </w:pPr>
                  <w:r>
                    <w:rPr>
                      <w:rFonts w:hint="eastAsia"/>
                      <w:color w:val="auto"/>
                      <w:highlight w:val="none"/>
                      <w:vertAlign w:val="baseline"/>
                      <w:lang w:val="en-US" w:eastAsia="zh-CN"/>
                    </w:rPr>
                    <w:t>生物质燃料</w:t>
                  </w:r>
                </w:p>
              </w:tc>
            </w:tr>
            <w:tr w14:paraId="61A6B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6F579D2F">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空气干燥基水分</w:t>
                  </w:r>
                </w:p>
              </w:tc>
              <w:tc>
                <w:tcPr>
                  <w:tcW w:w="1325" w:type="dxa"/>
                  <w:tcBorders>
                    <w:tl2br w:val="nil"/>
                    <w:tr2bl w:val="nil"/>
                  </w:tcBorders>
                  <w:vAlign w:val="center"/>
                </w:tcPr>
                <w:p w14:paraId="5559767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Mad</w:t>
                  </w:r>
                </w:p>
              </w:tc>
              <w:tc>
                <w:tcPr>
                  <w:tcW w:w="1615" w:type="dxa"/>
                  <w:tcBorders>
                    <w:tl2br w:val="nil"/>
                    <w:tr2bl w:val="nil"/>
                  </w:tcBorders>
                  <w:vAlign w:val="center"/>
                </w:tcPr>
                <w:p w14:paraId="4665577C">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5322471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3.14</w:t>
                  </w:r>
                </w:p>
              </w:tc>
            </w:tr>
            <w:tr w14:paraId="71BE3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02EDB36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全水分</w:t>
                  </w:r>
                </w:p>
              </w:tc>
              <w:tc>
                <w:tcPr>
                  <w:tcW w:w="1325" w:type="dxa"/>
                  <w:tcBorders>
                    <w:tl2br w:val="nil"/>
                    <w:tr2bl w:val="nil"/>
                  </w:tcBorders>
                  <w:vAlign w:val="center"/>
                </w:tcPr>
                <w:p w14:paraId="52E7424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Mt</w:t>
                  </w:r>
                </w:p>
              </w:tc>
              <w:tc>
                <w:tcPr>
                  <w:tcW w:w="1615" w:type="dxa"/>
                  <w:tcBorders>
                    <w:tl2br w:val="nil"/>
                    <w:tr2bl w:val="nil"/>
                  </w:tcBorders>
                  <w:vAlign w:val="center"/>
                </w:tcPr>
                <w:p w14:paraId="4A51BE54">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34EB761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30.6</w:t>
                  </w:r>
                </w:p>
              </w:tc>
            </w:tr>
            <w:tr w14:paraId="02357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14201BFE">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空气干燥基挥发分</w:t>
                  </w:r>
                </w:p>
              </w:tc>
              <w:tc>
                <w:tcPr>
                  <w:tcW w:w="1325" w:type="dxa"/>
                  <w:tcBorders>
                    <w:tl2br w:val="nil"/>
                    <w:tr2bl w:val="nil"/>
                  </w:tcBorders>
                  <w:vAlign w:val="center"/>
                </w:tcPr>
                <w:p w14:paraId="762B1F2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Vad</w:t>
                  </w:r>
                </w:p>
              </w:tc>
              <w:tc>
                <w:tcPr>
                  <w:tcW w:w="1615" w:type="dxa"/>
                  <w:tcBorders>
                    <w:tl2br w:val="nil"/>
                    <w:tr2bl w:val="nil"/>
                  </w:tcBorders>
                  <w:vAlign w:val="center"/>
                </w:tcPr>
                <w:p w14:paraId="61982160">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1BF0F6F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13.77</w:t>
                  </w:r>
                </w:p>
              </w:tc>
            </w:tr>
            <w:tr w14:paraId="42E730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016BA01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干燥无灰基挥发分</w:t>
                  </w:r>
                </w:p>
              </w:tc>
              <w:tc>
                <w:tcPr>
                  <w:tcW w:w="1325" w:type="dxa"/>
                  <w:tcBorders>
                    <w:tl2br w:val="nil"/>
                    <w:tr2bl w:val="nil"/>
                  </w:tcBorders>
                  <w:vAlign w:val="center"/>
                </w:tcPr>
                <w:p w14:paraId="318DC2E2">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Vdaf</w:t>
                  </w:r>
                </w:p>
              </w:tc>
              <w:tc>
                <w:tcPr>
                  <w:tcW w:w="1615" w:type="dxa"/>
                  <w:tcBorders>
                    <w:tl2br w:val="nil"/>
                    <w:tr2bl w:val="nil"/>
                  </w:tcBorders>
                  <w:vAlign w:val="center"/>
                </w:tcPr>
                <w:p w14:paraId="6427CF0B">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3EFCCEE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80.46</w:t>
                  </w:r>
                </w:p>
              </w:tc>
            </w:tr>
            <w:tr w14:paraId="642E0E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31E80BE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空气干燥基灰分</w:t>
                  </w:r>
                </w:p>
              </w:tc>
              <w:tc>
                <w:tcPr>
                  <w:tcW w:w="1325" w:type="dxa"/>
                  <w:tcBorders>
                    <w:tl2br w:val="nil"/>
                    <w:tr2bl w:val="nil"/>
                  </w:tcBorders>
                  <w:vAlign w:val="center"/>
                </w:tcPr>
                <w:p w14:paraId="7252DB8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Aad</w:t>
                  </w:r>
                </w:p>
              </w:tc>
              <w:tc>
                <w:tcPr>
                  <w:tcW w:w="1615" w:type="dxa"/>
                  <w:tcBorders>
                    <w:tl2br w:val="nil"/>
                    <w:tr2bl w:val="nil"/>
                  </w:tcBorders>
                  <w:vAlign w:val="center"/>
                </w:tcPr>
                <w:p w14:paraId="3C42073D">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718D621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5.18</w:t>
                  </w:r>
                </w:p>
              </w:tc>
            </w:tr>
            <w:tr w14:paraId="04009C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4F79D69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收到基灰分</w:t>
                  </w:r>
                </w:p>
              </w:tc>
              <w:tc>
                <w:tcPr>
                  <w:tcW w:w="1325" w:type="dxa"/>
                  <w:tcBorders>
                    <w:tl2br w:val="nil"/>
                    <w:tr2bl w:val="nil"/>
                  </w:tcBorders>
                  <w:vAlign w:val="center"/>
                </w:tcPr>
                <w:p w14:paraId="24DDF757">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Aar</w:t>
                  </w:r>
                </w:p>
              </w:tc>
              <w:tc>
                <w:tcPr>
                  <w:tcW w:w="1615" w:type="dxa"/>
                  <w:tcBorders>
                    <w:tl2br w:val="nil"/>
                    <w:tr2bl w:val="nil"/>
                  </w:tcBorders>
                  <w:vAlign w:val="center"/>
                </w:tcPr>
                <w:p w14:paraId="5342FA3E">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04AED4D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3.71</w:t>
                  </w:r>
                </w:p>
              </w:tc>
            </w:tr>
            <w:tr w14:paraId="33D1F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45AFA15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空气干燥基全硫</w:t>
                  </w:r>
                </w:p>
              </w:tc>
              <w:tc>
                <w:tcPr>
                  <w:tcW w:w="1325" w:type="dxa"/>
                  <w:tcBorders>
                    <w:tl2br w:val="nil"/>
                    <w:tr2bl w:val="nil"/>
                  </w:tcBorders>
                  <w:vAlign w:val="center"/>
                </w:tcPr>
                <w:p w14:paraId="1FDD202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St,ad</w:t>
                  </w:r>
                </w:p>
              </w:tc>
              <w:tc>
                <w:tcPr>
                  <w:tcW w:w="1615" w:type="dxa"/>
                  <w:tcBorders>
                    <w:tl2br w:val="nil"/>
                    <w:tr2bl w:val="nil"/>
                  </w:tcBorders>
                  <w:vAlign w:val="center"/>
                </w:tcPr>
                <w:p w14:paraId="045C48A3">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196990AC">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0.04</w:t>
                  </w:r>
                </w:p>
              </w:tc>
            </w:tr>
            <w:tr w14:paraId="3CDC9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32BE85C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收到基全硫</w:t>
                  </w:r>
                </w:p>
              </w:tc>
              <w:tc>
                <w:tcPr>
                  <w:tcW w:w="1325" w:type="dxa"/>
                  <w:tcBorders>
                    <w:tl2br w:val="nil"/>
                    <w:tr2bl w:val="nil"/>
                  </w:tcBorders>
                  <w:vAlign w:val="center"/>
                </w:tcPr>
                <w:p w14:paraId="2A42E70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St,ar</w:t>
                  </w:r>
                </w:p>
              </w:tc>
              <w:tc>
                <w:tcPr>
                  <w:tcW w:w="1615" w:type="dxa"/>
                  <w:tcBorders>
                    <w:tl2br w:val="nil"/>
                    <w:tr2bl w:val="nil"/>
                  </w:tcBorders>
                  <w:vAlign w:val="center"/>
                </w:tcPr>
                <w:p w14:paraId="1BF1525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2E05F339">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0.03</w:t>
                  </w:r>
                </w:p>
              </w:tc>
            </w:tr>
            <w:tr w14:paraId="4B5FF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restart"/>
                  <w:tcBorders>
                    <w:tl2br w:val="nil"/>
                    <w:tr2bl w:val="nil"/>
                  </w:tcBorders>
                  <w:vAlign w:val="center"/>
                </w:tcPr>
                <w:p w14:paraId="1048DF9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空气干燥基高位发热量</w:t>
                  </w:r>
                </w:p>
              </w:tc>
              <w:tc>
                <w:tcPr>
                  <w:tcW w:w="1325" w:type="dxa"/>
                  <w:vMerge w:val="restart"/>
                  <w:tcBorders>
                    <w:tl2br w:val="nil"/>
                    <w:tr2bl w:val="nil"/>
                  </w:tcBorders>
                  <w:vAlign w:val="center"/>
                </w:tcPr>
                <w:p w14:paraId="0508A36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Qgr,ad</w:t>
                  </w:r>
                </w:p>
              </w:tc>
              <w:tc>
                <w:tcPr>
                  <w:tcW w:w="1615" w:type="dxa"/>
                  <w:tcBorders>
                    <w:tl2br w:val="nil"/>
                    <w:tr2bl w:val="nil"/>
                  </w:tcBorders>
                  <w:vAlign w:val="center"/>
                </w:tcPr>
                <w:p w14:paraId="416180F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MJ/kg</w:t>
                  </w:r>
                </w:p>
              </w:tc>
              <w:tc>
                <w:tcPr>
                  <w:tcW w:w="2410" w:type="dxa"/>
                  <w:tcBorders>
                    <w:tl2br w:val="nil"/>
                    <w:tr2bl w:val="nil"/>
                  </w:tcBorders>
                  <w:vAlign w:val="center"/>
                </w:tcPr>
                <w:p w14:paraId="68609AD1">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19.75</w:t>
                  </w:r>
                </w:p>
              </w:tc>
            </w:tr>
            <w:tr w14:paraId="6DD0DD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continue"/>
                  <w:tcBorders>
                    <w:tl2br w:val="nil"/>
                    <w:tr2bl w:val="nil"/>
                  </w:tcBorders>
                  <w:vAlign w:val="center"/>
                </w:tcPr>
                <w:p w14:paraId="7B62565B">
                  <w:pPr>
                    <w:pStyle w:val="157"/>
                    <w:keepNext w:val="0"/>
                    <w:keepLines w:val="0"/>
                    <w:suppressLineNumbers w:val="0"/>
                    <w:spacing w:before="0" w:beforeAutospacing="0" w:after="0" w:afterAutospacing="0" w:line="240" w:lineRule="auto"/>
                    <w:ind w:left="0" w:right="0"/>
                    <w:rPr>
                      <w:rFonts w:hint="eastAsia"/>
                      <w:b w:val="0"/>
                      <w:bCs/>
                      <w:color w:val="auto"/>
                      <w:highlight w:val="none"/>
                      <w:vertAlign w:val="baseline"/>
                      <w:lang w:val="en-US" w:eastAsia="zh-CN"/>
                    </w:rPr>
                  </w:pPr>
                </w:p>
              </w:tc>
              <w:tc>
                <w:tcPr>
                  <w:tcW w:w="1325" w:type="dxa"/>
                  <w:vMerge w:val="continue"/>
                  <w:tcBorders>
                    <w:tl2br w:val="nil"/>
                    <w:tr2bl w:val="nil"/>
                  </w:tcBorders>
                  <w:vAlign w:val="center"/>
                </w:tcPr>
                <w:p w14:paraId="1FFAA5AE">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rPr>
                  </w:pPr>
                </w:p>
              </w:tc>
              <w:tc>
                <w:tcPr>
                  <w:tcW w:w="1615" w:type="dxa"/>
                  <w:tcBorders>
                    <w:tl2br w:val="nil"/>
                    <w:tr2bl w:val="nil"/>
                  </w:tcBorders>
                  <w:vAlign w:val="center"/>
                </w:tcPr>
                <w:p w14:paraId="63F31D1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Kc/kg</w:t>
                  </w:r>
                </w:p>
              </w:tc>
              <w:tc>
                <w:tcPr>
                  <w:tcW w:w="2410" w:type="dxa"/>
                  <w:tcBorders>
                    <w:tl2br w:val="nil"/>
                    <w:tr2bl w:val="nil"/>
                  </w:tcBorders>
                  <w:vAlign w:val="center"/>
                </w:tcPr>
                <w:p w14:paraId="0CB287F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4726</w:t>
                  </w:r>
                </w:p>
              </w:tc>
            </w:tr>
            <w:tr w14:paraId="2E518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restart"/>
                  <w:tcBorders>
                    <w:tl2br w:val="nil"/>
                    <w:tr2bl w:val="nil"/>
                  </w:tcBorders>
                  <w:vAlign w:val="center"/>
                </w:tcPr>
                <w:p w14:paraId="1D1E58A9">
                  <w:pPr>
                    <w:pStyle w:val="157"/>
                    <w:keepNext w:val="0"/>
                    <w:keepLines w:val="0"/>
                    <w:suppressLineNumbers w:val="0"/>
                    <w:spacing w:before="0" w:beforeAutospacing="0" w:after="0" w:afterAutospacing="0" w:line="240" w:lineRule="auto"/>
                    <w:ind w:left="0" w:right="0"/>
                    <w:rPr>
                      <w:rFonts w:hint="default"/>
                      <w:b w:val="0"/>
                      <w:bCs/>
                      <w:color w:val="auto"/>
                      <w:highlight w:val="none"/>
                      <w:vertAlign w:val="baseline"/>
                      <w:lang w:val="en-US" w:eastAsia="zh-CN"/>
                    </w:rPr>
                  </w:pPr>
                  <w:r>
                    <w:rPr>
                      <w:rFonts w:hint="eastAsia"/>
                      <w:b w:val="0"/>
                      <w:bCs/>
                      <w:color w:val="auto"/>
                      <w:highlight w:val="none"/>
                      <w:vertAlign w:val="baseline"/>
                      <w:lang w:val="en-US" w:eastAsia="zh-CN"/>
                    </w:rPr>
                    <w:t>收到基低位发热量</w:t>
                  </w:r>
                </w:p>
              </w:tc>
              <w:tc>
                <w:tcPr>
                  <w:tcW w:w="1325" w:type="dxa"/>
                  <w:vMerge w:val="restart"/>
                  <w:tcBorders>
                    <w:tl2br w:val="nil"/>
                    <w:tr2bl w:val="nil"/>
                  </w:tcBorders>
                  <w:vAlign w:val="center"/>
                </w:tcPr>
                <w:p w14:paraId="33CD5C11">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Qnet,ar</w:t>
                  </w:r>
                </w:p>
              </w:tc>
              <w:tc>
                <w:tcPr>
                  <w:tcW w:w="1615" w:type="dxa"/>
                  <w:tcBorders>
                    <w:tl2br w:val="nil"/>
                    <w:tr2bl w:val="nil"/>
                  </w:tcBorders>
                  <w:shd w:val="clear" w:color="auto" w:fill="auto"/>
                  <w:vAlign w:val="center"/>
                </w:tcPr>
                <w:p w14:paraId="36BDA6F8">
                  <w:pPr>
                    <w:pStyle w:val="157"/>
                    <w:keepNext w:val="0"/>
                    <w:keepLines w:val="0"/>
                    <w:suppressLineNumbers w:val="0"/>
                    <w:spacing w:before="0" w:beforeAutospacing="0" w:after="0" w:afterAutospacing="0" w:line="240" w:lineRule="auto"/>
                    <w:ind w:left="0" w:right="0" w:rightChars="0"/>
                    <w:rPr>
                      <w:rFonts w:hint="eastAsia" w:ascii="Times New Roman" w:hAnsi="Times New Roman" w:eastAsia="宋体" w:cs="Times New Roman"/>
                      <w:b w:val="0"/>
                      <w:bCs/>
                      <w:color w:val="auto"/>
                      <w:kern w:val="0"/>
                      <w:sz w:val="21"/>
                      <w:szCs w:val="21"/>
                      <w:highlight w:val="none"/>
                      <w:vertAlign w:val="baseline"/>
                      <w:lang w:val="en-US" w:eastAsia="zh-CN" w:bidi="ar-SA"/>
                    </w:rPr>
                  </w:pPr>
                  <w:r>
                    <w:rPr>
                      <w:rFonts w:hint="eastAsia"/>
                      <w:b w:val="0"/>
                      <w:bCs/>
                      <w:color w:val="auto"/>
                      <w:highlight w:val="none"/>
                      <w:vertAlign w:val="baseline"/>
                      <w:lang w:val="en-US" w:eastAsia="zh-CN"/>
                    </w:rPr>
                    <w:t>MJ/kg</w:t>
                  </w:r>
                </w:p>
              </w:tc>
              <w:tc>
                <w:tcPr>
                  <w:tcW w:w="2410" w:type="dxa"/>
                  <w:tcBorders>
                    <w:tl2br w:val="nil"/>
                    <w:tr2bl w:val="nil"/>
                  </w:tcBorders>
                  <w:vAlign w:val="center"/>
                </w:tcPr>
                <w:p w14:paraId="49B9194F">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17.52</w:t>
                  </w:r>
                </w:p>
              </w:tc>
            </w:tr>
            <w:tr w14:paraId="09C6E7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continue"/>
                  <w:tcBorders>
                    <w:tl2br w:val="nil"/>
                    <w:tr2bl w:val="nil"/>
                  </w:tcBorders>
                  <w:vAlign w:val="center"/>
                </w:tcPr>
                <w:p w14:paraId="24DB232C">
                  <w:pPr>
                    <w:pStyle w:val="157"/>
                    <w:keepNext w:val="0"/>
                    <w:keepLines w:val="0"/>
                    <w:suppressLineNumbers w:val="0"/>
                    <w:spacing w:before="0" w:beforeAutospacing="0" w:after="0" w:afterAutospacing="0" w:line="240" w:lineRule="auto"/>
                    <w:ind w:left="0" w:right="0"/>
                    <w:rPr>
                      <w:rFonts w:hint="eastAsia"/>
                      <w:b w:val="0"/>
                      <w:bCs/>
                      <w:color w:val="auto"/>
                      <w:highlight w:val="none"/>
                      <w:vertAlign w:val="baseline"/>
                      <w:lang w:val="en-US" w:eastAsia="zh-CN"/>
                    </w:rPr>
                  </w:pPr>
                </w:p>
              </w:tc>
              <w:tc>
                <w:tcPr>
                  <w:tcW w:w="1325" w:type="dxa"/>
                  <w:vMerge w:val="continue"/>
                  <w:tcBorders>
                    <w:tl2br w:val="nil"/>
                    <w:tr2bl w:val="nil"/>
                  </w:tcBorders>
                  <w:vAlign w:val="center"/>
                </w:tcPr>
                <w:p w14:paraId="015D4092">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rPr>
                  </w:pPr>
                </w:p>
              </w:tc>
              <w:tc>
                <w:tcPr>
                  <w:tcW w:w="1615" w:type="dxa"/>
                  <w:tcBorders>
                    <w:tl2br w:val="nil"/>
                    <w:tr2bl w:val="nil"/>
                  </w:tcBorders>
                  <w:shd w:val="clear" w:color="auto" w:fill="auto"/>
                  <w:vAlign w:val="center"/>
                </w:tcPr>
                <w:p w14:paraId="0D5D5009">
                  <w:pPr>
                    <w:pStyle w:val="157"/>
                    <w:keepNext w:val="0"/>
                    <w:keepLines w:val="0"/>
                    <w:suppressLineNumbers w:val="0"/>
                    <w:spacing w:before="0" w:beforeAutospacing="0" w:after="0" w:afterAutospacing="0" w:line="240" w:lineRule="auto"/>
                    <w:ind w:left="0" w:right="0" w:rightChars="0"/>
                    <w:rPr>
                      <w:rFonts w:hint="eastAsia" w:ascii="Times New Roman" w:hAnsi="Times New Roman" w:eastAsia="宋体" w:cs="Times New Roman"/>
                      <w:b w:val="0"/>
                      <w:bCs/>
                      <w:color w:val="auto"/>
                      <w:kern w:val="0"/>
                      <w:sz w:val="21"/>
                      <w:szCs w:val="21"/>
                      <w:highlight w:val="none"/>
                      <w:vertAlign w:val="baseline"/>
                      <w:lang w:val="en-US" w:eastAsia="zh-CN" w:bidi="ar-SA"/>
                    </w:rPr>
                  </w:pPr>
                  <w:r>
                    <w:rPr>
                      <w:rFonts w:hint="eastAsia"/>
                      <w:b w:val="0"/>
                      <w:bCs/>
                      <w:color w:val="auto"/>
                      <w:highlight w:val="none"/>
                      <w:vertAlign w:val="baseline"/>
                      <w:lang w:val="en-US" w:eastAsia="zh-CN"/>
                    </w:rPr>
                    <w:t>Kc/kg</w:t>
                  </w:r>
                </w:p>
              </w:tc>
              <w:tc>
                <w:tcPr>
                  <w:tcW w:w="2410" w:type="dxa"/>
                  <w:tcBorders>
                    <w:tl2br w:val="nil"/>
                    <w:tr2bl w:val="nil"/>
                  </w:tcBorders>
                  <w:vAlign w:val="center"/>
                </w:tcPr>
                <w:p w14:paraId="3A20B72A">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4193</w:t>
                  </w:r>
                </w:p>
              </w:tc>
            </w:tr>
          </w:tbl>
          <w:p w14:paraId="19444A84">
            <w:pPr>
              <w:pStyle w:val="157"/>
              <w:keepNext w:val="0"/>
              <w:keepLines w:val="0"/>
              <w:suppressLineNumbers w:val="0"/>
              <w:spacing w:before="0" w:beforeAutospacing="0" w:after="0" w:afterAutospacing="0" w:line="240" w:lineRule="auto"/>
              <w:ind w:left="0" w:right="0"/>
              <w:rPr>
                <w:rFonts w:hint="eastAsia" w:eastAsia="宋体"/>
                <w:color w:val="auto"/>
                <w:highlight w:val="none"/>
              </w:rPr>
            </w:pPr>
          </w:p>
          <w:p w14:paraId="143AA565">
            <w:pPr>
              <w:pStyle w:val="157"/>
              <w:keepNext w:val="0"/>
              <w:keepLines w:val="0"/>
              <w:suppressLineNumbers w:val="0"/>
              <w:spacing w:before="0" w:beforeAutospacing="0" w:after="0" w:afterAutospacing="0" w:line="240" w:lineRule="auto"/>
              <w:ind w:left="0" w:right="0"/>
              <w:rPr>
                <w:rFonts w:hint="default" w:eastAsia="宋体"/>
                <w:color w:val="auto"/>
                <w:highlight w:val="none"/>
              </w:rPr>
            </w:pPr>
            <w:r>
              <w:rPr>
                <w:rFonts w:hint="eastAsia" w:eastAsia="宋体"/>
                <w:color w:val="auto"/>
                <w:highlight w:val="none"/>
              </w:rPr>
              <w:t>表2-</w:t>
            </w:r>
            <w:r>
              <w:rPr>
                <w:rFonts w:hint="eastAsia"/>
                <w:color w:val="auto"/>
                <w:highlight w:val="none"/>
                <w:lang w:val="en-US" w:eastAsia="zh-CN"/>
              </w:rPr>
              <w:t>6</w:t>
            </w:r>
            <w:r>
              <w:rPr>
                <w:rFonts w:hint="eastAsia" w:eastAsia="宋体"/>
                <w:color w:val="auto"/>
                <w:highlight w:val="none"/>
              </w:rPr>
              <w:t xml:space="preserve"> </w:t>
            </w:r>
            <w:r>
              <w:rPr>
                <w:rFonts w:hint="eastAsia"/>
                <w:color w:val="auto"/>
                <w:highlight w:val="none"/>
                <w:lang w:val="en-US" w:eastAsia="zh-CN"/>
              </w:rPr>
              <w:t>水稻烘干</w:t>
            </w:r>
            <w:r>
              <w:rPr>
                <w:rFonts w:hint="eastAsia" w:eastAsia="宋体"/>
                <w:color w:val="auto"/>
                <w:highlight w:val="none"/>
              </w:rPr>
              <w:t>物料平衡表</w:t>
            </w:r>
          </w:p>
          <w:tbl>
            <w:tblPr>
              <w:tblStyle w:val="34"/>
              <w:tblW w:w="499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7"/>
              <w:gridCol w:w="1196"/>
              <w:gridCol w:w="3059"/>
              <w:gridCol w:w="1682"/>
            </w:tblGrid>
            <w:tr w14:paraId="2A2485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tcBorders>
                    <w:left w:val="nil"/>
                    <w:bottom w:val="single" w:color="auto" w:sz="4" w:space="0"/>
                    <w:right w:val="single" w:color="auto" w:sz="4" w:space="0"/>
                  </w:tcBorders>
                  <w:vAlign w:val="center"/>
                </w:tcPr>
                <w:p w14:paraId="3D4756BD">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原料</w:t>
                  </w:r>
                </w:p>
              </w:tc>
              <w:tc>
                <w:tcPr>
                  <w:tcW w:w="743" w:type="pct"/>
                  <w:tcBorders>
                    <w:left w:val="single" w:color="auto" w:sz="4" w:space="0"/>
                    <w:bottom w:val="single" w:color="auto" w:sz="4" w:space="0"/>
                    <w:right w:val="single" w:color="auto" w:sz="4" w:space="0"/>
                  </w:tcBorders>
                  <w:vAlign w:val="center"/>
                </w:tcPr>
                <w:p w14:paraId="05A06B88">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进料量（t/a）</w:t>
                  </w:r>
                </w:p>
              </w:tc>
              <w:tc>
                <w:tcPr>
                  <w:tcW w:w="1900" w:type="pct"/>
                  <w:tcBorders>
                    <w:left w:val="single" w:color="auto" w:sz="4" w:space="0"/>
                    <w:bottom w:val="single" w:color="auto" w:sz="4" w:space="0"/>
                    <w:right w:val="single" w:color="auto" w:sz="4" w:space="0"/>
                  </w:tcBorders>
                  <w:vAlign w:val="center"/>
                </w:tcPr>
                <w:p w14:paraId="3181B618">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w:t>
                  </w:r>
                </w:p>
              </w:tc>
              <w:tc>
                <w:tcPr>
                  <w:tcW w:w="1045" w:type="pct"/>
                  <w:tcBorders>
                    <w:left w:val="single" w:color="auto" w:sz="4" w:space="0"/>
                    <w:bottom w:val="single" w:color="auto" w:sz="4" w:space="0"/>
                    <w:right w:val="nil"/>
                  </w:tcBorders>
                  <w:vAlign w:val="center"/>
                </w:tcPr>
                <w:p w14:paraId="375DC257">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产生量（t/a）</w:t>
                  </w:r>
                </w:p>
              </w:tc>
            </w:tr>
            <w:tr w14:paraId="64E618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restart"/>
                  <w:tcBorders>
                    <w:top w:val="single" w:color="auto" w:sz="4" w:space="0"/>
                    <w:left w:val="nil"/>
                    <w:right w:val="single" w:color="auto" w:sz="4" w:space="0"/>
                  </w:tcBorders>
                  <w:vAlign w:val="center"/>
                </w:tcPr>
                <w:p w14:paraId="6DD6D854">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新增水稻</w:t>
                  </w:r>
                  <w:r>
                    <w:rPr>
                      <w:rFonts w:hint="default" w:ascii="Times New Roman" w:hAnsi="Times New Roman" w:eastAsia="宋体" w:cs="Times New Roman"/>
                      <w:color w:val="auto"/>
                      <w:kern w:val="0"/>
                      <w:sz w:val="18"/>
                      <w:szCs w:val="18"/>
                      <w:highlight w:val="none"/>
                      <w:lang w:val="fr-FR" w:eastAsia="zh-CN" w:bidi="ar-SA"/>
                    </w:rPr>
                    <w:t>（</w:t>
                  </w:r>
                  <w:r>
                    <w:rPr>
                      <w:rFonts w:hint="default" w:ascii="Times New Roman" w:hAnsi="Times New Roman" w:eastAsia="宋体" w:cs="Times New Roman"/>
                      <w:color w:val="auto"/>
                      <w:kern w:val="0"/>
                      <w:sz w:val="18"/>
                      <w:szCs w:val="18"/>
                      <w:highlight w:val="none"/>
                      <w:lang w:val="en-US" w:eastAsia="zh-CN" w:bidi="ar-SA"/>
                    </w:rPr>
                    <w:t>含水率</w:t>
                  </w:r>
                  <w:r>
                    <w:rPr>
                      <w:rFonts w:hint="eastAsia" w:cs="Times New Roman"/>
                      <w:color w:val="auto"/>
                      <w:kern w:val="0"/>
                      <w:sz w:val="18"/>
                      <w:szCs w:val="18"/>
                      <w:highlight w:val="none"/>
                      <w:lang w:val="en-US" w:eastAsia="zh-CN" w:bidi="ar-SA"/>
                    </w:rPr>
                    <w:t>22</w:t>
                  </w:r>
                  <w:r>
                    <w:rPr>
                      <w:rFonts w:hint="default" w:ascii="Times New Roman" w:hAnsi="Times New Roman" w:eastAsia="宋体" w:cs="Times New Roman"/>
                      <w:color w:val="auto"/>
                      <w:kern w:val="0"/>
                      <w:sz w:val="18"/>
                      <w:szCs w:val="18"/>
                      <w:highlight w:val="none"/>
                      <w:lang w:val="en-US" w:eastAsia="zh-CN" w:bidi="ar-SA"/>
                    </w:rPr>
                    <w:t>%</w:t>
                  </w:r>
                  <w:r>
                    <w:rPr>
                      <w:rFonts w:hint="default" w:ascii="Times New Roman" w:hAnsi="Times New Roman" w:eastAsia="宋体" w:cs="Times New Roman"/>
                      <w:color w:val="auto"/>
                      <w:kern w:val="0"/>
                      <w:sz w:val="18"/>
                      <w:szCs w:val="18"/>
                      <w:highlight w:val="none"/>
                      <w:lang w:val="fr-FR" w:eastAsia="zh-CN" w:bidi="ar-SA"/>
                    </w:rPr>
                    <w:t>）</w:t>
                  </w:r>
                </w:p>
              </w:tc>
              <w:tc>
                <w:tcPr>
                  <w:tcW w:w="743" w:type="pct"/>
                  <w:vMerge w:val="restart"/>
                  <w:tcBorders>
                    <w:top w:val="single" w:color="auto" w:sz="4" w:space="0"/>
                    <w:left w:val="single" w:color="auto" w:sz="4" w:space="0"/>
                    <w:right w:val="single" w:color="auto" w:sz="4" w:space="0"/>
                  </w:tcBorders>
                  <w:vAlign w:val="center"/>
                </w:tcPr>
                <w:p w14:paraId="7DEFBF32">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75000</w:t>
                  </w:r>
                </w:p>
              </w:tc>
              <w:tc>
                <w:tcPr>
                  <w:tcW w:w="1900" w:type="pct"/>
                  <w:tcBorders>
                    <w:top w:val="single" w:color="auto" w:sz="4" w:space="0"/>
                    <w:left w:val="single" w:color="auto" w:sz="4" w:space="0"/>
                    <w:bottom w:val="single" w:color="auto" w:sz="4" w:space="0"/>
                    <w:right w:val="single" w:color="auto" w:sz="4" w:space="0"/>
                  </w:tcBorders>
                  <w:vAlign w:val="center"/>
                </w:tcPr>
                <w:p w14:paraId="7C91A2CB">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水稻</w:t>
                  </w:r>
                  <w:r>
                    <w:rPr>
                      <w:rFonts w:hint="default" w:ascii="Times New Roman" w:hAnsi="Times New Roman" w:eastAsia="宋体" w:cs="Times New Roman"/>
                      <w:color w:val="auto"/>
                      <w:kern w:val="0"/>
                      <w:sz w:val="18"/>
                      <w:szCs w:val="18"/>
                      <w:highlight w:val="none"/>
                      <w:lang w:val="en-US" w:eastAsia="zh-CN" w:bidi="ar-SA"/>
                    </w:rPr>
                    <w:t>（烘干后含水率为</w:t>
                  </w:r>
                  <w:r>
                    <w:rPr>
                      <w:rFonts w:hint="eastAsia" w:cs="Times New Roman"/>
                      <w:color w:val="auto"/>
                      <w:kern w:val="0"/>
                      <w:sz w:val="18"/>
                      <w:szCs w:val="18"/>
                      <w:highlight w:val="none"/>
                      <w:lang w:val="en-US" w:eastAsia="zh-CN" w:bidi="ar-SA"/>
                    </w:rPr>
                    <w:t>10</w:t>
                  </w:r>
                  <w:r>
                    <w:rPr>
                      <w:rFonts w:hint="default" w:ascii="Times New Roman" w:hAnsi="Times New Roman" w:eastAsia="宋体" w:cs="Times New Roman"/>
                      <w:color w:val="auto"/>
                      <w:kern w:val="0"/>
                      <w:sz w:val="18"/>
                      <w:szCs w:val="18"/>
                      <w:highlight w:val="none"/>
                      <w:lang w:val="en-US" w:eastAsia="zh-CN" w:bidi="ar-SA"/>
                    </w:rPr>
                    <w:t>%）</w:t>
                  </w:r>
                  <w:r>
                    <w:rPr>
                      <w:rFonts w:hint="eastAsia" w:cs="Times New Roman"/>
                      <w:color w:val="auto"/>
                      <w:kern w:val="0"/>
                      <w:sz w:val="18"/>
                      <w:szCs w:val="18"/>
                      <w:highlight w:val="none"/>
                      <w:lang w:val="en-US" w:eastAsia="zh-CN" w:bidi="ar-SA"/>
                    </w:rPr>
                    <w:t>入仓后</w:t>
                  </w:r>
                </w:p>
              </w:tc>
              <w:tc>
                <w:tcPr>
                  <w:tcW w:w="1045" w:type="pct"/>
                  <w:tcBorders>
                    <w:top w:val="single" w:color="auto" w:sz="4" w:space="0"/>
                    <w:left w:val="single" w:color="auto" w:sz="4" w:space="0"/>
                    <w:bottom w:val="single" w:color="auto" w:sz="4" w:space="0"/>
                    <w:right w:val="nil"/>
                  </w:tcBorders>
                  <w:vAlign w:val="center"/>
                </w:tcPr>
                <w:p w14:paraId="4220B4F2">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64866.033</w:t>
                  </w:r>
                </w:p>
              </w:tc>
            </w:tr>
            <w:tr w14:paraId="572B17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54C2BB9E">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58A6B87F">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900" w:type="pct"/>
                  <w:tcBorders>
                    <w:top w:val="single" w:color="auto" w:sz="4" w:space="0"/>
                    <w:left w:val="single" w:color="auto" w:sz="4" w:space="0"/>
                    <w:bottom w:val="single" w:color="auto" w:sz="4" w:space="0"/>
                    <w:right w:val="single" w:color="auto" w:sz="4" w:space="0"/>
                  </w:tcBorders>
                  <w:vAlign w:val="center"/>
                </w:tcPr>
                <w:p w14:paraId="060888C5">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蒸发水分</w:t>
                  </w:r>
                </w:p>
              </w:tc>
              <w:tc>
                <w:tcPr>
                  <w:tcW w:w="1045" w:type="pct"/>
                  <w:tcBorders>
                    <w:top w:val="single" w:color="auto" w:sz="4" w:space="0"/>
                    <w:left w:val="single" w:color="auto" w:sz="4" w:space="0"/>
                    <w:bottom w:val="single" w:color="auto" w:sz="4" w:space="0"/>
                    <w:right w:val="nil"/>
                  </w:tcBorders>
                  <w:vAlign w:val="center"/>
                </w:tcPr>
                <w:p w14:paraId="6A0F336A">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10000</w:t>
                  </w:r>
                </w:p>
              </w:tc>
            </w:tr>
            <w:tr w14:paraId="6F9FA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5C41C879">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33064CF1">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900" w:type="pct"/>
                  <w:tcBorders>
                    <w:top w:val="single" w:color="auto" w:sz="4" w:space="0"/>
                    <w:left w:val="single" w:color="auto" w:sz="4" w:space="0"/>
                    <w:bottom w:val="single" w:color="auto" w:sz="4" w:space="0"/>
                    <w:right w:val="single" w:color="auto" w:sz="4" w:space="0"/>
                  </w:tcBorders>
                  <w:vAlign w:val="center"/>
                </w:tcPr>
                <w:p w14:paraId="460A5143">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无组织粉尘</w:t>
                  </w:r>
                </w:p>
              </w:tc>
              <w:tc>
                <w:tcPr>
                  <w:tcW w:w="1045" w:type="pct"/>
                  <w:tcBorders>
                    <w:top w:val="single" w:color="auto" w:sz="4" w:space="0"/>
                    <w:left w:val="single" w:color="auto" w:sz="4" w:space="0"/>
                    <w:bottom w:val="single" w:color="auto" w:sz="4" w:space="0"/>
                    <w:right w:val="nil"/>
                  </w:tcBorders>
                  <w:vAlign w:val="center"/>
                </w:tcPr>
                <w:p w14:paraId="75A8B51E">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5.219</w:t>
                  </w:r>
                </w:p>
              </w:tc>
            </w:tr>
            <w:tr w14:paraId="345CF5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24A5463E">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3B1F05D3">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900" w:type="pct"/>
                  <w:tcBorders>
                    <w:top w:val="single" w:color="auto" w:sz="4" w:space="0"/>
                    <w:left w:val="single" w:color="auto" w:sz="4" w:space="0"/>
                    <w:bottom w:val="single" w:color="auto" w:sz="4" w:space="0"/>
                    <w:right w:val="single" w:color="auto" w:sz="4" w:space="0"/>
                  </w:tcBorders>
                  <w:vAlign w:val="center"/>
                </w:tcPr>
                <w:p w14:paraId="49EBF2C6">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装卸、烘干</w:t>
                  </w:r>
                  <w:r>
                    <w:rPr>
                      <w:rFonts w:hint="eastAsia" w:cs="Times New Roman"/>
                      <w:color w:val="auto"/>
                      <w:sz w:val="18"/>
                      <w:szCs w:val="18"/>
                      <w:highlight w:val="none"/>
                      <w:lang w:val="en-US" w:eastAsia="zh-CN"/>
                    </w:rPr>
                    <w:t>收集粉尘</w:t>
                  </w:r>
                </w:p>
              </w:tc>
              <w:tc>
                <w:tcPr>
                  <w:tcW w:w="1045" w:type="pct"/>
                  <w:tcBorders>
                    <w:top w:val="single" w:color="auto" w:sz="4" w:space="0"/>
                    <w:left w:val="single" w:color="auto" w:sz="4" w:space="0"/>
                    <w:bottom w:val="single" w:color="auto" w:sz="4" w:space="0"/>
                    <w:right w:val="nil"/>
                  </w:tcBorders>
                  <w:vAlign w:val="center"/>
                </w:tcPr>
                <w:p w14:paraId="64154471">
                  <w:pPr>
                    <w:keepNext w:val="0"/>
                    <w:keepLines w:val="0"/>
                    <w:suppressLineNumbers w:val="0"/>
                    <w:spacing w:before="0" w:beforeAutospacing="0" w:after="0" w:afterAutospacing="0" w:line="240" w:lineRule="auto"/>
                    <w:ind w:left="0" w:right="0"/>
                    <w:contextualSpacing/>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128.745</w:t>
                  </w:r>
                </w:p>
              </w:tc>
            </w:tr>
            <w:tr w14:paraId="21729D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1309" w:type="pct"/>
                  <w:tcBorders>
                    <w:top w:val="single" w:color="auto" w:sz="4" w:space="0"/>
                    <w:left w:val="nil"/>
                    <w:right w:val="single" w:color="auto" w:sz="4" w:space="0"/>
                  </w:tcBorders>
                  <w:vAlign w:val="center"/>
                </w:tcPr>
                <w:p w14:paraId="26CF5A8C">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743" w:type="pct"/>
                  <w:tcBorders>
                    <w:top w:val="single" w:color="auto" w:sz="4" w:space="0"/>
                    <w:left w:val="single" w:color="auto" w:sz="4" w:space="0"/>
                    <w:right w:val="single" w:color="auto" w:sz="4" w:space="0"/>
                  </w:tcBorders>
                  <w:vAlign w:val="center"/>
                </w:tcPr>
                <w:p w14:paraId="255600B5">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75000</w:t>
                  </w:r>
                </w:p>
              </w:tc>
              <w:tc>
                <w:tcPr>
                  <w:tcW w:w="1900" w:type="pct"/>
                  <w:tcBorders>
                    <w:top w:val="single" w:color="auto" w:sz="4" w:space="0"/>
                    <w:left w:val="single" w:color="auto" w:sz="4" w:space="0"/>
                    <w:right w:val="single" w:color="auto" w:sz="4" w:space="0"/>
                  </w:tcBorders>
                  <w:vAlign w:val="center"/>
                </w:tcPr>
                <w:p w14:paraId="22929BEB">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1045" w:type="pct"/>
                  <w:tcBorders>
                    <w:top w:val="single" w:color="auto" w:sz="4" w:space="0"/>
                    <w:left w:val="single" w:color="auto" w:sz="4" w:space="0"/>
                    <w:right w:val="nil"/>
                  </w:tcBorders>
                  <w:vAlign w:val="center"/>
                </w:tcPr>
                <w:p w14:paraId="56BE6F97">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75000</w:t>
                  </w:r>
                </w:p>
              </w:tc>
            </w:tr>
          </w:tbl>
          <w:p w14:paraId="1C8C8BE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14:paraId="6D3A4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本项目改扩建后，办公室工作人员25人，年工作250天，1班制，每班8h，年工作2000h。</w:t>
            </w:r>
          </w:p>
          <w:p w14:paraId="09871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eastAsia" w:cs="Times New Roman"/>
                <w:color w:val="auto"/>
                <w:kern w:val="21"/>
                <w:sz w:val="21"/>
                <w:szCs w:val="21"/>
                <w:highlight w:val="none"/>
                <w:lang w:val="en-US" w:eastAsia="zh-CN"/>
              </w:rPr>
              <w:t>烘干塔年运行210天，运行期间工作人员30人，2班制，每班12h，年工作5040h，本项目不设食堂和宿舍。</w:t>
            </w:r>
          </w:p>
          <w:p w14:paraId="0121EA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0FB3BC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14:paraId="39F5E2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highlight w:val="none"/>
              </w:rPr>
            </w:pPr>
            <w:r>
              <w:rPr>
                <w:rFonts w:hint="default" w:ascii="Times New Roman" w:hAnsi="Times New Roman" w:eastAsia="宋体" w:cs="Times New Roman"/>
                <w:color w:val="auto"/>
                <w:sz w:val="21"/>
                <w:szCs w:val="21"/>
                <w:highlight w:val="none"/>
              </w:rPr>
              <w:t>本项目用水由</w:t>
            </w:r>
            <w:r>
              <w:rPr>
                <w:rFonts w:hint="eastAsia" w:cs="Times New Roman"/>
                <w:color w:val="auto"/>
                <w:sz w:val="21"/>
                <w:szCs w:val="21"/>
                <w:highlight w:val="none"/>
                <w:lang w:val="en-US" w:eastAsia="zh-CN"/>
              </w:rPr>
              <w:t>平阳村自来水供应</w:t>
            </w:r>
            <w:r>
              <w:rPr>
                <w:rFonts w:hint="default" w:ascii="Times New Roman" w:hAnsi="Times New Roman" w:eastAsia="宋体" w:cs="Times New Roman"/>
                <w:color w:val="auto"/>
                <w:sz w:val="21"/>
                <w:szCs w:val="21"/>
                <w:highlight w:val="none"/>
              </w:rPr>
              <w:t>，运营期用水主要为生活用水。</w:t>
            </w:r>
          </w:p>
          <w:p w14:paraId="5B647C8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rPr>
                <w:rFonts w:hint="eastAsia"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val="en-US" w:eastAsia="zh-CN"/>
              </w:rPr>
              <w:t>办公室工作人员25</w:t>
            </w:r>
            <w:r>
              <w:rPr>
                <w:rFonts w:hint="default" w:ascii="Times New Roman" w:hAnsi="Times New Roman" w:cs="Times New Roman"/>
                <w:color w:val="auto"/>
                <w:szCs w:val="21"/>
                <w:highlight w:val="none"/>
              </w:rPr>
              <w:t>人</w:t>
            </w:r>
            <w:r>
              <w:rPr>
                <w:rFonts w:hint="eastAsia" w:cs="Times New Roman"/>
                <w:color w:val="auto"/>
                <w:szCs w:val="21"/>
                <w:highlight w:val="none"/>
                <w:lang w:eastAsia="zh-CN"/>
              </w:rPr>
              <w:t>，</w:t>
            </w:r>
            <w:r>
              <w:rPr>
                <w:rFonts w:hint="eastAsia" w:cs="Times New Roman"/>
                <w:color w:val="auto"/>
                <w:szCs w:val="21"/>
                <w:highlight w:val="none"/>
                <w:lang w:val="en-US" w:eastAsia="zh-CN"/>
              </w:rPr>
              <w:t>烘干塔工作人员30人，</w:t>
            </w:r>
            <w:r>
              <w:rPr>
                <w:rFonts w:hint="default" w:ascii="Times New Roman" w:hAnsi="Times New Roman" w:cs="Times New Roman"/>
                <w:color w:val="auto"/>
                <w:szCs w:val="21"/>
                <w:highlight w:val="none"/>
              </w:rPr>
              <w:t>职工生活用水参照《黑龙江省地方标准 用水定额》（DB23/T727-20</w:t>
            </w:r>
            <w:r>
              <w:rPr>
                <w:rFonts w:hint="eastAsia" w:cs="Times New Roman"/>
                <w:color w:val="auto"/>
                <w:szCs w:val="21"/>
                <w:highlight w:val="none"/>
                <w:lang w:val="en-US" w:eastAsia="zh-CN"/>
              </w:rPr>
              <w:t>21</w:t>
            </w:r>
            <w:r>
              <w:rPr>
                <w:rFonts w:hint="default" w:ascii="Times New Roman" w:hAnsi="Times New Roman" w:cs="Times New Roman"/>
                <w:color w:val="auto"/>
                <w:szCs w:val="21"/>
                <w:highlight w:val="none"/>
              </w:rPr>
              <w:t>），员工生活用水按</w:t>
            </w:r>
            <w:r>
              <w:rPr>
                <w:rFonts w:hint="eastAsia" w:cs="Times New Roman"/>
                <w:color w:val="auto"/>
                <w:szCs w:val="21"/>
                <w:highlight w:val="none"/>
                <w:lang w:val="en-US" w:eastAsia="zh-CN"/>
              </w:rPr>
              <w:t>40</w:t>
            </w:r>
            <w:r>
              <w:rPr>
                <w:rFonts w:hint="default" w:ascii="Times New Roman" w:hAnsi="Times New Roman" w:cs="Times New Roman"/>
                <w:color w:val="auto"/>
                <w:szCs w:val="21"/>
                <w:highlight w:val="none"/>
              </w:rPr>
              <w:t>L/人·d计，则</w:t>
            </w:r>
            <w:r>
              <w:rPr>
                <w:rFonts w:hint="eastAsia" w:ascii="Times New Roman" w:hAnsi="Times New Roman" w:cs="Times New Roman"/>
                <w:color w:val="auto"/>
                <w:szCs w:val="21"/>
                <w:highlight w:val="none"/>
                <w:lang w:val="en-US" w:eastAsia="zh-CN"/>
              </w:rPr>
              <w:t>办公室人员</w:t>
            </w:r>
            <w:r>
              <w:rPr>
                <w:rFonts w:hint="default" w:ascii="Times New Roman" w:hAnsi="Times New Roman" w:cs="Times New Roman"/>
                <w:color w:val="auto"/>
                <w:szCs w:val="21"/>
                <w:highlight w:val="none"/>
              </w:rPr>
              <w:t>生活用水量为</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rPr>
              <w:t>t/d，</w:t>
            </w:r>
            <w:r>
              <w:rPr>
                <w:rFonts w:hint="eastAsia" w:cs="Times New Roman"/>
                <w:color w:val="auto"/>
                <w:szCs w:val="21"/>
                <w:highlight w:val="none"/>
                <w:lang w:val="en-US" w:eastAsia="zh-CN"/>
              </w:rPr>
              <w:t>250</w:t>
            </w:r>
            <w:r>
              <w:rPr>
                <w:rFonts w:hint="default" w:ascii="Times New Roman" w:hAnsi="Times New Roman" w:cs="Times New Roman"/>
                <w:color w:val="auto"/>
                <w:szCs w:val="21"/>
                <w:highlight w:val="none"/>
              </w:rPr>
              <w:t>t/a</w:t>
            </w:r>
            <w:r>
              <w:rPr>
                <w:rFonts w:hint="eastAsia"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烘干塔工作人员</w:t>
            </w:r>
            <w:r>
              <w:rPr>
                <w:rFonts w:hint="default" w:ascii="Times New Roman" w:hAnsi="Times New Roman" w:cs="Times New Roman"/>
                <w:color w:val="auto"/>
                <w:szCs w:val="21"/>
                <w:highlight w:val="none"/>
              </w:rPr>
              <w:t>生活用水量为</w:t>
            </w:r>
            <w:r>
              <w:rPr>
                <w:rFonts w:hint="eastAsia" w:cs="Times New Roman"/>
                <w:color w:val="auto"/>
                <w:szCs w:val="21"/>
                <w:highlight w:val="none"/>
                <w:lang w:val="en-US" w:eastAsia="zh-CN"/>
              </w:rPr>
              <w:t>1.2</w:t>
            </w:r>
            <w:r>
              <w:rPr>
                <w:rFonts w:hint="default" w:ascii="Times New Roman" w:hAnsi="Times New Roman" w:cs="Times New Roman"/>
                <w:color w:val="auto"/>
                <w:szCs w:val="21"/>
                <w:highlight w:val="none"/>
              </w:rPr>
              <w:t>t/d，</w:t>
            </w:r>
            <w:r>
              <w:rPr>
                <w:rFonts w:hint="eastAsia" w:ascii="Times New Roman" w:hAnsi="Times New Roman" w:cs="Times New Roman"/>
                <w:color w:val="auto"/>
                <w:szCs w:val="21"/>
                <w:highlight w:val="none"/>
                <w:lang w:val="en-US" w:eastAsia="zh-CN"/>
              </w:rPr>
              <w:t>252</w:t>
            </w:r>
            <w:r>
              <w:rPr>
                <w:rFonts w:hint="default" w:ascii="Times New Roman" w:hAnsi="Times New Roman" w:cs="Times New Roman"/>
                <w:color w:val="auto"/>
                <w:szCs w:val="21"/>
                <w:highlight w:val="none"/>
              </w:rPr>
              <w:t>t/a</w:t>
            </w:r>
            <w:r>
              <w:rPr>
                <w:rFonts w:hint="eastAsia" w:ascii="Times New Roman" w:hAnsi="Times New Roman" w:cs="Times New Roman"/>
                <w:color w:val="auto"/>
                <w:szCs w:val="21"/>
                <w:highlight w:val="none"/>
                <w:lang w:eastAsia="zh-CN"/>
              </w:rPr>
              <w:t>。</w:t>
            </w:r>
          </w:p>
          <w:p w14:paraId="03C67A53">
            <w:pPr>
              <w:pStyle w:val="43"/>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rPr>
                <w:rFonts w:hint="default"/>
                <w:color w:val="auto"/>
                <w:lang w:val="en-US" w:eastAsia="zh-CN"/>
              </w:rPr>
            </w:pPr>
            <w:r>
              <w:rPr>
                <w:rFonts w:hint="eastAsia" w:ascii="Times New Roman" w:hAnsi="Times New Roman" w:cs="Times New Roman"/>
                <w:color w:val="auto"/>
                <w:szCs w:val="21"/>
                <w:highlight w:val="none"/>
                <w:lang w:val="en-US" w:eastAsia="zh-CN"/>
              </w:rPr>
              <w:t xml:space="preserve">    本项目生活用水量为2.2t/d，502t/a。</w:t>
            </w:r>
          </w:p>
          <w:p w14:paraId="3CD52BC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（2）排水</w:t>
            </w:r>
          </w:p>
          <w:p w14:paraId="22B2031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80%计，则本项目生活污水排水量为1.76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401.6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14:paraId="6D54221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本项目无生产废水，废水主要为生活污水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661D1169">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
                <w:bCs/>
                <w:snapToGrid w:val="0"/>
                <w:color w:val="auto"/>
                <w:sz w:val="21"/>
                <w:szCs w:val="21"/>
                <w:highlight w:val="cyan"/>
              </w:rPr>
            </w:pPr>
            <w:r>
              <w:rPr>
                <w:rFonts w:hint="default"/>
                <w:color w:val="auto"/>
              </w:rPr>
              <w:drawing>
                <wp:inline distT="0" distB="0" distL="114300" distR="114300">
                  <wp:extent cx="4962525" cy="1095375"/>
                  <wp:effectExtent l="0" t="0" r="9525" b="9525"/>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10"/>
                          <a:stretch>
                            <a:fillRect/>
                          </a:stretch>
                        </pic:blipFill>
                        <pic:spPr>
                          <a:xfrm>
                            <a:off x="0" y="0"/>
                            <a:ext cx="4962525" cy="1095375"/>
                          </a:xfrm>
                          <a:prstGeom prst="rect">
                            <a:avLst/>
                          </a:prstGeom>
                          <a:noFill/>
                          <a:ln>
                            <a:noFill/>
                          </a:ln>
                        </pic:spPr>
                      </pic:pic>
                    </a:graphicData>
                  </a:graphic>
                </wp:inline>
              </w:drawing>
            </w:r>
          </w:p>
          <w:p w14:paraId="75363516">
            <w:pPr>
              <w:pStyle w:val="3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auto"/>
                <w:kern w:val="0"/>
                <w:szCs w:val="21"/>
                <w:highlight w:val="none"/>
              </w:rPr>
            </w:pPr>
            <w:r>
              <w:rPr>
                <w:rFonts w:hint="default" w:ascii="Times New Roman" w:hAnsi="Times New Roman" w:eastAsia="宋体" w:cs="Times New Roman"/>
                <w:b/>
                <w:bCs/>
                <w:snapToGrid w:val="0"/>
                <w:color w:val="auto"/>
                <w:sz w:val="21"/>
                <w:szCs w:val="21"/>
                <w:highlight w:val="none"/>
              </w:rPr>
              <w:t>图2-</w:t>
            </w:r>
            <w:r>
              <w:rPr>
                <w:rFonts w:hint="default" w:ascii="Times New Roman" w:hAnsi="Times New Roman" w:eastAsia="宋体" w:cs="Times New Roman"/>
                <w:b/>
                <w:bCs/>
                <w:snapToGrid w:val="0"/>
                <w:color w:val="auto"/>
                <w:sz w:val="21"/>
                <w:szCs w:val="21"/>
                <w:highlight w:val="none"/>
                <w:lang w:val="en-US" w:eastAsia="zh-CN"/>
              </w:rPr>
              <w:t>1</w:t>
            </w:r>
            <w:r>
              <w:rPr>
                <w:rFonts w:hint="default" w:ascii="Times New Roman" w:hAnsi="Times New Roman" w:eastAsia="宋体" w:cs="Times New Roman"/>
                <w:b/>
                <w:bCs/>
                <w:snapToGrid w:val="0"/>
                <w:color w:val="auto"/>
                <w:sz w:val="21"/>
                <w:szCs w:val="21"/>
                <w:highlight w:val="none"/>
              </w:rPr>
              <w:t>本项目水平衡图（单位：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d</w:t>
            </w:r>
            <w:r>
              <w:rPr>
                <w:rFonts w:hint="default" w:ascii="Times New Roman" w:hAnsi="Times New Roman" w:eastAsia="宋体" w:cs="Times New Roman"/>
                <w:b/>
                <w:bCs/>
                <w:snapToGrid w:val="0"/>
                <w:color w:val="auto"/>
                <w:sz w:val="21"/>
                <w:szCs w:val="21"/>
                <w:highlight w:val="none"/>
              </w:rPr>
              <w:t>）</w:t>
            </w:r>
          </w:p>
          <w:p w14:paraId="23339444">
            <w:pPr>
              <w:pStyle w:val="43"/>
              <w:keepNext w:val="0"/>
              <w:keepLines w:val="0"/>
              <w:suppressLineNumbers w:val="0"/>
              <w:spacing w:before="0" w:beforeAutospacing="0" w:after="0" w:afterAutospacing="0"/>
              <w:ind w:left="0" w:right="0"/>
              <w:rPr>
                <w:rFonts w:hint="eastAsia"/>
                <w:color w:val="auto"/>
                <w:lang w:eastAsia="zh-CN"/>
              </w:rPr>
            </w:pPr>
          </w:p>
          <w:p w14:paraId="2EAF25A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both"/>
              <w:textAlignment w:val="auto"/>
              <w:rPr>
                <w:rFonts w:hint="default" w:ascii="Times New Roman" w:hAnsi="Times New Roman" w:cs="Times New Roman"/>
                <w:color w:val="auto"/>
                <w:szCs w:val="21"/>
                <w:highlight w:val="none"/>
              </w:rPr>
            </w:pPr>
            <w:r>
              <w:rPr>
                <w:rFonts w:hint="eastAsia" w:cs="Times New Roman"/>
                <w:color w:val="auto"/>
                <w:szCs w:val="21"/>
                <w:highlight w:val="none"/>
                <w:lang w:eastAsia="zh-CN"/>
              </w:rPr>
              <w:t>（</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eastAsia" w:cs="Times New Roman"/>
                <w:color w:val="auto"/>
                <w:szCs w:val="21"/>
                <w:highlight w:val="none"/>
                <w:lang w:val="en-US" w:eastAsia="zh-CN"/>
              </w:rPr>
              <w:t>供暖</w:t>
            </w:r>
            <w:r>
              <w:rPr>
                <w:rFonts w:hint="default" w:ascii="Times New Roman" w:hAnsi="Times New Roman" w:cs="Times New Roman"/>
                <w:color w:val="auto"/>
                <w:szCs w:val="21"/>
                <w:highlight w:val="none"/>
              </w:rPr>
              <w:t>：</w:t>
            </w:r>
          </w:p>
          <w:p w14:paraId="5510E20A">
            <w:pPr>
              <w:pStyle w:val="69"/>
              <w:keepLines w:val="0"/>
              <w:pageBreakBefore w:val="0"/>
              <w:suppressLineNumbers w:val="0"/>
              <w:kinsoku/>
              <w:wordWrap/>
              <w:overflowPunct/>
              <w:topLinePunct w:val="0"/>
              <w:autoSpaceDE/>
              <w:autoSpaceDN/>
              <w:bidi w:val="0"/>
              <w:spacing w:before="0" w:beforeAutospacing="0" w:after="0" w:afterAutospacing="0" w:line="360" w:lineRule="auto"/>
              <w:ind w:left="0" w:right="0" w:firstLineChars="200"/>
              <w:jc w:val="both"/>
              <w:rPr>
                <w:rFonts w:hint="default" w:ascii="Times New Roman" w:hAnsi="Times New Roman"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本项目</w:t>
            </w:r>
            <w:r>
              <w:rPr>
                <w:rFonts w:hint="eastAsia" w:ascii="Times New Roman" w:hAnsi="Times New Roman" w:eastAsia="宋体" w:cs="Times New Roman"/>
                <w:b w:val="0"/>
                <w:bCs/>
                <w:color w:val="auto"/>
                <w:sz w:val="21"/>
                <w:szCs w:val="21"/>
                <w:highlight w:val="none"/>
                <w:lang w:val="en-US" w:eastAsia="zh-CN"/>
              </w:rPr>
              <w:t>对现有1台600万Kcal/h燃煤热风炉进行改造，改造后使用生物质成型燃料</w:t>
            </w:r>
            <w:r>
              <w:rPr>
                <w:rFonts w:hint="default" w:ascii="Times New Roman" w:hAnsi="Times New Roman" w:eastAsia="宋体" w:cs="Times New Roman"/>
                <w:b w:val="0"/>
                <w:bCs/>
                <w:color w:val="auto"/>
                <w:sz w:val="21"/>
                <w:szCs w:val="21"/>
                <w:highlight w:val="none"/>
                <w:lang w:val="en-US" w:eastAsia="zh-CN"/>
              </w:rPr>
              <w:t>，用于生产用热，年运行天数</w:t>
            </w:r>
            <w:r>
              <w:rPr>
                <w:rFonts w:hint="eastAsia" w:cs="Times New Roman"/>
                <w:b w:val="0"/>
                <w:bCs w:val="0"/>
                <w:color w:val="auto"/>
                <w:sz w:val="21"/>
                <w:szCs w:val="21"/>
                <w:highlight w:val="none"/>
                <w:lang w:val="en-US" w:eastAsia="zh-CN"/>
              </w:rPr>
              <w:t>210</w:t>
            </w:r>
            <w:r>
              <w:rPr>
                <w:rFonts w:hint="default" w:ascii="Times New Roman" w:hAnsi="Times New Roman" w:eastAsia="宋体" w:cs="Times New Roman"/>
                <w:b w:val="0"/>
                <w:bCs w:val="0"/>
                <w:color w:val="auto"/>
                <w:sz w:val="21"/>
                <w:szCs w:val="21"/>
                <w:highlight w:val="none"/>
                <w:lang w:val="en-US" w:eastAsia="zh-CN"/>
              </w:rPr>
              <w:t>天，年工作时间</w:t>
            </w:r>
            <w:r>
              <w:rPr>
                <w:rFonts w:hint="eastAsia" w:cs="Times New Roman"/>
                <w:b w:val="0"/>
                <w:bCs w:val="0"/>
                <w:color w:val="auto"/>
                <w:sz w:val="21"/>
                <w:szCs w:val="21"/>
                <w:highlight w:val="none"/>
                <w:lang w:val="en-US" w:eastAsia="zh-CN"/>
              </w:rPr>
              <w:t>5040</w:t>
            </w:r>
            <w:r>
              <w:rPr>
                <w:rFonts w:hint="default" w:ascii="Times New Roman" w:hAnsi="Times New Roman" w:eastAsia="宋体" w:cs="Times New Roman"/>
                <w:b w:val="0"/>
                <w:bCs w:val="0"/>
                <w:color w:val="auto"/>
                <w:sz w:val="21"/>
                <w:szCs w:val="21"/>
                <w:highlight w:val="none"/>
                <w:lang w:val="en-US" w:eastAsia="zh-CN"/>
              </w:rPr>
              <w:t>h</w:t>
            </w:r>
            <w:r>
              <w:rPr>
                <w:rFonts w:hint="eastAsia" w:cs="Times New Roman"/>
                <w:b w:val="0"/>
                <w:bCs w:val="0"/>
                <w:color w:val="auto"/>
                <w:sz w:val="21"/>
                <w:szCs w:val="21"/>
                <w:highlight w:val="none"/>
                <w:lang w:val="en-US" w:eastAsia="zh-CN"/>
              </w:rPr>
              <w:t>。</w:t>
            </w:r>
          </w:p>
          <w:p w14:paraId="0B094EE8">
            <w:pPr>
              <w:pStyle w:val="3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Chars="200"/>
              <w:jc w:val="both"/>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生物质热风炉</w:t>
            </w:r>
            <w:r>
              <w:rPr>
                <w:rFonts w:hint="default" w:ascii="Times New Roman" w:hAnsi="Times New Roman" w:eastAsia="宋体" w:cs="Times New Roman"/>
                <w:bCs/>
                <w:color w:val="auto"/>
                <w:sz w:val="21"/>
                <w:szCs w:val="21"/>
                <w:highlight w:val="none"/>
              </w:rPr>
              <w:t>燃料使用量：</w:t>
            </w:r>
          </w:p>
          <w:p w14:paraId="17E22A7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根据生物质燃料分析</w:t>
            </w:r>
            <w:r>
              <w:rPr>
                <w:rFonts w:hint="default" w:ascii="Times New Roman" w:hAnsi="Times New Roman" w:eastAsia="宋体" w:cs="Times New Roman"/>
                <w:color w:val="auto"/>
                <w:sz w:val="21"/>
                <w:szCs w:val="21"/>
                <w:highlight w:val="none"/>
                <w:lang w:val="en-US" w:eastAsia="zh-CN"/>
              </w:rPr>
              <w:t>报告</w:t>
            </w:r>
            <w:r>
              <w:rPr>
                <w:rFonts w:hint="default" w:ascii="Times New Roman" w:hAnsi="Times New Roman" w:eastAsia="宋体" w:cs="Times New Roman"/>
                <w:color w:val="auto"/>
                <w:sz w:val="21"/>
                <w:szCs w:val="21"/>
                <w:highlight w:val="none"/>
              </w:rPr>
              <w:t>可知，收到基低位发热量为</w:t>
            </w:r>
            <w:r>
              <w:rPr>
                <w:rFonts w:hint="eastAsia" w:ascii="Times New Roman" w:hAnsi="Times New Roman" w:eastAsia="宋体"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193</w:t>
            </w:r>
            <w:r>
              <w:rPr>
                <w:rFonts w:hint="default" w:ascii="Times New Roman" w:hAnsi="Times New Roman" w:eastAsia="宋体" w:cs="Times New Roman"/>
                <w:color w:val="auto"/>
                <w:sz w:val="21"/>
                <w:szCs w:val="21"/>
                <w:highlight w:val="none"/>
              </w:rPr>
              <w:t>kcal/kg，</w:t>
            </w:r>
            <w:r>
              <w:rPr>
                <w:rFonts w:hint="eastAsia" w:ascii="Times New Roman" w:hAnsi="Times New Roman" w:cs="Times New Roman"/>
                <w:color w:val="auto"/>
                <w:sz w:val="21"/>
                <w:szCs w:val="21"/>
                <w:highlight w:val="none"/>
                <w:lang w:val="en-US" w:eastAsia="zh-CN"/>
              </w:rPr>
              <w:t>热风炉</w:t>
            </w:r>
            <w:r>
              <w:rPr>
                <w:rFonts w:hint="default" w:ascii="Times New Roman" w:hAnsi="Times New Roman" w:eastAsia="宋体" w:cs="Times New Roman"/>
                <w:color w:val="auto"/>
                <w:sz w:val="21"/>
                <w:szCs w:val="21"/>
                <w:highlight w:val="none"/>
              </w:rPr>
              <w:t>热效率为</w:t>
            </w:r>
            <w:r>
              <w:rPr>
                <w:rFonts w:hint="eastAsia"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w:t>
            </w:r>
            <w:r>
              <w:rPr>
                <w:rFonts w:hint="default" w:cs="Times New Roman"/>
                <w:color w:val="auto"/>
                <w:sz w:val="21"/>
                <w:szCs w:val="21"/>
                <w:highlight w:val="none"/>
                <w:lang w:eastAsia="zh-CN"/>
              </w:rPr>
              <w:t>生物质</w:t>
            </w:r>
            <w:r>
              <w:rPr>
                <w:rFonts w:hint="eastAsia" w:cs="Times New Roman"/>
                <w:color w:val="auto"/>
                <w:sz w:val="21"/>
                <w:szCs w:val="21"/>
                <w:highlight w:val="none"/>
                <w:lang w:val="en-US" w:eastAsia="zh-CN"/>
              </w:rPr>
              <w:t>热风炉</w:t>
            </w:r>
            <w:r>
              <w:rPr>
                <w:rFonts w:hint="default" w:ascii="Times New Roman" w:hAnsi="Times New Roman" w:eastAsia="宋体" w:cs="Times New Roman"/>
                <w:color w:val="auto"/>
                <w:sz w:val="21"/>
                <w:szCs w:val="21"/>
                <w:highlight w:val="none"/>
              </w:rPr>
              <w:t>消耗量</w:t>
            </w:r>
            <w:r>
              <w:rPr>
                <w:rFonts w:hint="eastAsia"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rPr>
              <w:t>60</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万</w:t>
            </w:r>
            <w:r>
              <w:rPr>
                <w:rFonts w:hint="eastAsia" w:cs="Times New Roman"/>
                <w:b w:val="0"/>
                <w:bCs w:val="0"/>
                <w:color w:val="auto"/>
                <w:kern w:val="0"/>
                <w:sz w:val="21"/>
                <w:szCs w:val="21"/>
                <w:highlight w:val="none"/>
                <w:lang w:val="en-US" w:eastAsia="zh-CN"/>
              </w:rPr>
              <w:t>Kcal/h</w:t>
            </w:r>
            <w:r>
              <w:rPr>
                <w:rFonts w:hint="default" w:ascii="Times New Roman" w:hAnsi="Times New Roman" w:eastAsia="宋体" w:cs="Times New Roman"/>
                <w:color w:val="auto"/>
                <w:sz w:val="21"/>
                <w:szCs w:val="21"/>
                <w:highlight w:val="none"/>
              </w:rPr>
              <w:t>/燃料热值/锅炉燃烧效率，</w:t>
            </w:r>
            <w:r>
              <w:rPr>
                <w:rFonts w:hint="eastAsia" w:cs="Times New Roman"/>
                <w:b w:val="0"/>
                <w:bCs w:val="0"/>
                <w:color w:val="auto"/>
                <w:kern w:val="0"/>
                <w:sz w:val="21"/>
                <w:szCs w:val="21"/>
                <w:highlight w:val="none"/>
                <w:lang w:val="en-US" w:eastAsia="zh-CN"/>
              </w:rPr>
              <w:t>1台600万Kcal/h燃生物质</w:t>
            </w:r>
            <w:r>
              <w:rPr>
                <w:rFonts w:hint="default" w:ascii="Times New Roman" w:hAnsi="Times New Roman" w:cs="Times New Roman"/>
                <w:color w:val="auto"/>
                <w:sz w:val="21"/>
                <w:szCs w:val="21"/>
                <w:highlight w:val="none"/>
                <w:lang w:val="en-US" w:eastAsia="zh-CN"/>
              </w:rPr>
              <w:t>颗粒</w:t>
            </w:r>
            <w:r>
              <w:rPr>
                <w:rFonts w:hint="default" w:ascii="Times New Roman" w:hAnsi="Times New Roman" w:eastAsia="宋体" w:cs="Times New Roman"/>
                <w:color w:val="auto"/>
                <w:sz w:val="21"/>
                <w:szCs w:val="21"/>
                <w:highlight w:val="none"/>
              </w:rPr>
              <w:t>燃料</w:t>
            </w:r>
            <w:r>
              <w:rPr>
                <w:rFonts w:hint="eastAsia" w:cs="Times New Roman"/>
                <w:b w:val="0"/>
                <w:bCs w:val="0"/>
                <w:color w:val="auto"/>
                <w:kern w:val="0"/>
                <w:sz w:val="21"/>
                <w:szCs w:val="21"/>
                <w:highlight w:val="none"/>
                <w:lang w:val="en-US" w:eastAsia="zh-CN"/>
              </w:rPr>
              <w:t>热风炉</w:t>
            </w:r>
            <w:r>
              <w:rPr>
                <w:rFonts w:hint="default" w:ascii="Times New Roman" w:hAnsi="Times New Roman" w:eastAsia="宋体" w:cs="Times New Roman"/>
                <w:color w:val="auto"/>
                <w:sz w:val="21"/>
                <w:szCs w:val="21"/>
                <w:highlight w:val="none"/>
              </w:rPr>
              <w:t>需要燃料量为（6</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00000÷</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193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%）kg/h=</w:t>
            </w:r>
            <w:r>
              <w:rPr>
                <w:rFonts w:hint="eastAsia" w:ascii="Times New Roman" w:hAnsi="Times New Roman" w:cs="Times New Roman"/>
                <w:color w:val="auto"/>
                <w:sz w:val="21"/>
                <w:szCs w:val="21"/>
                <w:highlight w:val="none"/>
                <w:lang w:val="en-US" w:eastAsia="zh-CN"/>
              </w:rPr>
              <w:t>1788.7</w:t>
            </w:r>
            <w:r>
              <w:rPr>
                <w:rFonts w:hint="default" w:ascii="Times New Roman" w:hAnsi="Times New Roman" w:eastAsia="宋体" w:cs="Times New Roman"/>
                <w:color w:val="auto"/>
                <w:sz w:val="21"/>
                <w:szCs w:val="21"/>
                <w:highlight w:val="none"/>
              </w:rPr>
              <w:t>kg/h，年运行</w:t>
            </w:r>
            <w:r>
              <w:rPr>
                <w:rFonts w:hint="eastAsia" w:ascii="Times New Roman" w:hAnsi="Times New Roman" w:cs="Times New Roman"/>
                <w:color w:val="auto"/>
                <w:sz w:val="21"/>
                <w:szCs w:val="21"/>
                <w:highlight w:val="none"/>
                <w:lang w:val="en-US" w:eastAsia="zh-CN"/>
              </w:rPr>
              <w:t>5040</w:t>
            </w:r>
            <w:r>
              <w:rPr>
                <w:rFonts w:hint="default" w:ascii="Times New Roman" w:hAnsi="Times New Roman" w:eastAsia="宋体" w:cs="Times New Roman"/>
                <w:color w:val="auto"/>
                <w:sz w:val="21"/>
                <w:szCs w:val="21"/>
                <w:highlight w:val="none"/>
              </w:rPr>
              <w:t>h，则每年消耗生物质</w:t>
            </w:r>
            <w:r>
              <w:rPr>
                <w:rFonts w:hint="default" w:ascii="Times New Roman" w:hAnsi="Times New Roman" w:cs="Times New Roman"/>
                <w:color w:val="auto"/>
                <w:sz w:val="21"/>
                <w:szCs w:val="21"/>
                <w:highlight w:val="none"/>
                <w:lang w:val="en-US" w:eastAsia="zh-CN"/>
              </w:rPr>
              <w:t>颗粒</w:t>
            </w:r>
            <w:r>
              <w:rPr>
                <w:rFonts w:hint="default" w:ascii="Times New Roman" w:hAnsi="Times New Roman" w:eastAsia="宋体" w:cs="Times New Roman"/>
                <w:color w:val="auto"/>
                <w:sz w:val="21"/>
                <w:szCs w:val="21"/>
                <w:highlight w:val="none"/>
              </w:rPr>
              <w:t>燃料量为</w:t>
            </w:r>
            <w:r>
              <w:rPr>
                <w:rFonts w:hint="eastAsia" w:cs="Times New Roman"/>
                <w:color w:val="auto"/>
                <w:sz w:val="21"/>
                <w:szCs w:val="21"/>
                <w:highlight w:val="none"/>
                <w:lang w:val="en-US" w:eastAsia="zh-CN"/>
              </w:rPr>
              <w:t>9015</w:t>
            </w:r>
            <w:r>
              <w:rPr>
                <w:rFonts w:hint="default" w:ascii="Times New Roman" w:hAnsi="Times New Roman" w:eastAsia="宋体" w:cs="Times New Roman"/>
                <w:color w:val="auto"/>
                <w:sz w:val="21"/>
                <w:szCs w:val="21"/>
                <w:highlight w:val="none"/>
              </w:rPr>
              <w:t>t。</w:t>
            </w:r>
          </w:p>
          <w:p w14:paraId="55B28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综上，本项目</w:t>
            </w:r>
            <w:r>
              <w:rPr>
                <w:rFonts w:hint="default"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9015</w:t>
            </w:r>
            <w:r>
              <w:rPr>
                <w:rFonts w:hint="default" w:ascii="Times New Roman" w:hAnsi="Times New Roman" w:eastAsia="宋体" w:cs="Times New Roman"/>
                <w:color w:val="auto"/>
                <w:sz w:val="21"/>
                <w:szCs w:val="21"/>
                <w:highlight w:val="none"/>
              </w:rPr>
              <w:t>t/a。</w:t>
            </w:r>
          </w:p>
          <w:p w14:paraId="164604FD">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4</w:t>
            </w:r>
            <w:r>
              <w:rPr>
                <w:rFonts w:hint="default" w:ascii="Times New Roman" w:hAnsi="Times New Roman" w:cs="Times New Roman"/>
                <w:color w:val="auto"/>
                <w:szCs w:val="21"/>
                <w:highlight w:val="none"/>
              </w:rPr>
              <w:t>）供电：本项目供电由当地电网供给</w:t>
            </w:r>
            <w:r>
              <w:rPr>
                <w:rFonts w:hint="default" w:ascii="Times New Roman" w:hAnsi="Times New Roman" w:cs="Times New Roman"/>
                <w:color w:val="auto"/>
                <w:szCs w:val="21"/>
                <w:highlight w:val="none"/>
                <w:lang w:val="en-US" w:eastAsia="zh-CN"/>
              </w:rPr>
              <w:t>。</w:t>
            </w:r>
          </w:p>
          <w:p w14:paraId="739D074B">
            <w:pPr>
              <w:pStyle w:val="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14:paraId="7C1E30A1">
            <w:pPr>
              <w:keepNext w:val="0"/>
              <w:keepLines w:val="0"/>
              <w:widowControl/>
              <w:suppressLineNumbers w:val="0"/>
              <w:spacing w:before="0" w:beforeAutospacing="0" w:after="0" w:afterAutospacing="0" w:line="360" w:lineRule="auto"/>
              <w:ind w:left="0" w:right="0" w:firstLine="420" w:firstLineChars="200"/>
              <w:rPr>
                <w:rFonts w:hint="eastAsia" w:cs="Times New Roman"/>
                <w:b/>
                <w:color w:val="auto"/>
                <w:kern w:val="0"/>
                <w:sz w:val="21"/>
                <w:szCs w:val="21"/>
                <w:highlight w:val="none"/>
                <w:lang w:val="en-US" w:eastAsia="zh-CN" w:bidi="ar"/>
              </w:rPr>
            </w:pPr>
            <w:r>
              <w:rPr>
                <w:rFonts w:hint="eastAsia" w:cs="Times New Roman"/>
                <w:color w:val="auto"/>
                <w:kern w:val="21"/>
                <w:sz w:val="21"/>
                <w:szCs w:val="21"/>
                <w:highlight w:val="none"/>
                <w:lang w:val="en-US" w:eastAsia="zh-CN"/>
              </w:rPr>
              <w:t>项目烘干塔及热风炉位于厂区中心，粮仓及平方仓四周分布，办公室位于厂区南侧入口处，</w:t>
            </w:r>
            <w:r>
              <w:rPr>
                <w:rFonts w:hint="eastAsia" w:cs="Times New Roman"/>
                <w:color w:val="auto"/>
                <w:kern w:val="21"/>
                <w:sz w:val="21"/>
                <w:szCs w:val="21"/>
                <w:highlight w:val="none"/>
                <w:lang w:eastAsia="zh-CN"/>
              </w:rPr>
              <w:t>工艺流程布置合理，功能区分明确，交通便利，总体布局合理。</w:t>
            </w:r>
          </w:p>
          <w:p w14:paraId="40451FA6">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、环保投资</w:t>
            </w:r>
          </w:p>
          <w:p w14:paraId="6C7AD449">
            <w:pPr>
              <w:keepNext w:val="0"/>
              <w:keepLines w:val="0"/>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eastAsia"/>
                <w:color w:val="auto"/>
                <w:sz w:val="21"/>
                <w:szCs w:val="21"/>
                <w:highlight w:val="none"/>
                <w:lang w:val="en-US" w:eastAsia="zh-CN"/>
              </w:rPr>
              <w:t>35</w:t>
            </w:r>
            <w:r>
              <w:rPr>
                <w:rFonts w:hint="default"/>
                <w:color w:val="auto"/>
                <w:sz w:val="21"/>
                <w:szCs w:val="21"/>
                <w:highlight w:val="none"/>
              </w:rPr>
              <w:t>万元，其中环保投资</w:t>
            </w:r>
            <w:r>
              <w:rPr>
                <w:rFonts w:hint="eastAsia"/>
                <w:color w:val="auto"/>
                <w:sz w:val="21"/>
                <w:szCs w:val="21"/>
                <w:highlight w:val="none"/>
                <w:lang w:val="en-US" w:eastAsia="zh-CN"/>
              </w:rPr>
              <w:t>8.5</w:t>
            </w:r>
            <w:r>
              <w:rPr>
                <w:rFonts w:hint="default"/>
                <w:color w:val="auto"/>
                <w:sz w:val="21"/>
                <w:szCs w:val="21"/>
                <w:highlight w:val="none"/>
              </w:rPr>
              <w:t>万元，占总投资的</w:t>
            </w:r>
            <w:r>
              <w:rPr>
                <w:rFonts w:hint="eastAsia"/>
                <w:color w:val="auto"/>
                <w:sz w:val="21"/>
                <w:szCs w:val="21"/>
                <w:highlight w:val="none"/>
                <w:lang w:val="en-US" w:eastAsia="zh-CN"/>
              </w:rPr>
              <w:t>24.3</w:t>
            </w:r>
            <w:r>
              <w:rPr>
                <w:rFonts w:hint="default"/>
                <w:color w:val="auto"/>
                <w:sz w:val="21"/>
                <w:szCs w:val="21"/>
                <w:highlight w:val="none"/>
              </w:rPr>
              <w:t>%，详见表2-</w:t>
            </w:r>
            <w:r>
              <w:rPr>
                <w:rFonts w:hint="eastAsia"/>
                <w:color w:val="auto"/>
                <w:sz w:val="21"/>
                <w:szCs w:val="21"/>
                <w:highlight w:val="none"/>
                <w:lang w:val="en-US" w:eastAsia="zh-CN"/>
              </w:rPr>
              <w:t>7</w:t>
            </w:r>
            <w:r>
              <w:rPr>
                <w:rFonts w:hint="default"/>
                <w:color w:val="auto"/>
                <w:sz w:val="21"/>
                <w:szCs w:val="21"/>
                <w:highlight w:val="none"/>
              </w:rPr>
              <w:t>。</w:t>
            </w:r>
          </w:p>
          <w:p w14:paraId="31DF68A7">
            <w:pPr>
              <w:keepNext w:val="0"/>
              <w:keepLines w:val="0"/>
              <w:suppressLineNumbers w:val="0"/>
              <w:spacing w:before="0" w:beforeAutospacing="0" w:after="0" w:afterAutospacing="0"/>
              <w:ind w:left="0" w:right="0" w:firstLine="422" w:firstLineChars="200"/>
              <w:jc w:val="center"/>
              <w:rPr>
                <w:rFonts w:hint="eastAsia" w:eastAsia="宋体"/>
                <w:b/>
                <w:color w:val="auto"/>
                <w:sz w:val="24"/>
                <w:szCs w:val="28"/>
                <w:highlight w:val="none"/>
                <w:lang w:eastAsia="zh-CN"/>
              </w:rPr>
            </w:pPr>
            <w:r>
              <w:rPr>
                <w:rFonts w:hint="default"/>
                <w:b/>
                <w:color w:val="auto"/>
                <w:szCs w:val="21"/>
                <w:highlight w:val="none"/>
              </w:rPr>
              <w:t>表2-</w:t>
            </w:r>
            <w:r>
              <w:rPr>
                <w:rFonts w:hint="eastAsia"/>
                <w:b/>
                <w:color w:val="auto"/>
                <w:szCs w:val="21"/>
                <w:highlight w:val="none"/>
                <w:lang w:val="en-US" w:eastAsia="zh-CN"/>
              </w:rPr>
              <w:t xml:space="preserve">7 </w:t>
            </w:r>
            <w:r>
              <w:rPr>
                <w:rFonts w:hint="default"/>
                <w:b/>
                <w:color w:val="auto"/>
                <w:szCs w:val="21"/>
                <w:highlight w:val="none"/>
              </w:rPr>
              <w:t>环保投资一览表</w:t>
            </w:r>
          </w:p>
          <w:tbl>
            <w:tblPr>
              <w:tblStyle w:val="34"/>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868"/>
              <w:gridCol w:w="1202"/>
              <w:gridCol w:w="3836"/>
              <w:gridCol w:w="1496"/>
            </w:tblGrid>
            <w:tr w14:paraId="1D3196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517" w:type="dxa"/>
                  <w:gridSpan w:val="2"/>
                  <w:noWrap w:val="0"/>
                  <w:vAlign w:val="center"/>
                </w:tcPr>
                <w:p w14:paraId="0C480E7A">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序号</w:t>
                  </w:r>
                </w:p>
              </w:tc>
              <w:tc>
                <w:tcPr>
                  <w:tcW w:w="1202" w:type="dxa"/>
                  <w:noWrap w:val="0"/>
                  <w:vAlign w:val="center"/>
                </w:tcPr>
                <w:p w14:paraId="7F303DDA">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3836" w:type="dxa"/>
                  <w:noWrap w:val="0"/>
                  <w:vAlign w:val="center"/>
                </w:tcPr>
                <w:p w14:paraId="0D64855F">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496" w:type="dxa"/>
                  <w:noWrap w:val="0"/>
                  <w:vAlign w:val="center"/>
                </w:tcPr>
                <w:p w14:paraId="1562860E">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14:paraId="39370C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49" w:type="dxa"/>
                  <w:noWrap w:val="0"/>
                  <w:vAlign w:val="center"/>
                </w:tcPr>
                <w:p w14:paraId="1AD31CD3">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868" w:type="dxa"/>
                  <w:vMerge w:val="restart"/>
                  <w:noWrap w:val="0"/>
                  <w:vAlign w:val="center"/>
                </w:tcPr>
                <w:p w14:paraId="4C7AA142">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运营期</w:t>
                  </w:r>
                </w:p>
              </w:tc>
              <w:tc>
                <w:tcPr>
                  <w:tcW w:w="1202" w:type="dxa"/>
                  <w:shd w:val="clear" w:color="auto" w:fill="auto"/>
                  <w:noWrap w:val="0"/>
                  <w:vAlign w:val="center"/>
                </w:tcPr>
                <w:p w14:paraId="11E208CF">
                  <w:pPr>
                    <w:pStyle w:val="99"/>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rPr>
                    <w:t>噪声</w:t>
                  </w:r>
                </w:p>
              </w:tc>
              <w:tc>
                <w:tcPr>
                  <w:tcW w:w="3836" w:type="dxa"/>
                  <w:shd w:val="clear" w:color="auto" w:fill="auto"/>
                  <w:noWrap w:val="0"/>
                  <w:vAlign w:val="center"/>
                </w:tcPr>
                <w:p w14:paraId="4856C33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rPr>
                    <w:t>措施</w:t>
                  </w:r>
                </w:p>
              </w:tc>
              <w:tc>
                <w:tcPr>
                  <w:tcW w:w="1496" w:type="dxa"/>
                  <w:shd w:val="clear" w:color="auto" w:fill="auto"/>
                  <w:noWrap w:val="0"/>
                  <w:vAlign w:val="center"/>
                </w:tcPr>
                <w:p w14:paraId="52352B64">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r>
            <w:tr w14:paraId="707FF1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49" w:type="dxa"/>
                  <w:noWrap w:val="0"/>
                  <w:vAlign w:val="center"/>
                </w:tcPr>
                <w:p w14:paraId="2E2FC754">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868" w:type="dxa"/>
                  <w:vMerge w:val="continue"/>
                  <w:noWrap w:val="0"/>
                  <w:vAlign w:val="center"/>
                </w:tcPr>
                <w:p w14:paraId="1BA58053">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p>
              </w:tc>
              <w:tc>
                <w:tcPr>
                  <w:tcW w:w="1202" w:type="dxa"/>
                  <w:shd w:val="clear" w:color="auto" w:fill="auto"/>
                  <w:noWrap w:val="0"/>
                  <w:vAlign w:val="center"/>
                </w:tcPr>
                <w:p w14:paraId="2DBC3D05">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环境管理</w:t>
                  </w:r>
                </w:p>
              </w:tc>
              <w:tc>
                <w:tcPr>
                  <w:tcW w:w="3836" w:type="dxa"/>
                  <w:shd w:val="clear" w:color="auto" w:fill="auto"/>
                  <w:noWrap w:val="0"/>
                  <w:vAlign w:val="center"/>
                </w:tcPr>
                <w:p w14:paraId="0E4C4511">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厂区环境管理</w:t>
                  </w:r>
                </w:p>
              </w:tc>
              <w:tc>
                <w:tcPr>
                  <w:tcW w:w="1496" w:type="dxa"/>
                  <w:shd w:val="clear" w:color="auto" w:fill="auto"/>
                  <w:noWrap w:val="0"/>
                  <w:vAlign w:val="center"/>
                </w:tcPr>
                <w:p w14:paraId="1FEBC237">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p>
              </w:tc>
            </w:tr>
            <w:tr w14:paraId="2D8DAE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49" w:type="dxa"/>
                  <w:noWrap w:val="0"/>
                  <w:vAlign w:val="center"/>
                </w:tcPr>
                <w:p w14:paraId="6D7CC673">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868" w:type="dxa"/>
                  <w:vMerge w:val="continue"/>
                  <w:noWrap w:val="0"/>
                  <w:vAlign w:val="center"/>
                </w:tcPr>
                <w:p w14:paraId="3C351F7B">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p>
              </w:tc>
              <w:tc>
                <w:tcPr>
                  <w:tcW w:w="1202" w:type="dxa"/>
                  <w:shd w:val="clear" w:color="auto" w:fill="auto"/>
                  <w:noWrap w:val="0"/>
                  <w:vAlign w:val="center"/>
                </w:tcPr>
                <w:p w14:paraId="4432FC58">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监测费用</w:t>
                  </w:r>
                </w:p>
              </w:tc>
              <w:tc>
                <w:tcPr>
                  <w:tcW w:w="3836" w:type="dxa"/>
                  <w:shd w:val="clear" w:color="auto" w:fill="auto"/>
                  <w:noWrap w:val="0"/>
                  <w:vAlign w:val="center"/>
                </w:tcPr>
                <w:p w14:paraId="2028A4FE">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厂区废气</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噪声自行监测</w:t>
                  </w:r>
                </w:p>
              </w:tc>
              <w:tc>
                <w:tcPr>
                  <w:tcW w:w="1496" w:type="dxa"/>
                  <w:shd w:val="clear" w:color="auto" w:fill="auto"/>
                  <w:noWrap w:val="0"/>
                  <w:vAlign w:val="center"/>
                </w:tcPr>
                <w:p w14:paraId="4404D26D">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1.5</w:t>
                  </w:r>
                </w:p>
              </w:tc>
            </w:tr>
            <w:tr w14:paraId="381CED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49" w:type="dxa"/>
                  <w:noWrap w:val="0"/>
                  <w:vAlign w:val="center"/>
                </w:tcPr>
                <w:p w14:paraId="64CFE88C">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868" w:type="dxa"/>
                  <w:vMerge w:val="continue"/>
                  <w:noWrap w:val="0"/>
                  <w:vAlign w:val="center"/>
                </w:tcPr>
                <w:p w14:paraId="706EA8EB">
                  <w:pPr>
                    <w:pStyle w:val="99"/>
                    <w:keepNext w:val="0"/>
                    <w:keepLines w:val="0"/>
                    <w:widowControl/>
                    <w:suppressLineNumbers w:val="0"/>
                    <w:spacing w:before="0" w:beforeAutospacing="0" w:after="0" w:afterAutospacing="0" w:line="240" w:lineRule="auto"/>
                    <w:ind w:left="0" w:right="0"/>
                    <w:jc w:val="center"/>
                    <w:rPr>
                      <w:rFonts w:hint="eastAsia" w:cs="Times New Roman"/>
                      <w:color w:val="auto"/>
                      <w:sz w:val="18"/>
                      <w:szCs w:val="18"/>
                      <w:highlight w:val="none"/>
                      <w:lang w:val="en-US" w:eastAsia="zh-CN"/>
                    </w:rPr>
                  </w:pPr>
                </w:p>
              </w:tc>
              <w:tc>
                <w:tcPr>
                  <w:tcW w:w="5038" w:type="dxa"/>
                  <w:gridSpan w:val="2"/>
                  <w:noWrap w:val="0"/>
                  <w:vAlign w:val="center"/>
                </w:tcPr>
                <w:p w14:paraId="4D7D5223">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496" w:type="dxa"/>
                  <w:noWrap w:val="0"/>
                  <w:vAlign w:val="center"/>
                </w:tcPr>
                <w:p w14:paraId="22232EE4">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6DAA2D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55" w:type="dxa"/>
                  <w:gridSpan w:val="4"/>
                  <w:noWrap w:val="0"/>
                  <w:vAlign w:val="center"/>
                </w:tcPr>
                <w:p w14:paraId="49A10F82">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环保投资（万元）</w:t>
                  </w:r>
                </w:p>
              </w:tc>
              <w:tc>
                <w:tcPr>
                  <w:tcW w:w="1496" w:type="dxa"/>
                  <w:noWrap w:val="0"/>
                  <w:vAlign w:val="center"/>
                </w:tcPr>
                <w:p w14:paraId="3C97B98D">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r>
            <w:tr w14:paraId="3874D4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55" w:type="dxa"/>
                  <w:gridSpan w:val="4"/>
                  <w:noWrap w:val="0"/>
                  <w:vAlign w:val="center"/>
                </w:tcPr>
                <w:p w14:paraId="22B0FD20">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总投资（万元）</w:t>
                  </w:r>
                </w:p>
              </w:tc>
              <w:tc>
                <w:tcPr>
                  <w:tcW w:w="1496" w:type="dxa"/>
                  <w:noWrap w:val="0"/>
                  <w:vAlign w:val="center"/>
                </w:tcPr>
                <w:p w14:paraId="483E1682">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35</w:t>
                  </w:r>
                </w:p>
              </w:tc>
            </w:tr>
            <w:tr w14:paraId="37E341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555" w:type="dxa"/>
                  <w:gridSpan w:val="4"/>
                  <w:noWrap w:val="0"/>
                  <w:vAlign w:val="center"/>
                </w:tcPr>
                <w:p w14:paraId="38F5F1EE">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占总投资比例（%）</w:t>
                  </w:r>
                </w:p>
              </w:tc>
              <w:tc>
                <w:tcPr>
                  <w:tcW w:w="1496" w:type="dxa"/>
                  <w:noWrap w:val="0"/>
                  <w:vAlign w:val="center"/>
                </w:tcPr>
                <w:p w14:paraId="37836CA4">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24.3</w:t>
                  </w:r>
                </w:p>
              </w:tc>
            </w:tr>
          </w:tbl>
          <w:p w14:paraId="18CE4069">
            <w:pPr>
              <w:pStyle w:val="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58277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96" w:type="dxa"/>
            <w:vAlign w:val="center"/>
          </w:tcPr>
          <w:p w14:paraId="182DBBB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14:paraId="129024D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275" w:type="dxa"/>
            <w:vAlign w:val="center"/>
          </w:tcPr>
          <w:p w14:paraId="092FD35E">
            <w:pPr>
              <w:keepNext w:val="0"/>
              <w:keepLines w:val="0"/>
              <w:numPr>
                <w:ilvl w:val="0"/>
                <w:numId w:val="0"/>
              </w:numPr>
              <w:suppressLineNumbers w:val="0"/>
              <w:spacing w:before="0" w:beforeAutospacing="0" w:after="0" w:afterAutospacing="0" w:line="360" w:lineRule="auto"/>
              <w:ind w:left="0" w:leftChars="0" w:right="0" w:rightChars="0"/>
              <w:rPr>
                <w:rFonts w:hint="default"/>
                <w:b/>
                <w:bCs/>
                <w:color w:val="auto"/>
                <w:szCs w:val="21"/>
                <w:highlight w:val="none"/>
              </w:rPr>
            </w:pPr>
            <w:r>
              <w:rPr>
                <w:rFonts w:hint="eastAsia" w:ascii="Times New Roman" w:hAnsi="Times New Roman" w:eastAsia="宋体" w:cs="Times New Roman"/>
                <w:b/>
                <w:bCs/>
                <w:color w:val="auto"/>
                <w:kern w:val="2"/>
                <w:sz w:val="21"/>
                <w:szCs w:val="21"/>
                <w:lang w:val="en-US" w:eastAsia="zh-CN" w:bidi="ar-SA"/>
              </w:rPr>
              <w:t>一、</w:t>
            </w:r>
            <w:r>
              <w:rPr>
                <w:rFonts w:hint="default"/>
                <w:b/>
                <w:bCs/>
                <w:color w:val="auto"/>
                <w:szCs w:val="21"/>
                <w:highlight w:val="none"/>
              </w:rPr>
              <w:t>施工期工艺流程分析</w:t>
            </w:r>
          </w:p>
          <w:p w14:paraId="53DD96A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本项目主要施工内容为</w:t>
            </w:r>
            <w:r>
              <w:rPr>
                <w:rFonts w:hint="eastAsia" w:cs="Times New Roman"/>
                <w:bCs/>
                <w:color w:val="auto"/>
                <w:kern w:val="0"/>
                <w:sz w:val="21"/>
                <w:szCs w:val="21"/>
                <w:highlight w:val="none"/>
                <w:lang w:val="en-US" w:eastAsia="zh-CN"/>
              </w:rPr>
              <w:t>对现有1台600万Kcal/h燃煤热风炉进行改造，改造后使用生物质成型燃料</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olor w:val="auto"/>
                <w:sz w:val="21"/>
                <w:szCs w:val="24"/>
                <w:highlight w:val="none"/>
                <w:lang w:val="en-US" w:eastAsia="zh-CN"/>
              </w:rPr>
              <w:t>施工期仅</w:t>
            </w:r>
            <w:r>
              <w:rPr>
                <w:rFonts w:hint="eastAsia" w:cs="Times New Roman"/>
                <w:color w:val="auto"/>
                <w:highlight w:val="none"/>
              </w:rPr>
              <w:t>为简单室内装修、</w:t>
            </w:r>
            <w:r>
              <w:rPr>
                <w:rFonts w:hint="eastAsia" w:cs="Times New Roman"/>
                <w:color w:val="auto"/>
                <w:highlight w:val="none"/>
                <w:lang w:eastAsia="zh-CN"/>
              </w:rPr>
              <w:t>热风炉改造。</w:t>
            </w:r>
            <w:r>
              <w:rPr>
                <w:rFonts w:hint="eastAsia" w:cs="Times New Roman"/>
                <w:color w:val="auto"/>
                <w:sz w:val="21"/>
                <w:szCs w:val="21"/>
                <w:highlight w:val="none"/>
                <w:lang w:val="en-US" w:eastAsia="zh-CN"/>
              </w:rPr>
              <w:t>施工期无大型土建工程，</w:t>
            </w:r>
            <w:r>
              <w:rPr>
                <w:rFonts w:hint="eastAsia" w:cs="Times New Roman"/>
                <w:color w:val="auto"/>
                <w:highlight w:val="none"/>
              </w:rPr>
              <w:t>对周围环境影响较小。随着施工期的结束而消失，不会对周边环境产生明显及长远影响，因此，本项目主要针对营运期进行分析</w:t>
            </w:r>
            <w:r>
              <w:rPr>
                <w:rFonts w:hint="default"/>
                <w:color w:val="auto"/>
                <w:szCs w:val="24"/>
                <w:highlight w:val="none"/>
              </w:rPr>
              <w:t>。</w:t>
            </w:r>
          </w:p>
          <w:p w14:paraId="13C8DBD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5605639B">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113" w:rightChars="0"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运营期</w:t>
            </w:r>
            <w:r>
              <w:rPr>
                <w:rFonts w:hint="eastAsia" w:cs="Times New Roman"/>
                <w:color w:val="auto"/>
                <w:sz w:val="21"/>
                <w:szCs w:val="21"/>
                <w:highlight w:val="none"/>
                <w:lang w:val="en-US" w:eastAsia="zh-CN"/>
              </w:rPr>
              <w:t>粮食烘干</w:t>
            </w:r>
            <w:r>
              <w:rPr>
                <w:rFonts w:hint="default" w:ascii="Times New Roman" w:hAnsi="Times New Roman" w:cs="Times New Roman"/>
                <w:color w:val="auto"/>
                <w:sz w:val="21"/>
                <w:szCs w:val="21"/>
                <w:highlight w:val="none"/>
              </w:rPr>
              <w:t>工艺流程及产污节点</w:t>
            </w:r>
          </w:p>
          <w:p w14:paraId="51B1308E">
            <w:pPr>
              <w:pStyle w:val="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35E7E845">
            <w:pPr>
              <w:pStyle w:val="4"/>
              <w:keepNext w:val="0"/>
              <w:keepLines w:val="0"/>
              <w:suppressLineNumbers w:val="0"/>
              <w:spacing w:before="0" w:beforeAutospacing="0" w:after="0" w:afterAutospacing="0"/>
              <w:ind w:right="0"/>
              <w:rPr>
                <w:rFonts w:hint="default" w:ascii="Times New Roman" w:hAnsi="Times New Roman" w:cs="Times New Roman"/>
                <w:color w:val="auto"/>
                <w:sz w:val="21"/>
                <w:szCs w:val="21"/>
                <w:highlight w:val="none"/>
              </w:rPr>
            </w:pPr>
          </w:p>
          <w:p w14:paraId="4D185ACE">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4D553AF3">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7B0C83E2">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6867A075">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5FBCF589">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081F7EC3">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31FA60AA">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5792F328">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1EB16A02">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6F5063E8">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0EEC69FD">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23C0C6CA">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p w14:paraId="71758BF6">
            <w:pPr>
              <w:pStyle w:val="43"/>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p>
          <w:p w14:paraId="40DE638F">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1"/>
                <w:szCs w:val="21"/>
                <w:highlight w:val="none"/>
              </w:rPr>
            </w:pPr>
            <w:r>
              <w:rPr>
                <w:rFonts w:hint="default"/>
                <w:color w:val="auto"/>
                <w:highlight w:val="none"/>
              </w:rPr>
              <mc:AlternateContent>
                <mc:Choice Requires="wpc">
                  <w:drawing>
                    <wp:inline distT="0" distB="0" distL="114300" distR="114300">
                      <wp:extent cx="4768215" cy="3094355"/>
                      <wp:effectExtent l="0" t="0" r="0" b="0"/>
                      <wp:docPr id="67" name="画布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直接箭头连接符 11"/>
                              <wps:cNvCnPr>
                                <a:cxnSpLocks noChangeShapeType="1"/>
                              </wps:cNvCnPr>
                              <wps:spPr bwMode="auto">
                                <a:xfrm>
                                  <a:off x="2915221" y="779145"/>
                                  <a:ext cx="0" cy="292100"/>
                                </a:xfrm>
                                <a:prstGeom prst="straightConnector1">
                                  <a:avLst/>
                                </a:prstGeom>
                                <a:noFill/>
                                <a:ln w="9525">
                                  <a:solidFill>
                                    <a:srgbClr val="000000"/>
                                  </a:solidFill>
                                  <a:round/>
                                  <a:tailEnd type="triangle" w="med" len="med"/>
                                </a:ln>
                                <a:effectLst/>
                              </wps:spPr>
                              <wps:bodyPr/>
                            </wps:wsp>
                            <wps:wsp>
                              <wps:cNvPr id="40" name="矩形 40"/>
                              <wps:cNvSpPr/>
                              <wps:spPr>
                                <a:xfrm>
                                  <a:off x="1108075" y="2663826"/>
                                  <a:ext cx="781050" cy="280035"/>
                                </a:xfrm>
                                <a:prstGeom prst="rect">
                                  <a:avLst/>
                                </a:prstGeom>
                                <a:noFill/>
                                <a:ln>
                                  <a:noFill/>
                                </a:ln>
                              </wps:spPr>
                              <wps:txbx>
                                <w:txbxContent>
                                  <w:p w14:paraId="7EFED415">
                                    <w:pPr>
                                      <w:adjustRightInd w:val="0"/>
                                      <w:snapToGrid w:val="0"/>
                                      <w:jc w:val="center"/>
                                      <w:rPr>
                                        <w:rFonts w:ascii="仿宋" w:hAnsi="仿宋" w:eastAsia="仿宋"/>
                                        <w:szCs w:val="21"/>
                                      </w:rPr>
                                    </w:pPr>
                                    <w:r>
                                      <w:rPr>
                                        <w:rFonts w:ascii="仿宋" w:hAnsi="仿宋" w:eastAsia="仿宋"/>
                                        <w:szCs w:val="21"/>
                                      </w:rPr>
                                      <w:t>空气</w:t>
                                    </w:r>
                                  </w:p>
                                </w:txbxContent>
                              </wps:txbx>
                              <wps:bodyPr anchor="ctr" anchorCtr="0" upright="1"/>
                            </wps:wsp>
                            <wps:wsp>
                              <wps:cNvPr id="41" name="直接箭头连接符 41"/>
                              <wps:cNvCnPr>
                                <a:cxnSpLocks noChangeShapeType="1"/>
                              </wps:cNvCnPr>
                              <wps:spPr bwMode="auto">
                                <a:xfrm>
                                  <a:off x="2915221" y="1723391"/>
                                  <a:ext cx="0" cy="292100"/>
                                </a:xfrm>
                                <a:prstGeom prst="straightConnector1">
                                  <a:avLst/>
                                </a:prstGeom>
                                <a:noFill/>
                                <a:ln w="9525">
                                  <a:solidFill>
                                    <a:srgbClr val="000000"/>
                                  </a:solidFill>
                                  <a:round/>
                                  <a:tailEnd type="triangle" w="med" len="med"/>
                                </a:ln>
                                <a:effectLst/>
                              </wps:spPr>
                              <wps:bodyPr/>
                            </wps:wsp>
                            <wps:wsp>
                              <wps:cNvPr id="42" name="直接箭头连接符 42"/>
                              <wps:cNvCnPr>
                                <a:cxnSpLocks noChangeShapeType="1"/>
                              </wps:cNvCnPr>
                              <wps:spPr bwMode="auto">
                                <a:xfrm>
                                  <a:off x="2915221" y="1268730"/>
                                  <a:ext cx="0" cy="292100"/>
                                </a:xfrm>
                                <a:prstGeom prst="straightConnector1">
                                  <a:avLst/>
                                </a:prstGeom>
                                <a:noFill/>
                                <a:ln w="9525">
                                  <a:solidFill>
                                    <a:srgbClr val="000000"/>
                                  </a:solidFill>
                                  <a:round/>
                                  <a:tailEnd type="triangle" w="med" len="med"/>
                                </a:ln>
                                <a:effectLst/>
                              </wps:spPr>
                              <wps:bodyPr/>
                            </wps:wsp>
                            <wps:wsp>
                              <wps:cNvPr id="43" name="矩形 43"/>
                              <wps:cNvSpPr/>
                              <wps:spPr>
                                <a:xfrm>
                                  <a:off x="2320925" y="995045"/>
                                  <a:ext cx="1149350" cy="283845"/>
                                </a:xfrm>
                                <a:prstGeom prst="rect">
                                  <a:avLst/>
                                </a:prstGeom>
                                <a:noFill/>
                                <a:ln w="25400" cap="flat" cmpd="sng">
                                  <a:solidFill>
                                    <a:srgbClr val="000000"/>
                                  </a:solidFill>
                                  <a:prstDash val="solid"/>
                                  <a:round/>
                                  <a:headEnd type="none" w="med" len="med"/>
                                  <a:tailEnd type="none" w="med" len="med"/>
                                </a:ln>
                              </wps:spPr>
                              <wps:txbx>
                                <w:txbxContent>
                                  <w:p w14:paraId="6843083A">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wps:txbx>
                              <wps:bodyPr anchor="ctr" anchorCtr="0" upright="1"/>
                            </wps:wsp>
                            <wps:wsp>
                              <wps:cNvPr id="45" name="矩形 45"/>
                              <wps:cNvSpPr/>
                              <wps:spPr>
                                <a:xfrm>
                                  <a:off x="2320925" y="2131696"/>
                                  <a:ext cx="1149350" cy="293370"/>
                                </a:xfrm>
                                <a:prstGeom prst="rect">
                                  <a:avLst/>
                                </a:prstGeom>
                                <a:noFill/>
                                <a:ln w="25400" cap="flat" cmpd="sng">
                                  <a:solidFill>
                                    <a:srgbClr val="000000"/>
                                  </a:solidFill>
                                  <a:prstDash val="solid"/>
                                  <a:round/>
                                  <a:headEnd type="none" w="med" len="med"/>
                                  <a:tailEnd type="none" w="med" len="med"/>
                                </a:ln>
                              </wps:spPr>
                              <wps:txbx>
                                <w:txbxContent>
                                  <w:p w14:paraId="1902AE33">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wps:txbx>
                              <wps:bodyPr anchor="ctr" anchorCtr="0" upright="1"/>
                            </wps:wsp>
                            <wps:wsp>
                              <wps:cNvPr id="46" name="矩形 46"/>
                              <wps:cNvSpPr/>
                              <wps:spPr>
                                <a:xfrm>
                                  <a:off x="2320834" y="1560830"/>
                                  <a:ext cx="1148766" cy="296545"/>
                                </a:xfrm>
                                <a:prstGeom prst="rect">
                                  <a:avLst/>
                                </a:prstGeom>
                                <a:noFill/>
                                <a:ln w="25400" cap="flat" cmpd="sng">
                                  <a:solidFill>
                                    <a:srgbClr val="000000"/>
                                  </a:solidFill>
                                  <a:prstDash val="solid"/>
                                  <a:round/>
                                  <a:headEnd type="none" w="med" len="med"/>
                                  <a:tailEnd type="none" w="med" len="med"/>
                                </a:ln>
                              </wps:spPr>
                              <wps:txbx>
                                <w:txbxContent>
                                  <w:p w14:paraId="56E965E8">
                                    <w:pPr>
                                      <w:adjustRightInd w:val="0"/>
                                      <w:snapToGrid w:val="0"/>
                                      <w:jc w:val="center"/>
                                      <w:rPr>
                                        <w:rFonts w:ascii="仿宋" w:hAnsi="仿宋" w:eastAsia="仿宋"/>
                                        <w:szCs w:val="21"/>
                                      </w:rPr>
                                    </w:pPr>
                                    <w:r>
                                      <w:rPr>
                                        <w:rFonts w:hint="eastAsia" w:ascii="仿宋" w:hAnsi="仿宋" w:eastAsia="仿宋"/>
                                        <w:szCs w:val="21"/>
                                      </w:rPr>
                                      <w:t>烘干</w:t>
                                    </w:r>
                                  </w:p>
                                </w:txbxContent>
                              </wps:txbx>
                              <wps:bodyPr anchor="ctr" anchorCtr="0" upright="1"/>
                            </wps:wsp>
                            <wps:wsp>
                              <wps:cNvPr id="47" name="矩形 47"/>
                              <wps:cNvSpPr/>
                              <wps:spPr>
                                <a:xfrm>
                                  <a:off x="2604771" y="2648586"/>
                                  <a:ext cx="617855" cy="276225"/>
                                </a:xfrm>
                                <a:prstGeom prst="rect">
                                  <a:avLst/>
                                </a:prstGeom>
                                <a:noFill/>
                                <a:ln>
                                  <a:noFill/>
                                </a:ln>
                              </wps:spPr>
                              <wps:txbx>
                                <w:txbxContent>
                                  <w:p w14:paraId="4725B0BA">
                                    <w:pPr>
                                      <w:jc w:val="center"/>
                                      <w:rPr>
                                        <w:rFonts w:ascii="仿宋" w:hAnsi="仿宋" w:eastAsia="仿宋"/>
                                        <w:szCs w:val="21"/>
                                      </w:rPr>
                                    </w:pPr>
                                    <w:r>
                                      <w:rPr>
                                        <w:rFonts w:hint="eastAsia" w:ascii="仿宋" w:hAnsi="仿宋" w:eastAsia="仿宋"/>
                                        <w:szCs w:val="21"/>
                                      </w:rPr>
                                      <w:t>产品</w:t>
                                    </w:r>
                                  </w:p>
                                </w:txbxContent>
                              </wps:txbx>
                              <wps:bodyPr anchor="ctr" anchorCtr="0" upright="1"/>
                            </wps:wsp>
                            <wps:wsp>
                              <wps:cNvPr id="51" name="矩形 51"/>
                              <wps:cNvSpPr/>
                              <wps:spPr>
                                <a:xfrm>
                                  <a:off x="2320925" y="426085"/>
                                  <a:ext cx="1148715" cy="296545"/>
                                </a:xfrm>
                                <a:prstGeom prst="rect">
                                  <a:avLst/>
                                </a:prstGeom>
                                <a:noFill/>
                                <a:ln w="28575" cap="flat" cmpd="sng">
                                  <a:solidFill>
                                    <a:srgbClr val="000000"/>
                                  </a:solidFill>
                                  <a:prstDash val="solid"/>
                                  <a:round/>
                                  <a:headEnd type="none" w="med" len="med"/>
                                  <a:tailEnd type="none" w="med" len="med"/>
                                </a:ln>
                              </wps:spPr>
                              <wps:txbx>
                                <w:txbxContent>
                                  <w:p w14:paraId="0CB44E5B">
                                    <w:pPr>
                                      <w:adjustRightInd w:val="0"/>
                                      <w:snapToGrid w:val="0"/>
                                      <w:jc w:val="center"/>
                                      <w:rPr>
                                        <w:rFonts w:eastAsia="仿宋"/>
                                        <w:szCs w:val="21"/>
                                      </w:rPr>
                                    </w:pPr>
                                    <w:r>
                                      <w:rPr>
                                        <w:rFonts w:eastAsia="仿宋"/>
                                        <w:szCs w:val="21"/>
                                      </w:rPr>
                                      <w:t>筛选</w:t>
                                    </w:r>
                                  </w:p>
                                </w:txbxContent>
                              </wps:txbx>
                              <wps:bodyPr anchor="ctr" anchorCtr="0" upright="1"/>
                            </wps:wsp>
                            <wps:wsp>
                              <wps:cNvPr id="52" name="直接箭头连接符 52"/>
                              <wps:cNvCnPr>
                                <a:cxnSpLocks noChangeShapeType="1"/>
                              </wps:cNvCnPr>
                              <wps:spPr bwMode="auto">
                                <a:xfrm>
                                  <a:off x="2915221" y="2329816"/>
                                  <a:ext cx="0" cy="292100"/>
                                </a:xfrm>
                                <a:prstGeom prst="straightConnector1">
                                  <a:avLst/>
                                </a:prstGeom>
                                <a:noFill/>
                                <a:ln w="9525">
                                  <a:solidFill>
                                    <a:srgbClr val="000000"/>
                                  </a:solidFill>
                                  <a:round/>
                                  <a:tailEnd type="triangle" w="med" len="med"/>
                                </a:ln>
                                <a:effectLst/>
                              </wps:spPr>
                              <wps:bodyPr/>
                            </wps:wsp>
                            <wps:wsp>
                              <wps:cNvPr id="53" name="矩形 53"/>
                              <wps:cNvSpPr/>
                              <wps:spPr>
                                <a:xfrm>
                                  <a:off x="1013460" y="2127251"/>
                                  <a:ext cx="958215" cy="290830"/>
                                </a:xfrm>
                                <a:prstGeom prst="rect">
                                  <a:avLst/>
                                </a:prstGeom>
                                <a:noFill/>
                                <a:ln w="25400" cap="flat" cmpd="sng">
                                  <a:solidFill>
                                    <a:srgbClr val="000000"/>
                                  </a:solidFill>
                                  <a:prstDash val="solid"/>
                                  <a:round/>
                                  <a:headEnd type="none" w="med" len="med"/>
                                  <a:tailEnd type="none" w="med" len="med"/>
                                </a:ln>
                              </wps:spPr>
                              <wps:txbx>
                                <w:txbxContent>
                                  <w:p w14:paraId="1D88D863">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wps:txbx>
                              <wps:bodyPr anchor="ctr" anchorCtr="0" upright="1"/>
                            </wps:wsp>
                            <wps:wsp>
                              <wps:cNvPr id="225" name="直接箭头连接符 225"/>
                              <wps:cNvCnPr>
                                <a:cxnSpLocks noChangeShapeType="1"/>
                              </wps:cNvCnPr>
                              <wps:spPr bwMode="auto">
                                <a:xfrm>
                                  <a:off x="1971675" y="1711326"/>
                                  <a:ext cx="325770" cy="0"/>
                                </a:xfrm>
                                <a:prstGeom prst="straightConnector1">
                                  <a:avLst/>
                                </a:prstGeom>
                                <a:noFill/>
                                <a:ln w="9525">
                                  <a:solidFill>
                                    <a:srgbClr val="000000"/>
                                  </a:solidFill>
                                  <a:round/>
                                  <a:tailEnd type="triangle" w="med" len="med"/>
                                </a:ln>
                                <a:effectLst/>
                              </wps:spPr>
                              <wps:bodyPr/>
                            </wps:wsp>
                            <wps:wsp>
                              <wps:cNvPr id="226" name="矩形 226"/>
                              <wps:cNvSpPr>
                                <a:spLocks noChangeArrowheads="1"/>
                              </wps:cNvSpPr>
                              <wps:spPr bwMode="auto">
                                <a:xfrm>
                                  <a:off x="3064510" y="2698750"/>
                                  <a:ext cx="1703705" cy="254635"/>
                                </a:xfrm>
                                <a:prstGeom prst="rect">
                                  <a:avLst/>
                                </a:prstGeom>
                                <a:noFill/>
                                <a:ln>
                                  <a:noFill/>
                                </a:ln>
                                <a:effectLst/>
                              </wps:spPr>
                              <wps:txbx>
                                <w:txbxContent>
                                  <w:p w14:paraId="1CE781C2">
                                    <w:pPr>
                                      <w:jc w:val="center"/>
                                      <w:rPr>
                                        <w:szCs w:val="21"/>
                                      </w:rPr>
                                    </w:pPr>
                                    <w:r>
                                      <w:rPr>
                                        <w:szCs w:val="21"/>
                                      </w:rPr>
                                      <w:t>注：G废气 S固废 N噪声</w:t>
                                    </w:r>
                                  </w:p>
                                </w:txbxContent>
                              </wps:txbx>
                              <wps:bodyPr rot="0" vert="horz" wrap="square" lIns="91440" tIns="45720" rIns="91440" bIns="45720" anchor="ctr" anchorCtr="0" upright="1">
                                <a:noAutofit/>
                              </wps:bodyPr>
                            </wps:wsp>
                            <wps:wsp>
                              <wps:cNvPr id="230" name="直接箭头连接符 230"/>
                              <wps:cNvCnPr>
                                <a:cxnSpLocks noChangeShapeType="1"/>
                              </wps:cNvCnPr>
                              <wps:spPr bwMode="auto">
                                <a:xfrm flipV="1">
                                  <a:off x="1480185" y="2418081"/>
                                  <a:ext cx="1" cy="292100"/>
                                </a:xfrm>
                                <a:prstGeom prst="straightConnector1">
                                  <a:avLst/>
                                </a:prstGeom>
                                <a:noFill/>
                                <a:ln w="9525">
                                  <a:solidFill>
                                    <a:srgbClr val="000000"/>
                                  </a:solidFill>
                                  <a:round/>
                                  <a:tailEnd type="triangle" w="med" len="med"/>
                                </a:ln>
                                <a:effectLst/>
                              </wps:spPr>
                              <wps:bodyPr/>
                            </wps:wsp>
                            <wps:wsp>
                              <wps:cNvPr id="231" name="矩形 231"/>
                              <wps:cNvSpPr>
                                <a:spLocks noChangeArrowheads="1"/>
                              </wps:cNvSpPr>
                              <wps:spPr bwMode="auto">
                                <a:xfrm>
                                  <a:off x="1013460" y="907415"/>
                                  <a:ext cx="958215" cy="332105"/>
                                </a:xfrm>
                                <a:prstGeom prst="rect">
                                  <a:avLst/>
                                </a:prstGeom>
                                <a:noFill/>
                                <a:ln w="25400">
                                  <a:solidFill>
                                    <a:srgbClr val="000000"/>
                                  </a:solidFill>
                                  <a:round/>
                                </a:ln>
                                <a:effectLst/>
                              </wps:spPr>
                              <wps:txbx>
                                <w:txbxContent>
                                  <w:p w14:paraId="2D450D4A">
                                    <w:pPr>
                                      <w:adjustRightInd w:val="0"/>
                                      <w:snapToGrid w:val="0"/>
                                      <w:jc w:val="center"/>
                                      <w:rPr>
                                        <w:rFonts w:eastAsia="仿宋"/>
                                        <w:szCs w:val="21"/>
                                      </w:rPr>
                                    </w:pPr>
                                    <w:r>
                                      <w:rPr>
                                        <w:rFonts w:eastAsia="仿宋"/>
                                        <w:szCs w:val="21"/>
                                      </w:rPr>
                                      <w:t>布袋除尘器</w:t>
                                    </w:r>
                                  </w:p>
                                </w:txbxContent>
                              </wps:txbx>
                              <wps:bodyPr rot="0" vert="horz" wrap="square" lIns="91440" tIns="45720" rIns="91440" bIns="45720" anchor="ctr" anchorCtr="0" upright="1">
                                <a:noAutofit/>
                              </wps:bodyPr>
                            </wps:wsp>
                            <wps:wsp>
                              <wps:cNvPr id="237" name="直接箭头连接符 237"/>
                              <wps:cNvCnPr>
                                <a:cxnSpLocks noChangeShapeType="1"/>
                              </wps:cNvCnPr>
                              <wps:spPr bwMode="auto">
                                <a:xfrm>
                                  <a:off x="3479165" y="1171575"/>
                                  <a:ext cx="187325" cy="6985"/>
                                </a:xfrm>
                                <a:prstGeom prst="straightConnector1">
                                  <a:avLst/>
                                </a:prstGeom>
                                <a:noFill/>
                                <a:ln w="9525">
                                  <a:solidFill>
                                    <a:srgbClr val="000000"/>
                                  </a:solidFill>
                                  <a:round/>
                                  <a:tailEnd type="triangle" w="med" len="med"/>
                                </a:ln>
                                <a:effectLst/>
                              </wps:spPr>
                              <wps:bodyPr/>
                            </wps:wsp>
                            <wps:wsp>
                              <wps:cNvPr id="240" name="直接箭头连接符 240"/>
                              <wps:cNvCnPr>
                                <a:cxnSpLocks noChangeShapeType="1"/>
                              </wps:cNvCnPr>
                              <wps:spPr bwMode="auto">
                                <a:xfrm>
                                  <a:off x="3470871" y="1701801"/>
                                  <a:ext cx="187333" cy="6350"/>
                                </a:xfrm>
                                <a:prstGeom prst="straightConnector1">
                                  <a:avLst/>
                                </a:prstGeom>
                                <a:noFill/>
                                <a:ln w="9525">
                                  <a:solidFill>
                                    <a:srgbClr val="000000"/>
                                  </a:solidFill>
                                  <a:round/>
                                  <a:tailEnd type="triangle" w="med" len="med"/>
                                </a:ln>
                                <a:effectLst/>
                              </wps:spPr>
                              <wps:bodyPr/>
                            </wps:wsp>
                            <wps:wsp>
                              <wps:cNvPr id="244" name="矩形 244"/>
                              <wps:cNvSpPr>
                                <a:spLocks noChangeArrowheads="1"/>
                              </wps:cNvSpPr>
                              <wps:spPr bwMode="auto">
                                <a:xfrm>
                                  <a:off x="3593465" y="1031875"/>
                                  <a:ext cx="708025" cy="283845"/>
                                </a:xfrm>
                                <a:prstGeom prst="rect">
                                  <a:avLst/>
                                </a:prstGeom>
                                <a:noFill/>
                                <a:ln>
                                  <a:noFill/>
                                </a:ln>
                                <a:effectLst/>
                              </wps:spPr>
                              <wps:txbx>
                                <w:txbxContent>
                                  <w:p w14:paraId="1FE4E304">
                                    <w:pPr>
                                      <w:adjustRightInd w:val="0"/>
                                      <w:snapToGrid w:val="0"/>
                                      <w:jc w:val="center"/>
                                      <w:rPr>
                                        <w:szCs w:val="21"/>
                                      </w:rPr>
                                    </w:pPr>
                                    <w:r>
                                      <w:rPr>
                                        <w:szCs w:val="21"/>
                                      </w:rPr>
                                      <w:t>N、</w:t>
                                    </w:r>
                                    <w:r>
                                      <w:rPr>
                                        <w:rFonts w:eastAsia="Arial Unicode MS"/>
                                        <w:sz w:val="18"/>
                                        <w:szCs w:val="18"/>
                                      </w:rPr>
                                      <w:t>G</w:t>
                                    </w:r>
                                  </w:p>
                                  <w:p w14:paraId="47466349">
                                    <w:pPr>
                                      <w:adjustRightInd w:val="0"/>
                                      <w:snapToGrid w:val="0"/>
                                      <w:jc w:val="center"/>
                                      <w:rPr>
                                        <w:szCs w:val="21"/>
                                      </w:rPr>
                                    </w:pPr>
                                  </w:p>
                                </w:txbxContent>
                              </wps:txbx>
                              <wps:bodyPr rot="0" vert="horz" wrap="square" lIns="91440" tIns="45720" rIns="91440" bIns="45720" anchor="ctr" anchorCtr="0" upright="1">
                                <a:noAutofit/>
                              </wps:bodyPr>
                            </wps:wsp>
                            <wps:wsp>
                              <wps:cNvPr id="252" name="矩形 252"/>
                              <wps:cNvSpPr>
                                <a:spLocks noChangeArrowheads="1"/>
                              </wps:cNvSpPr>
                              <wps:spPr bwMode="auto">
                                <a:xfrm>
                                  <a:off x="0" y="919480"/>
                                  <a:ext cx="848995" cy="288290"/>
                                </a:xfrm>
                                <a:prstGeom prst="rect">
                                  <a:avLst/>
                                </a:prstGeom>
                                <a:noFill/>
                                <a:ln>
                                  <a:noFill/>
                                </a:ln>
                                <a:effectLst/>
                              </wps:spPr>
                              <wps:txbx>
                                <w:txbxContent>
                                  <w:p w14:paraId="7509DEC9">
                                    <w:pPr>
                                      <w:adjustRightInd w:val="0"/>
                                      <w:snapToGrid w:val="0"/>
                                      <w:jc w:val="center"/>
                                      <w:rPr>
                                        <w:szCs w:val="21"/>
                                      </w:rPr>
                                    </w:pPr>
                                    <w:r>
                                      <w:rPr>
                                        <w:szCs w:val="21"/>
                                      </w:rPr>
                                      <w:t>G、S、N</w:t>
                                    </w:r>
                                  </w:p>
                                </w:txbxContent>
                              </wps:txbx>
                              <wps:bodyPr rot="0" vert="horz" wrap="square" lIns="91440" tIns="45720" rIns="91440" bIns="45720" anchor="ctr" anchorCtr="0" upright="1">
                                <a:noAutofit/>
                              </wps:bodyPr>
                            </wps:wsp>
                            <wps:wsp>
                              <wps:cNvPr id="3167" name="矩形 3167"/>
                              <wps:cNvSpPr>
                                <a:spLocks noChangeArrowheads="1"/>
                              </wps:cNvSpPr>
                              <wps:spPr bwMode="auto">
                                <a:xfrm>
                                  <a:off x="3658870" y="2124075"/>
                                  <a:ext cx="587375" cy="295910"/>
                                </a:xfrm>
                                <a:prstGeom prst="rect">
                                  <a:avLst/>
                                </a:prstGeom>
                                <a:noFill/>
                                <a:ln>
                                  <a:noFill/>
                                </a:ln>
                                <a:effectLst/>
                              </wps:spPr>
                              <wps:txbx>
                                <w:txbxContent>
                                  <w:p w14:paraId="4E413A1F">
                                    <w:pPr>
                                      <w:adjustRightInd w:val="0"/>
                                      <w:snapToGrid w:val="0"/>
                                      <w:rPr>
                                        <w:szCs w:val="21"/>
                                      </w:rPr>
                                    </w:pPr>
                                    <w:r>
                                      <w:rPr>
                                        <w:szCs w:val="21"/>
                                      </w:rPr>
                                      <w:t>N</w:t>
                                    </w:r>
                                    <w:r>
                                      <w:rPr>
                                        <w:rFonts w:hint="eastAsia"/>
                                        <w:szCs w:val="21"/>
                                      </w:rPr>
                                      <w:t>、G</w:t>
                                    </w:r>
                                  </w:p>
                                </w:txbxContent>
                              </wps:txbx>
                              <wps:bodyPr rot="0" vert="horz" wrap="square" lIns="91440" tIns="45720" rIns="91440" bIns="45720" anchor="ctr" anchorCtr="0" upright="1">
                                <a:noAutofit/>
                              </wps:bodyPr>
                            </wps:wsp>
                            <wps:wsp>
                              <wps:cNvPr id="54" name="矩形 54"/>
                              <wps:cNvSpPr>
                                <a:spLocks noChangeArrowheads="1"/>
                              </wps:cNvSpPr>
                              <wps:spPr bwMode="auto">
                                <a:xfrm>
                                  <a:off x="220980" y="2127885"/>
                                  <a:ext cx="593090" cy="314325"/>
                                </a:xfrm>
                                <a:prstGeom prst="rect">
                                  <a:avLst/>
                                </a:prstGeom>
                                <a:noFill/>
                                <a:ln>
                                  <a:noFill/>
                                </a:ln>
                                <a:effectLst/>
                              </wps:spPr>
                              <wps:txbx>
                                <w:txbxContent>
                                  <w:p w14:paraId="6BA07300">
                                    <w:pPr>
                                      <w:jc w:val="center"/>
                                      <w:rPr>
                                        <w:szCs w:val="21"/>
                                      </w:rPr>
                                    </w:pPr>
                                    <w:r>
                                      <w:rPr>
                                        <w:szCs w:val="21"/>
                                      </w:rPr>
                                      <w:t>S、N</w:t>
                                    </w:r>
                                  </w:p>
                                </w:txbxContent>
                              </wps:txbx>
                              <wps:bodyPr rot="0" vert="horz" wrap="square" lIns="91440" tIns="45720" rIns="91440" bIns="45720" anchor="ctr" anchorCtr="0" upright="1">
                                <a:noAutofit/>
                              </wps:bodyPr>
                            </wps:wsp>
                            <wps:wsp>
                              <wps:cNvPr id="55" name="矩形 55"/>
                              <wps:cNvSpPr>
                                <a:spLocks noChangeArrowheads="1"/>
                              </wps:cNvSpPr>
                              <wps:spPr bwMode="auto">
                                <a:xfrm>
                                  <a:off x="3658204" y="1538605"/>
                                  <a:ext cx="708057" cy="290830"/>
                                </a:xfrm>
                                <a:prstGeom prst="rect">
                                  <a:avLst/>
                                </a:prstGeom>
                                <a:noFill/>
                                <a:ln>
                                  <a:noFill/>
                                </a:ln>
                                <a:effectLst/>
                              </wps:spPr>
                              <wps:txbx>
                                <w:txbxContent>
                                  <w:p w14:paraId="6680BFD1">
                                    <w:pPr>
                                      <w:adjustRightInd w:val="0"/>
                                      <w:snapToGrid w:val="0"/>
                                      <w:rPr>
                                        <w:szCs w:val="21"/>
                                      </w:rPr>
                                    </w:pPr>
                                    <w:r>
                                      <w:rPr>
                                        <w:szCs w:val="21"/>
                                      </w:rPr>
                                      <w:t>N、G</w:t>
                                    </w:r>
                                  </w:p>
                                </w:txbxContent>
                              </wps:txbx>
                              <wps:bodyPr rot="0" vert="horz" wrap="square" lIns="91440" tIns="45720" rIns="91440" bIns="45720" anchor="ctr" anchorCtr="0" upright="1">
                                <a:noAutofit/>
                              </wps:bodyPr>
                            </wps:wsp>
                            <wps:wsp>
                              <wps:cNvPr id="56" name="直接箭头连接符 56"/>
                              <wps:cNvCnPr>
                                <a:cxnSpLocks noChangeShapeType="1"/>
                              </wps:cNvCnPr>
                              <wps:spPr bwMode="auto">
                                <a:xfrm>
                                  <a:off x="3471545" y="2272665"/>
                                  <a:ext cx="186690" cy="6350"/>
                                </a:xfrm>
                                <a:prstGeom prst="straightConnector1">
                                  <a:avLst/>
                                </a:prstGeom>
                                <a:noFill/>
                                <a:ln w="9525">
                                  <a:solidFill>
                                    <a:srgbClr val="000000"/>
                                  </a:solidFill>
                                  <a:round/>
                                  <a:tailEnd type="triangle" w="med" len="med"/>
                                </a:ln>
                                <a:effectLst/>
                              </wps:spPr>
                              <wps:bodyPr/>
                            </wps:wsp>
                            <wps:wsp>
                              <wps:cNvPr id="57" name="直接箭头连接符 57"/>
                              <wps:cNvCnPr>
                                <a:cxnSpLocks noChangeShapeType="1"/>
                              </wps:cNvCnPr>
                              <wps:spPr bwMode="auto">
                                <a:xfrm flipH="1">
                                  <a:off x="814070" y="2294891"/>
                                  <a:ext cx="160019" cy="1"/>
                                </a:xfrm>
                                <a:prstGeom prst="straightConnector1">
                                  <a:avLst/>
                                </a:prstGeom>
                                <a:noFill/>
                                <a:ln w="9525">
                                  <a:solidFill>
                                    <a:srgbClr val="000000"/>
                                  </a:solidFill>
                                  <a:round/>
                                  <a:tailEnd type="triangle" w="med" len="med"/>
                                </a:ln>
                                <a:effectLst/>
                              </wps:spPr>
                              <wps:bodyPr/>
                            </wps:wsp>
                            <wps:wsp>
                              <wps:cNvPr id="38" name="直接箭头连接符 38"/>
                              <wps:cNvCnPr>
                                <a:cxnSpLocks noChangeShapeType="1"/>
                              </wps:cNvCnPr>
                              <wps:spPr bwMode="auto">
                                <a:xfrm flipH="1">
                                  <a:off x="838200" y="1071245"/>
                                  <a:ext cx="159384" cy="1"/>
                                </a:xfrm>
                                <a:prstGeom prst="straightConnector1">
                                  <a:avLst/>
                                </a:prstGeom>
                                <a:noFill/>
                                <a:ln w="9525">
                                  <a:solidFill>
                                    <a:srgbClr val="000000"/>
                                  </a:solidFill>
                                  <a:round/>
                                  <a:tailEnd type="triangle" w="med" len="med"/>
                                </a:ln>
                                <a:effectLst/>
                              </wps:spPr>
                              <wps:bodyPr/>
                            </wps:wsp>
                            <wps:wsp>
                              <wps:cNvPr id="58" name="矩形 58"/>
                              <wps:cNvSpPr/>
                              <wps:spPr>
                                <a:xfrm>
                                  <a:off x="2487296" y="0"/>
                                  <a:ext cx="845185" cy="276225"/>
                                </a:xfrm>
                                <a:prstGeom prst="rect">
                                  <a:avLst/>
                                </a:prstGeom>
                                <a:noFill/>
                                <a:ln>
                                  <a:noFill/>
                                </a:ln>
                              </wps:spPr>
                              <wps:txbx>
                                <w:txbxContent>
                                  <w:p w14:paraId="267B840D">
                                    <w:pPr>
                                      <w:pStyle w:val="29"/>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wps:txbx>
                              <wps:bodyPr anchor="ctr" anchorCtr="0" upright="1"/>
                            </wps:wsp>
                            <wps:wsp>
                              <wps:cNvPr id="59" name="直接箭头连接符 59"/>
                              <wps:cNvCnPr/>
                              <wps:spPr>
                                <a:xfrm>
                                  <a:off x="2905761" y="233680"/>
                                  <a:ext cx="0" cy="183515"/>
                                </a:xfrm>
                                <a:prstGeom prst="straightConnector1">
                                  <a:avLst/>
                                </a:prstGeom>
                                <a:ln w="9525" cap="flat" cmpd="sng">
                                  <a:solidFill>
                                    <a:srgbClr val="000000"/>
                                  </a:solidFill>
                                  <a:prstDash val="solid"/>
                                  <a:round/>
                                  <a:headEnd type="none" w="med" len="med"/>
                                  <a:tailEnd type="triangle" w="med" len="med"/>
                                </a:ln>
                              </wps:spPr>
                              <wps:bodyPr/>
                            </wps:wsp>
                            <wps:wsp>
                              <wps:cNvPr id="60" name="矩形 60"/>
                              <wps:cNvSpPr>
                                <a:spLocks noChangeArrowheads="1"/>
                              </wps:cNvSpPr>
                              <wps:spPr bwMode="auto">
                                <a:xfrm>
                                  <a:off x="3635375" y="384810"/>
                                  <a:ext cx="746760" cy="379095"/>
                                </a:xfrm>
                                <a:prstGeom prst="rect">
                                  <a:avLst/>
                                </a:prstGeom>
                                <a:noFill/>
                                <a:ln>
                                  <a:noFill/>
                                </a:ln>
                                <a:effectLst/>
                              </wps:spPr>
                              <wps:txbx>
                                <w:txbxContent>
                                  <w:p w14:paraId="174D641D">
                                    <w:pPr>
                                      <w:pStyle w:val="29"/>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wps:txbx>
                              <wps:bodyPr rot="0" vert="horz" wrap="square" lIns="91440" tIns="45720" rIns="91440" bIns="45720" anchor="ctr" anchorCtr="0" upright="1">
                                <a:noAutofit/>
                              </wps:bodyPr>
                            </wps:wsp>
                            <wps:wsp>
                              <wps:cNvPr id="61" name="直接箭头连接符 61"/>
                              <wps:cNvCnPr>
                                <a:cxnSpLocks noChangeShapeType="1"/>
                              </wps:cNvCnPr>
                              <wps:spPr bwMode="auto">
                                <a:xfrm>
                                  <a:off x="3467735" y="586740"/>
                                  <a:ext cx="187325" cy="6350"/>
                                </a:xfrm>
                                <a:prstGeom prst="straightConnector1">
                                  <a:avLst/>
                                </a:prstGeom>
                                <a:noFill/>
                                <a:ln w="9525">
                                  <a:solidFill>
                                    <a:srgbClr val="000000"/>
                                  </a:solidFill>
                                  <a:round/>
                                  <a:tailEnd type="triangle" w="med" len="med"/>
                                </a:ln>
                                <a:effectLst/>
                              </wps:spPr>
                              <wps:bodyPr/>
                            </wps:wsp>
                            <wps:wsp>
                              <wps:cNvPr id="62" name="矩形 62"/>
                              <wps:cNvSpPr>
                                <a:spLocks noChangeArrowheads="1"/>
                              </wps:cNvSpPr>
                              <wps:spPr bwMode="auto">
                                <a:xfrm>
                                  <a:off x="1013460" y="1543050"/>
                                  <a:ext cx="958215" cy="303530"/>
                                </a:xfrm>
                                <a:prstGeom prst="rect">
                                  <a:avLst/>
                                </a:prstGeom>
                                <a:noFill/>
                                <a:ln w="25400">
                                  <a:solidFill>
                                    <a:srgbClr val="000000"/>
                                  </a:solidFill>
                                  <a:round/>
                                </a:ln>
                                <a:effectLst/>
                              </wps:spPr>
                              <wps:txbx>
                                <w:txbxContent>
                                  <w:p w14:paraId="01959748">
                                    <w:pPr>
                                      <w:adjustRightInd w:val="0"/>
                                      <w:snapToGrid w:val="0"/>
                                      <w:jc w:val="center"/>
                                      <w:rPr>
                                        <w:rFonts w:eastAsia="仿宋"/>
                                        <w:szCs w:val="21"/>
                                      </w:rPr>
                                    </w:pPr>
                                    <w:r>
                                      <w:rPr>
                                        <w:rFonts w:hint="eastAsia" w:eastAsia="仿宋"/>
                                        <w:szCs w:val="21"/>
                                      </w:rPr>
                                      <w:t>换热器</w:t>
                                    </w:r>
                                  </w:p>
                                </w:txbxContent>
                              </wps:txbx>
                              <wps:bodyPr rot="0" vert="horz" wrap="square" lIns="91440" tIns="45720" rIns="91440" bIns="45720" anchor="ctr" anchorCtr="0" upright="1">
                                <a:noAutofit/>
                              </wps:bodyPr>
                            </wps:wsp>
                            <wps:wsp>
                              <wps:cNvPr id="63" name="直接箭头连接符 63"/>
                              <wps:cNvCnPr>
                                <a:cxnSpLocks noChangeShapeType="1"/>
                              </wps:cNvCnPr>
                              <wps:spPr bwMode="auto">
                                <a:xfrm flipV="1">
                                  <a:off x="1505585" y="1245870"/>
                                  <a:ext cx="1" cy="292100"/>
                                </a:xfrm>
                                <a:prstGeom prst="straightConnector1">
                                  <a:avLst/>
                                </a:prstGeom>
                                <a:noFill/>
                                <a:ln w="9525">
                                  <a:solidFill>
                                    <a:srgbClr val="000000"/>
                                  </a:solidFill>
                                  <a:round/>
                                  <a:tailEnd type="triangle" w="med" len="med"/>
                                </a:ln>
                                <a:effectLst/>
                              </wps:spPr>
                              <wps:bodyPr/>
                            </wps:wsp>
                            <wps:wsp>
                              <wps:cNvPr id="64" name="直接箭头连接符 64"/>
                              <wps:cNvCnPr>
                                <a:cxnSpLocks noChangeShapeType="1"/>
                              </wps:cNvCnPr>
                              <wps:spPr bwMode="auto">
                                <a:xfrm flipV="1">
                                  <a:off x="1487170" y="1835151"/>
                                  <a:ext cx="0" cy="292100"/>
                                </a:xfrm>
                                <a:prstGeom prst="straightConnector1">
                                  <a:avLst/>
                                </a:prstGeom>
                                <a:noFill/>
                                <a:ln w="9525">
                                  <a:solidFill>
                                    <a:srgbClr val="000000"/>
                                  </a:solidFill>
                                  <a:round/>
                                  <a:tailEnd type="triangle" w="med" len="med"/>
                                </a:ln>
                                <a:effectLst/>
                              </wps:spPr>
                              <wps:bodyPr/>
                            </wps:wsp>
                            <wps:wsp>
                              <wps:cNvPr id="65" name="直接箭头连接符 65"/>
                              <wps:cNvCnPr>
                                <a:cxnSpLocks noChangeShapeType="1"/>
                              </wps:cNvCnPr>
                              <wps:spPr bwMode="auto">
                                <a:xfrm flipH="1">
                                  <a:off x="838200" y="1691006"/>
                                  <a:ext cx="160019" cy="0"/>
                                </a:xfrm>
                                <a:prstGeom prst="straightConnector1">
                                  <a:avLst/>
                                </a:prstGeom>
                                <a:noFill/>
                                <a:ln w="9525">
                                  <a:solidFill>
                                    <a:srgbClr val="000000"/>
                                  </a:solidFill>
                                  <a:round/>
                                  <a:tailEnd type="triangle" w="med" len="med"/>
                                </a:ln>
                                <a:effectLst/>
                              </wps:spPr>
                              <wps:bodyPr/>
                            </wps:wsp>
                            <wps:wsp>
                              <wps:cNvPr id="66" name="矩形 66"/>
                              <wps:cNvSpPr>
                                <a:spLocks noChangeArrowheads="1"/>
                              </wps:cNvSpPr>
                              <wps:spPr bwMode="auto">
                                <a:xfrm>
                                  <a:off x="351155" y="1537970"/>
                                  <a:ext cx="593090" cy="314325"/>
                                </a:xfrm>
                                <a:prstGeom prst="rect">
                                  <a:avLst/>
                                </a:prstGeom>
                                <a:noFill/>
                                <a:ln>
                                  <a:noFill/>
                                </a:ln>
                                <a:effectLst/>
                              </wps:spPr>
                              <wps:txbx>
                                <w:txbxContent>
                                  <w:p w14:paraId="5B7E2570">
                                    <w:pPr>
                                      <w:jc w:val="center"/>
                                      <w:rPr>
                                        <w:szCs w:val="21"/>
                                      </w:rPr>
                                    </w:pPr>
                                    <w:r>
                                      <w:rPr>
                                        <w:szCs w:val="21"/>
                                      </w:rPr>
                                      <w:t>N</w:t>
                                    </w:r>
                                  </w:p>
                                </w:txbxContent>
                              </wps:txbx>
                              <wps:bodyPr rot="0" vert="horz" wrap="square" lIns="91440" tIns="45720" rIns="91440" bIns="45720" anchor="ctr" anchorCtr="0" upright="1">
                                <a:noAutofit/>
                              </wps:bodyPr>
                            </wps:wsp>
                          </wpc:wpc>
                        </a:graphicData>
                      </a:graphic>
                    </wp:inline>
                  </w:drawing>
                </mc:Choice>
                <mc:Fallback>
                  <w:pict>
                    <v:group id="_x0000_s1026" o:spid="_x0000_s1026" o:spt="203" style="height:243.65pt;width:375.45pt;" coordsize="4768215,3094355" editas="canvas"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K3nMTQYJAABBTQAADgAAAGRycy9lMm9Eb2MueG1s7VzL&#10;jtvIFd0HyD8Q3MfNqmLxIbg9GLRnnACTxIBnsmdT1AORSIZkW+3ZZp9VdgESIEgCBJiZ1SwCBEG+&#10;xpl8Rs6tKoqPllpqW2LbAb1oi6T4qFun7j333Es9/eR2vbJeJ0W5zNJLmz1xbCtJ42y6TOeX9ldf&#10;fv6TwLbKKkqn0SpLk0v7TVLanzz78Y+ebvJJwrNFtpomhYWLpOVkk1/ai6rKJxcXZbxI1lH5JMuT&#10;FAdnWbGOKmwW84tpEW1w9fXqgjuOd7HJimleZHFSltj7XB+0zRWLYy6YzWbLOHmexTfrJK30VYtk&#10;FVUYUrlY5qX9TD3tbJbE1S9nszKprNWljZFW6i9ugs/X9Pfi2dNoMi+ifLGMzSNExzxCb0zraJni&#10;pttLPY+qyLoplncutV7GRVZms+pJnK0v9ECURTAK5vRs86LIbnI1lvlkM8+3RsdE9az+zpeNf/H6&#10;ZWEtp5e259tWGq0x4z/8/p9v//FbCztgnU0+n+BLL4r8Vf6yMDvmeosGfDsr1vQ/hmLdKru+2do1&#10;ua2sGDtd3ws4k7YV45hwQldIqS0fLzA9d86LF58dOPOivvEFPd/2cTY5MFk2hirfz1CvFlGeKPuX&#10;ZANjKMa2hvrD9//53V9/+O7bt3/5/r///iN9/uZvFo4rM6lzrtKXBZknvk1f5V9k8a9LK82uFlE6&#10;T9TVv3yTw+LqDAyldQptlLC4db35eTbFd6KbKlMQ61mch0xyjmeCbX0/ZK4xbW18IJ3MzkPOHIX3&#10;re2iSV6U1YskW1v04dIuqyJazhfVVZamWDlZwdQNo9dflBWGhBPrE2hIafb5crXC/miySq3NpR1K&#10;LtUJZbZaTukgHSuL+fXVqrBeR7QE1T+yDy7W+Rqgnk7VxapoufosnVqVMk1VLGGsVWLTHdbJ1LZW&#10;CfwWfdJXWaV0l0StdfOcte0IveXkOpu+UchVBgY89O6z48SF5c2C+tPf3/7rzxZ24JHNLG9Xk55m&#10;GkNvYhlzAsfHqqHZ8zwRcI/Ox1jN4vAD5sh6egPHEWrm909vgTk9ekLpRtsZxjXJzMqABEo9iur2&#10;+tYMSNvYitJ4kcG7xlVhm42rSnvbm7wgaLWxPuBUHFiy7uMtWeZzIUJ1/2Zm60kd1+zQa5Zv1+xO&#10;3+7y1hIe1rcz7gW+MIyldgEjUB7LuYstUIxzFy1kHHbuXHAnRLgk5x6G0ulHbcbcUDTOXQT6Cydy&#10;7hRLuXTBB6w4AoefgTvj4zoHDyzT+TsHcaIHz6NyoYO9iu86ZDXRfZFE0ya6p0gxdkf2aNLlAfu/&#10;+dEHJ6CgyxNUHD+aJ7ShxJlgXtjjCV0shUL4B3jgg4jCiCXNej4MouP1saSw8CAsBcJVbolJzwn6&#10;AQdYCnwPd9E5hSdHv7TPg330fqkRBEyIM4KAylKPCHGe4/q+Tky55wYy6Pklj/kBhAANJd/jCIc6&#10;pasToTrbNOnpg9zS/1X+Ipv8RU8FdjwklWyHCJdjWfc0ArWqa4GGh+dY1YGkVHZkG6Bcj5oKywMZ&#10;Do43yBo2wwFKw4D1nMSY4TxShiP7GQ52NMg47P6Zw4TrYfpIvmLc59pnNSJHKBtRmIc11RgznL0q&#10;50crv1Fkr1OcnbKKCf2Gpp7f67DQZ56RVpnPmOhLq4JLH1mSoiYHkqVRNN/W/h5UhdpdXOGYiRoq&#10;murQnq7fIWpX9oopnxZFtiFtASWfTjWFHJWWq8tjqinC8VzJjNfywsCHBoO7N16L+Q7y55q1Stc7&#10;u+qOe+8vbtzV4IsMIjsGgBIvPkCO/xoCCwqcUHZ+cxMVCQooP0thJVSKqEJRqQ1X+hwbRfvIdfvI&#10;ccq+Jt2folI1W6qKEa1oXRsw1YPhNH+O1LVG0m6no3Pb8zoda7Za5r8iTJJtTJEUObTDwMFVaHRZ&#10;4AQ9/R90f6zZPUbNjot+pkV7hnM/bdIUOr6LnKzjfdqcSQhUdE+ZMjdKnvKw71HENdLH6LkONHjs&#10;iYGiUV72eK62EnN+uiRc9BV42l8x8CVK5TuwZKhMEccjp4WgeQCUI2M6KWNq9RnsRkun72AQtDiB&#10;0f3AlhDe+tENaBHILhVaqMgFLO1P+0a0nBYtEPc71SbuugMGOCFDqALGlTgCjqPnSnw0vdSuhAcn&#10;rntqfmralsYgdVwX4p4g1RISTaLWkQ513nW+RA3knkrnLASX7gajwA1QUTcMOgggLd3vYN67rDDS&#10;nHeiOahUNzxHQ0jtGo5tC08GAck8WqJ0qduuw2skIhXJRDoZkyGEgXtj1QglJVYPnuvLflDDjuFg&#10;xNHKAydUC91Bv7qGkOfACSkUCeYSUx5RZHpBPyTFiGrRHWqku9RbzRMqLz6X8ghnxJ269UIEns7t&#10;G+WRmJGEx9TO6MT1kpEZ6ddXTiBhy0bB3pmP4XjjmwZJxxh16Sj3hDKcB/aN+ze4YoHn1e4JavaB&#10;EDemY6dMx2g9G5ezGysDCD1Kov5pT6IOGNiQiWkcHLvfoc48x2Ghdka63tK8v9Br2xkRc0rECLye&#10;dx9icPzs3mU3YvCCCjUUg0szx2f8TkczaFCA8Ebha0QMvaY20HtIskGMaR5rQ+RwIwdHxyd6wtTM&#10;3km1papjKUoydvCpF1p3yyUSvvK+ZYvj3WVrtqhoTcG6bok0FUSIGtL3TG+lEF5fAzHZBguE1CWk&#10;U+mrrTf9PppmvqNeIew11zzWS4PUMNXJQbCjAca5RTUB/qcED/hoOGu8X9ilir7r+fSEtN6FHzqQ&#10;2fBw+7E16iGPo4eQZ7jP2+B4A6ohUhDP99EnQ9wAXeC+Lki1M5BW+XDMQNAzMxw78Jp+YM0OsKPB&#10;xrkdTrvfAVmqoPeZcfcGGp2GB7zhrHt2TuRxxoaHD6NVy2tajXdmwTjeQPJM7mp3o5Z0pDSNWpTR&#10;ULGgA8+xUeuRutO9RvHfDZl2AWBQyCBbQteDzoMV/e51Pxj6NP4eh/45iQEjXSPv74aMIrMDtIPe&#10;0dpayomHGqPTewWmrbUp/7M//I1a2ym1NnrPtZuMtaX7c3MjpO6MSlKklyErC/uxZywr7v+JGV3O&#10;OshukPSrX9ZSOaz5FTD66a72tipmN7989u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wsAAFtDb250ZW50X1R5cGVzXS54bWxQSwECFAAKAAAA&#10;AACHTuJAAAAAAAAAAAAAAAAABgAAAAAAAAAAABAAAABZCgAAX3JlbHMvUEsBAhQAFAAAAAgAh07i&#10;QIoUZjzRAAAAlAEAAAsAAAAAAAAAAQAgAAAAfQoAAF9yZWxzLy5yZWxzUEsBAhQACgAAAAAAh07i&#10;QAAAAAAAAAAAAAAAAAQAAAAAAAAAAAAQAAAAAAAAAGRycy9QSwECFAAUAAAACACHTuJAO4Dcy9gA&#10;AAAFAQAADwAAAAAAAAABACAAAAAiAAAAZHJzL2Rvd25yZXYueG1sUEsBAhQAFAAAAAgAh07iQCt5&#10;zE0GCQAAQU0AAA4AAAAAAAAAAQAgAAAAJwEAAGRycy9lMm9Eb2MueG1sUEsFBgAAAAAGAAYAWQEA&#10;AJ8MAAAAAA==&#10;">
                      <o:lock v:ext="edit" aspectratio="f"/>
                      <v:shape id="_x0000_s1026" o:spid="_x0000_s1026" style="position:absolute;left:0;top:0;height:3094355;width:4768215;" filled="f" stroked="f" coordsize="21600,21600"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jHkH77sIAAC8TAAADgAAAGRycy9lMm9Eb2MueG1s7Vzd&#10;juO2Gb0v0HcQdN+1SIoUZaw3CGabtkDaLLBp7zWyPDZqS66kGc/mIfoCAVIgaAsUaHuV2yBPk6aP&#10;0fOR0uhn7PFMYmt2C+3FrETJ1A8Pz3e+H+rlR7ebtXOT5MUqS2cue+G5TpLG2XyVXs3c33/+yS+0&#10;6xRllM6jdZYmM/ddUrgfvfr5z17uttOEZ8tsPU9yB52kxXS3nbnLstxOJ5MiXiabqHiRbZMUBxdZ&#10;volK7OZXk3ke7dD7Zj3hnqcmuyyfb/MsTooCra/tQbfqMX9Mh9lisYqT11l8vUnS0vaaJ+uoxCMV&#10;y9W2cF+Zu10skrj8bLEoktJZz1w8aWn+4iLYvqS/k1cvo+lVHm2Xq7i6hegxt9B7pk20SnHRu65e&#10;R2XkXOere11tVnGeFdmifBFnm4l9EPNG8BTM672biyi9iezDxHjX9Q1i64T9Xl7RfafZJ6v1Gm9j&#10;gt6n1Eb/7zDaCR1ep92TbIs5tzpntwUciu0dMIqfdotvl9E2McNYTOPf3bzJndUcaGWuk0YboPKH&#10;L7/5z5//9sO///X9X7/573df0fY//+7gOB6BbgW/uUjf5HTX8W36dvtpFv+xcNLsYhmlV4np/fN3&#10;W3RkfoEHaf2EdootLnm5+202xznRdZmZ0b1d5BvqEuPm3M5cHjLJOe7p3cwNgpD50uIpuS2dGMcB&#10;shiHeMiZZ6A2iaZ1F9u8KH+VZBuHNmZuUebR6mpZXmRpCtBmOTMXjG4+LUoalWha/6AzEDQOzm7m&#10;hpJL84MiW6/mNJR0WpFfXV6sc+cmIvSbf3SD6KxzWp5dp3O0R9MyWq1/mc6d0ryaMl/hZa0Tl66w&#10;Seaus05AGbRle7GoSMw0q+6zfnd2FC6z+bs3OZ1M7YCHbT47Tny8+Qonf/nH999+7aABd1GN8luM&#10;bbVHw0wPXo9KNbCMedoLpBlYrpTQXNHvo2k9soFmnqyHV3ueMCN/eHhzjOmjB5Qu1MzHu6lmQWmf&#10;ory9vK0ewb5jJ0rjZQZii8vcrXYuSkt019ucoNXG+oBDcWTK+s83ZVnAhQjN9ZuRrQd1nLNDz1l+&#10;N2f3crvPW1N4WG5nXOlAVGKhpoARKM9F7uIOKBW5ixYyjpM7F9wLYS7Jaoeh9PpWmzE/FA25C21P&#10;OBG5ky3l0ocecOII8nkB2YrNzRbypkivfrQRJ3nwOiqW1tgb+25NVmPdl0k0b6x7CnW/37L3dcDh&#10;M/FOSAMYprCmlEzsB2ScgIKuTjB2/NE6oQ0lzgRTYU8ndLEUChEc0YFPEgojlqzqeT+EjupjyWDh&#10;SVjSwje0xKTydN/gAEs6ULiK9SmUHHnpEIN98LwU9LEUPM3EKc8PAuuYcuVrqXu8pFigJcjPQClQ&#10;HOYQ7sSJTNz/lf8iG//Fqg00VJ4XYgxPUxs+x7TuxQjMrGb1UITnmNVakis7qg1Irmd1heURDwfH&#10;G2QN6+FAyISa9Uhi9HCeycORfQ8HDQ0yjnMO85jwFYaPgo+MB9xyVhPkCKXmDefUUuNE9D+q0vdI&#10;lZJlr12cvWGVyvRXMvX8rMPCgKkqtMoCxkQ/tCq4DOAlGWlyxFkag+Z3abcn5ZX2J1c4RqKGipU6&#10;1NLlHZJ2RS+Z8nGeZzuKLSDl08mmEFHZcDXFBo5mU4SnfMkq1lKhDhCDwdUb1mKBB/+5lkrSV2eP&#10;uuPah5Mb98MceYYgOx4A2VVsIBz/BQIsyC0isvOn6yhPkED5TYq3hEwRZShKs+PLgGMnbx+5bB95&#10;XGTfiu6PkalarEzGiGa0zQ0Mnn7hcF1rJO0nHevbnpd0nMV6tf0DYZLeTZ3Z8bXHoMGNafSZ9nQv&#10;/g+5P+bsniNnx0Xf06KW4einLZpCL/Chjzrs09ZMQiCje0qXudFMhmF/QhK3Cn2MzHWktuKADRRN&#10;5OUAc7UjMeeXS8JHXYGyfMWgl8iV78CSITNFGo9IC0bzCChHxXRSxdSqM9iPlk7dwSBo8XQV94Na&#10;gnnrWzegRcC7NGihJBewdNjtG9FyWrQguN/JNnHfH9DACRkiKlBRiSdAHD0qCVD0UlMJ1yfOe1p9&#10;WheZ2bzhaKR+nJFqBRIrR60TOrR+1/kcNYh7Sp2zEFq6a4y0r5FRrxS01jw8QjBPynaOCLIVtidw&#10;9ZGpbnSOhZBpGk5tCyW1pjCPDVH6VG3X0TUSlorCRNYZkyECAw/aqhFKJlg9uK8v+0YNDcPBiKOU&#10;ByRUB7p1P7sGk+eBhAyKBPNJKY8oqmpBLZ++HxEjykV3pBEahkMRkRH36tILoZX17ZvIIykjCca0&#10;ZHTifMlo105m12QTwd7rj+F4g6pB3DFGVTqGnpCGU1DfuH6DK6aVqukJ0ewjJm50x07pjtF8rihn&#10;P1YGCPSYEPWveyFqzaCGKpvGobH7FepMeR4LLRnZfEuzfqFeJDKuKumvSzuFasbKuIcQI/T52WU/&#10;YrBAhQqKoaWZFzB+r6IZMkjDvJH5GhEz4Dok2SCmKh5rQ+R4IQdHxSdHTTGN7D1XW5o8lpEkYwWf&#10;WUu6P6YvwZUPTVsc74qCao+S1mSse2vDENSQgapqK4VQ/RhI5W0wLaRNIZ0qvtpa6ffBFPM9aglh&#10;b/nAcy0apIKpjg+ChgYY5w6qCeg/E/DAVAdZY31hVyoGvgroDmm+iyD0EGbDzR3G1hgPeZ54CDHD&#10;Q2yD4w2ohnBBVBCgToYsCKrAA5uQansgrfTh6IEMukpZNfXAVh2gocHGuQmnXe8AL1XQemZcvYFG&#10;p+ABK5xtzc6JGGcseHg/Am+qKTXe6wXjeAPJM9HV/kIt6UlZFWqRR0PJgg48x0KtZ6pOV03Efz9k&#10;2gmAQSEDbwlVD9YPNvK7V/1QyafxexxDf4+Dqg4eFEXtaP85IXMv1taKnCjkGL3eEph2rM3wz2Hz&#10;N0ZnTxmdpXWuXWesHbo/tzaC684oJQXRzOCVhX3bM6YVD39ixqazjqobOP3mm1bGh60+wEVfzWrv&#10;m2R289Gx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LAsAAFtDb250ZW50X1R5cGVzXS54bWxQSwECFAAKAAAAAACHTuJAAAAAAAAAAAAAAAAA&#10;BgAAAAAAAAAAABAAAAAOCgAAX3JlbHMvUEsBAhQAFAAAAAgAh07iQIoUZjzRAAAAlAEAAAsAAAAA&#10;AAAAAQAgAAAAMgoAAF9yZWxzLy5yZWxzUEsBAhQACgAAAAAAh07iQAAAAAAAAAAAAAAAAAQAAAAA&#10;AAAAAAAQAAAAAAAAAGRycy9QSwECFAAUAAAACACHTuJAO4Dcy9gAAAAFAQAADwAAAAAAAAABACAA&#10;AAAiAAAAZHJzL2Rvd25yZXYueG1sUEsBAhQAFAAAAAgAh07iQIx5B++7CAAAvEwAAA4AAAAAAAAA&#10;AQAgAAAAJwEAAGRycy9lMm9Eb2MueG1sUEsFBgAAAAAGAAYAWQEAAFQMAAAAAA==&#10;">
                        <v:fill on="f" focussize="0,0"/>
                        <v:stroke on="f"/>
                        <v:imagedata o:title=""/>
                        <o:lock v:ext="edit" aspectratio="t"/>
                      </v:shape>
                      <v:shape id="_x0000_s1026" o:spid="_x0000_s1026" o:spt="32" type="#_x0000_t32" style="position:absolute;left:2915221;top:779145;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x6U6eCECAAAGBAAADgAAAGRycy9lMm9Eb2MueG1srVPB&#10;ctMwEL0zwz9odCeOPYQST5weEsqlQGZaPkCRZVuDpNVISpz8BD/ADCfgVDj1ztdA+QxWclJoufSA&#10;D56Vdvft7tun2elOK7IVzkswFc1HY0qE4VBL01b07eXZk+eU+MBMzRQYUdG98PR0/vjRrLelKKAD&#10;VQtHEMT4srcV7UKwZZZ53gnN/AisMOhswGkW8OjarHasR3StsmI8fpb14GrrgAvv8XY5OOkB0T0E&#10;EJpGcrEEvtHChAHVCcUCjuQ7aT2dp26bRvDwpmm8CERVFCcN6Y9F0F7HfzafsbJ1zHaSH1pgD2nh&#10;3kyaSYNFb6GWLDCycfIfKC25Aw9NGHHQ2TBIYgSnyMf3uLnomBVpFqTa21vS/f+D5a+3K0dkjUrI&#10;KTFM48ZvPlz/fP/55tvXH5+uf33/GO2rLwT9SFZvfYk5C7NycVy+Mxf2HPg7TwwsOmZakZq+3FsE&#10;ShnZnZR48BZLrvtXUGMM2wRIzO0apyMkckJ2FS2m+aQosKd9RU9OpvnTybArsQuEox8XyNFVTIt8&#10;nNaYsfIIYZ0PLwVoEo2K+uCYbLuwAGNQEODyVJBtz33AkTDxmBDrGziTSiVdKEP6ik4nxSQleFCy&#10;js4Y5l27XihHtiwqK32xQQS7E+ZgY+oEFphUL0xNQqImOIlkKUFjBS1qSpTA5xitAUWZWEUkCR/6&#10;PHI3bGEN9X7lYnC8R3mk4gcpR/39fU5Rf57v/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x6U6eCECAAAGBAAADgAAAAAAAAABACAAAAAnAQAAZHJzL2Uyb0RvYy54bWxQSwUGAAAAAAYABgBZ&#10;AQAAugUAAAAA&#10;">
                        <v:fill on="f" focussize="0,0"/>
                        <v:stroke color="#000000" joinstyle="round" endarrow="block"/>
                        <v:imagedata o:title=""/>
                        <o:lock v:ext="edit" aspectratio="f"/>
                      </v:shape>
                      <v:rect id="_x0000_s1026" o:spid="_x0000_s1026" o:spt="1" style="position:absolute;left:1108075;top:2663826;height:280035;width:78105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O+3kC+AQAAaQMAAA4AAABkcnMvZTJvRG9jLnhtbK1TS27bMBDd&#10;F+gdCO5rSk7tCILlLGqkmyINkOYANEVaBPjDkLbk0xTIrofocYpeo0NJ+TTdZNGNNDMcvXnvcbS5&#10;GqwhJwlRe9fQclFQIp3wrXaHht5/u/5QURITdy033smGnmWkV9v37zZ9qOXSd960EgiCuFj3oaFd&#10;SqFmLIpOWh4XPkiHh8qD5QlTOLAWeI/o1rBlUaxZ76EN4IWMEau76ZDOiPAWQK+UFnLnxdFKlyZU&#10;kIYnlBQ7HSLdjmyVkiJ9VSrKRExDUWkanzgE431+su2G1wfgodNipsDfQuGVJsu1w6FPUDueODmC&#10;/gfKagE+epUWwls2CRkdQRVl8cqbu44HOWpBq2N4Mj3+P1hxc7oFotuGfkRLHLd447+///j184Fg&#10;Ad3pQ6yx6S7cwpxFDLPUQYHNbxRBBtyksqiKyxUl54Yu1+uLarme3JVDIgIbLquyWOEQkRuqorhY&#10;5XP2DBQgps/SW5KDhgJe3ugpP32JaWp9bMlznb/WxmCd18b9VUDMXGGZ+8Q2R2nYD7OEvW/PKJs7&#10;0XlcBpGAzsmnNC3HMYA+dMiiHEnm7/EGRrrztuQrfpmP857/kO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GO+3kC+AQAAaQMAAA4AAAAAAAAAAQAgAAAAIgEAAGRycy9lMm9Eb2MueG1sUEsF&#10;BgAAAAAGAAYAWQEAAFIFAAAAAA==&#10;">
                        <v:fill on="f" focussize="0,0"/>
                        <v:stroke on="f"/>
                        <v:imagedata o:title=""/>
                        <o:lock v:ext="edit" aspectratio="f"/>
                        <v:textbox>
                          <w:txbxContent>
                            <w:p w14:paraId="7EFED415">
                              <w:pPr>
                                <w:adjustRightInd w:val="0"/>
                                <w:snapToGrid w:val="0"/>
                                <w:jc w:val="center"/>
                                <w:rPr>
                                  <w:rFonts w:ascii="仿宋" w:hAnsi="仿宋" w:eastAsia="仿宋"/>
                                  <w:szCs w:val="21"/>
                                </w:rPr>
                              </w:pPr>
                              <w:r>
                                <w:rPr>
                                  <w:rFonts w:ascii="仿宋" w:hAnsi="仿宋" w:eastAsia="仿宋"/>
                                  <w:szCs w:val="21"/>
                                </w:rPr>
                                <w:t>空气</w:t>
                              </w:r>
                            </w:p>
                          </w:txbxContent>
                        </v:textbox>
                      </v:rect>
                      <v:shape id="_x0000_s1026" o:spid="_x0000_s1026" o:spt="32" type="#_x0000_t32" style="position:absolute;left:2915221;top:1723391;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2T1gZyICAAAHBAAADgAAAGRycy9lMm9Eb2MueG1srVOx&#10;chMxEO2Z4R806vH5Lhjwjc8pbEITwDMJHyBLOp8GSauRZJ/9E/wAM1RABVTp+RoIn8FKtgMJTQqu&#10;uFlpd9/ue7uanG6NJhvpgwLb0HIwpERaDkLZVUPfXJ49ekZJiMwKpsHKhu5koKfThw8mvatlBR1o&#10;IT1BEBvq3jW0i9HVRRF4Jw0LA3DSorMFb1jEo18VwrMe0Y0uquHwSdGDF84DlyHg7XzvpAdEfx9A&#10;aFvF5Rz42kgb96heahaRUuiUC3Sau21byePrtg0yEt1QZBrzH4ugvUz/Yjph9coz1yl+aIHdp4U7&#10;nAxTFoveQM1ZZGTt1T9QRnEPAdo44GCKPZGsCLIoh3e0ueiYk5kLSh3cjejh/8HyV5uFJ0o09HFJ&#10;iWUGJ379/urnu0/X377++Hj16/uHZH/5TNCPYvUu1Jgzswuf6PKtvXDnwN8GYmHWMbuSuenLnUOg&#10;nFHcSkmH4LDksn8JAmPYOkJWbtt6kyBRE7JtaDUuR1WFPe0Q52l1cjLOaKyW20g4BuAEOfqqcVUO&#10;8xwLVh8xnA/xhQRDktHQED1Tqy7OwFrcCPBlrsg25yEiJ0w8JqQGLJwprfNiaEv6ho5H1SgnBNBK&#10;JGcKC361nGlPNiytVv6SQAh2K8zD2ooMFpnSz60gMWsTvUK1tKSpgpGCEi3xPSZrj6JtqiLzDh/6&#10;PIq3H8MSxG7hU3C6x/3IxQ+7nBbw73OO+vN+p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Nk9YGciAgAABwQAAA4AAAAAAAAAAQAgAAAAJwEAAGRycy9lMm9Eb2MueG1sUEsFBgAAAAAGAAYA&#10;WQEAALsFAAAAAA==&#10;">
                        <v:fill on="f" focussize="0,0"/>
                        <v:stroke color="#000000" joinstyle="round" endarrow="block"/>
                        <v:imagedata o:title=""/>
                        <o:lock v:ext="edit" aspectratio="f"/>
                      </v:shape>
                      <v:shape id="_x0000_s1026" o:spid="_x0000_s1026" o:spt="32" type="#_x0000_t32" style="position:absolute;left:2915221;top:1268730;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SwlzeyICAAAHBAAADgAAAGRycy9lMm9Eb2MueG1srVOx&#10;chMxEO2Z4R806vH5DhziG59T2IQmQGYSPkCWdD4NklYjyT77J/gBZqggFVCl52sgfAYr2Q4hNCm4&#10;4mal3X277+1qcrIxmqylDwpsQ8vBkBJpOQhllw19e3n65JiSEJkVTIOVDd3KQE+mjx9NelfLCjrQ&#10;QnqCIDbUvWtoF6OriyLwThoWBuCkRWcL3rCIR78shGc9ohtdVMPhUdGDF84DlyHg7XznpHtE/xBA&#10;aFvF5Rz4ykgbd6heahaRUuiUC3Sau21byeObtg0yEt1QZBrzH4ugvUj/Yjph9dIz1ym+b4E9pIV7&#10;nAxTFoveQs1ZZGTl1T9QRnEPAdo44GCKHZGsCLIoh/e0ueiYk5kLSh3crejh/8Hy1+tzT5Ro6LOK&#10;EssMTvzmw/XP959vvn398en61/ePyf5yRdCPYvUu1Jgzs+c+0eUbe+HOgL8LxMKsY3Ypc9OXW4dA&#10;Zcoo/kpJh+Cw5KJ/BQJj2CpCVm7TepMgUROyaWg1LkdVVVKyRZzq6Pj50/2w5CYSjgE4QY6+alyV&#10;w+wqWH3AcD7ElxIMSUZDQ/RMLbs4A2txI8CXuSJbn4WYOmT1ISE1YOFUaZ0XQ1vSN3Q8qkY5IYBW&#10;IjlTWPDLxUx7smZptfKX6aLnbpiHlRUZLDKlX1hBYtYmeoVqaUlTBSMFJVrie0zWriVtUxWZd3jf&#10;50G83RgWILbnPgWne9yPzGS/y2kB755z1J/3O/0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EsJc3s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2320925;top:995045;height:283845;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GjOLFwIAACkEAAAOAAAAZHJzL2Uyb0RvYy54bWytU02O&#10;0zAU3iNxB8t7mjRtUVs1ncWUYYNgpBkO4NpOYsl/8nOb9DRI7DgEx0Fcg2cnzMCw6YIsnGf78/fe&#10;9/l5dzMYTc4ygHK2pvNZSYm03All25p+frx7s6YEIrOCaWdlTS8S6M3+9atd77eycp3TQgaCJBa2&#10;va9pF6PfFgXwThoGM+elxc3GBcMiTkNbiMB6ZDe6qMrybdG7IHxwXALg6mHcpBNjuIbQNY3i8uD4&#10;yUgbR9YgNYsoCTrlge5ztU0jefzUNCAj0TVFpTGPmATjYxqL/Y5t28B8p/hUArumhBeaDFMWkz5R&#10;HVhk5BTUP1RG8eDANXHGnSlGIdkRVDEvX3jz0DEvsxa0GvyT6fD/aPnH830gStR0uaDEMoM3/vPL&#10;tx/fvxJcQHd6D1sEPfj7MM0AwyR1aIJJfxRBhppWi6rcVCtKLjXdbFblcjWaK4dIOO7P58vNYoW+&#10;cwRU68V6BBTPRD5AfC+dISmoacDLy56y8weImByhvyEpr3V3Sut8gdqSHklXyzLxM+zKBrsBQ+NR&#10;Gdg284DTSqQz6TSE9nirAzmz1Bn5S/Vijr9gKeGBQTfi8tYoK7iTFTl5J5l4ZwWJF4/mWXw0NFVj&#10;pKBES3xjKcrIyJS+BolFaIu1JO9Ht1MUh+OANCk8OnHBa2OWdw6bmcdAp8ltHJv75INqO3RxnlWl&#10;Q9hBWd/U7alF/5znfM8vfP8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L8aM4sXAgAAKQQA&#10;AA4AAAAAAAAAAQAgAAAAJgEAAGRycy9lMm9Eb2MueG1sUEsFBgAAAAAGAAYAWQEAAK8FAAAAAA==&#10;">
                        <v:fill on="f" focussize="0,0"/>
                        <v:stroke weight="2pt" color="#000000" joinstyle="round"/>
                        <v:imagedata o:title=""/>
                        <o:lock v:ext="edit" aspectratio="f"/>
                        <v:textbox>
                          <w:txbxContent>
                            <w:p w14:paraId="6843083A">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v:textbox>
                      </v:rect>
                      <v:rect id="_x0000_s1026" o:spid="_x0000_s1026" o:spt="1" style="position:absolute;left:2320925;top:2131696;height:293370;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ArQfVJFgIAACoEAAAOAAAAZHJzL2Uyb0RvYy54bWytU0uO&#10;1DAQ3SNxB8t7Okn/oFudnsU0wwbBSAMHcNtOYsk/udyd9GmQ2HEIjoO4BmUnzMCw6QVZOGX7+VW9&#10;5/LuZjCanGUA5WxNq1lJibTcCWXbmn7+dPfqDSUQmRVMOytrepFAb/YvX+x6v5Vz1zktZCBIYmHb&#10;+5p2MfptUQDvpGEwc15a3GxcMCziNLSFCKxHdqOLeVmui94F4YPjEgBXD+MmnRjDNYSuaRSXB8dP&#10;Rto4sgapWURJ0CkPdJ+rbRrJ48emARmJrikqjXnEJBgf01jsd2zbBuY7xacS2DUlPNNkmLKY9JHq&#10;wCIjp6D+oTKKBweuiTPuTDEKyY6giqp85s1Dx7zMWtBq8I+mw/+j5R/O94EoUdPlihLLDN74zy/f&#10;fnz/SnAB3ek9bBH04O/DNAMMk9ShCSb9UQQZajpfzMvNHEkuGFeLar1Zj+7KIRKOgKpabhYrNJ4n&#10;xGaxeJ3tL56YfID4TjpDUlDTgLeXTWXn9xAxO0J/Q1Ji6+6U1vkGtSU9kq6WZeJn2JYNtgOGxqM0&#10;sG3mAaeVSGfSaQjt8VYHcmapNfKX6sUcf8FSwgODbsTlrVFWcCcrcvJOMvHWChIvHt2z+GpoqsZI&#10;QYmW+MhSlJGRKX0NEovQFmtJ5o92pygOxwFpUnh04oL3xizvHHYzj4FOk9s4dvfJB9V26GKVVaVD&#10;2EJZ39TuqUf/nOd8T098/w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0H1SRYCAAAqBAAA&#10;DgAAAAAAAAABACAAAAAmAQAAZHJzL2Uyb0RvYy54bWxQSwUGAAAAAAYABgBZAQAArgUAAAAA&#10;">
                        <v:fill on="f" focussize="0,0"/>
                        <v:stroke weight="2pt" color="#000000" joinstyle="round"/>
                        <v:imagedata o:title=""/>
                        <o:lock v:ext="edit" aspectratio="f"/>
                        <v:textbox>
                          <w:txbxContent>
                            <w:p w14:paraId="1902AE33">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v:textbox>
                      </v:rect>
                      <v:rect id="_x0000_s1026" o:spid="_x0000_s1026" o:spt="1" style="position:absolute;left:2320834;top:1560830;height:296545;width:1148766;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SlzVoFgIAACoEAAAOAAAAZHJzL2Uyb0RvYy54bWytU8uO&#10;0zAU3SPxD5b3NGmnLSVqOospwwbBSAMfcGs7iSW/ZLtN+jVI7PgIPgfxG1w7YV5suiAL59o+Pvee&#10;4+vt9aAVOQkfpDU1nc9KSoRhlkvT1vTrl9s3G0pCBMNBWSNqehaBXu9ev9r2rhIL21nFhSdIYkLV&#10;u5p2MbqqKALrhIYws04Y3Gys1xBx6tuCe+iRXatiUZbroreeO2+ZCAFX9+MmnRj9JYS2aSQTe8uO&#10;Wpg4snqhIKKk0EkX6C5X2zSCxc9NE0QkqqaoNOYRk2B8SGOx20LVenCdZFMJcEkJLzRpkAaTPlDt&#10;IQI5evkPlZbM22CbOGNWF6OQ7AiqmJcvvLnvwImsBa0O7sH08P9o2afTnSeS13S5psSAxhv//e3H&#10;r5/fCS6gO70LFYLu3Z2fZgHDJHVovE5/FEGGmi6uFuXmaknJGbtqtcZ4clcMkTAEzOfLzds1ZmGI&#10;WLxbr5arlKB4ZHI+xA/CapKCmnq8vWwqnD6GOEL/QlJiY2+lUrgOlTKkR9LVssSLZYBt2WA7YKgd&#10;SgumzTzBKsnTmXQk+PZwozw5QWqN/E3lPIOlhHsI3YjLWwkGlbdHw3PUCeDvDSfx7NA9g6+Gpmq0&#10;4JQogY8sRRkZQapLkOiJMmhNMn+0O0VxOAxIk8KD5We8NzCss9jNLHo6TW7i2N1H52XboYvzrCod&#10;whbKdk/tnnr06Tzne3ziu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pc1aBYCAAAqBAAA&#10;DgAAAAAAAAABACAAAAAmAQAAZHJzL2Uyb0RvYy54bWxQSwUGAAAAAAYABgBZAQAArgUAAAAA&#10;">
                        <v:fill on="f" focussize="0,0"/>
                        <v:stroke weight="2pt" color="#000000" joinstyle="round"/>
                        <v:imagedata o:title=""/>
                        <o:lock v:ext="edit" aspectratio="f"/>
                        <v:textbox>
                          <w:txbxContent>
                            <w:p w14:paraId="56E965E8">
                              <w:pPr>
                                <w:adjustRightInd w:val="0"/>
                                <w:snapToGrid w:val="0"/>
                                <w:jc w:val="center"/>
                                <w:rPr>
                                  <w:rFonts w:ascii="仿宋" w:hAnsi="仿宋" w:eastAsia="仿宋"/>
                                  <w:szCs w:val="21"/>
                                </w:rPr>
                              </w:pPr>
                              <w:r>
                                <w:rPr>
                                  <w:rFonts w:hint="eastAsia" w:ascii="仿宋" w:hAnsi="仿宋" w:eastAsia="仿宋"/>
                                  <w:szCs w:val="21"/>
                                </w:rPr>
                                <w:t>烘干</w:t>
                              </w:r>
                            </w:p>
                          </w:txbxContent>
                        </v:textbox>
                      </v:rect>
                      <v:rect id="_x0000_s1026" o:spid="_x0000_s1026" o:spt="1" style="position:absolute;left:2604771;top:2648586;height:276225;width:61785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MIYnPa+AQAAaQMAAA4AAABkcnMvZTJvRG9jLnhtbK1TS27bMBDd&#10;F+gdCO5rfWBLhmA5ixjppmgDpD0ATZEWAf4wpC35NAW66yF6nKLX6FBSkzbdZJGNNDMcvXnvDbW7&#10;GY0mFwFBOdvSYpVTIix3nbKnln75fPduS0mIzHZMOytaehWB3uzfvtkNvhGl653uBBAEsaEZfEv7&#10;GH2TZYH3wrCwcl5YPJQODIuYwinrgA2IbnRW5nmVDQ46D46LELB6mA/pgggvAXRSKi4Ojp+NsHFG&#10;BaFZREmhVz7Q/cRWSsHjJymDiES3FJXG6YlDMD6mZ7bfseYEzPeKLxTYSyg802SYsjj0EerAIiNn&#10;UP9BGcXBBSfjijuTzUImR1BFkT/z5qFnXkxa0OrgH00PrwfLP17ugaiupeuaEssMbvzX1+8/f3wj&#10;WEB3Bh8abHrw97BkAcMkdZRg0htFkLGlZZWv67qg5Jri9XazrWZ3xRgJx4aqqLebDSU8NdRVWW7S&#10;efYE5CHE98IZkoKWAi5v8pRdPoQ4t/5pSXOtu1NaY5012v5TQMxUyRL3mW2K4ngcFwlH111RNrO8&#10;d3gZeAS6JLdxvhxnD+rUI4tiIpm+xw1MdJfbklb8dz7Ne/pD9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MIYnPa+AQAAaQMAAA4AAAAAAAAAAQAgAAAAIgEAAGRycy9lMm9Eb2MueG1sUEsF&#10;BgAAAAAGAAYAWQEAAFIFAAAAAA==&#10;">
                        <v:fill on="f" focussize="0,0"/>
                        <v:stroke on="f"/>
                        <v:imagedata o:title=""/>
                        <o:lock v:ext="edit" aspectratio="f"/>
                        <v:textbox>
                          <w:txbxContent>
                            <w:p w14:paraId="4725B0BA">
                              <w:pPr>
                                <w:jc w:val="center"/>
                                <w:rPr>
                                  <w:rFonts w:ascii="仿宋" w:hAnsi="仿宋" w:eastAsia="仿宋"/>
                                  <w:szCs w:val="21"/>
                                </w:rPr>
                              </w:pPr>
                              <w:r>
                                <w:rPr>
                                  <w:rFonts w:hint="eastAsia" w:ascii="仿宋" w:hAnsi="仿宋" w:eastAsia="仿宋"/>
                                  <w:szCs w:val="21"/>
                                </w:rPr>
                                <w:t>产品</w:t>
                              </w:r>
                            </w:p>
                          </w:txbxContent>
                        </v:textbox>
                      </v:rect>
                      <v:rect id="_x0000_s1026" o:spid="_x0000_s1026" o:spt="1" style="position:absolute;left:2320925;top:426085;height:296545;width:1148715;v-text-anchor:middle;" filled="f" stroked="t" coordsize="21600,21600" o:gfxdata="UEsDBAoAAAAAAIdO4kAAAAAAAAAAAAAAAAAEAAAAZHJzL1BLAwQUAAAACACHTuJAgvl3mtYAAAAF&#10;AQAADwAAAGRycy9kb3ducmV2LnhtbE2PQUvEMBCF74L/IYzgzU2qrq216SJFL4qCu4t6nDZjW2wm&#10;pclu139v9KKXgcd7vPdNsTrYQexp8r1jDclCgSBunOm51bDd3J9lIHxANjg4Jg1f5GFVHh8VmBs3&#10;8wvt16EVsYR9jhq6EMZcSt90ZNEv3EgcvQ83WQxRTq00E86x3A7yXKkrabHnuNDhSFVHzed6ZzXc&#10;Sn54TKo5S5+f3pbV650ba/eu9elJom5ABDqEvzD84Ed0KCNT7XZsvBg0xEfC741eulTXIGoNl1l6&#10;AbIs5H/68htQSwMEFAAAAAgAh07iQP5dRyMXAgAAKQQAAA4AAABkcnMvZTJvRG9jLnhtbK1TS27b&#10;MBDdF+gdCO5rfWo7jmE5i7jppmgDJD0ATVISAf7AoS35NAW66yF6nKLX6JBykzbdeFEv5KHm6c28&#10;N8PNzWg0OcoAytmGVrOSEmm5E8p2Df38ePdmRQlEZgXTzsqGniTQm+3rV5vBr2XteqeFDARJLKwH&#10;39A+Rr8uCuC9NAxmzkuLydYFwyIeQ1eIwAZkN7qoy3JZDC4IHxyXAPh2NyXpmTFcQujaVnG5c/xg&#10;pI0Ta5CaRZQEvfJAt7nbtpU8fmpbkJHohqLSmJ9YBON9ehbbDVt3gfle8XML7JIWXmgyTFks+kS1&#10;Y5GRQ1D/UBnFgwPXxhl3ppiEZEdQRVW+8OahZ15mLWg1+CfT4f/R8o/H+0CUaOiiosQygxP/+eXb&#10;j+9fCb5AdwYPawQ9+PtwPgGGSerYBpP+UQQZG1q/rcvrekHJqaHzelmuFpO5coyEY76q5qurCvMc&#10;AfX1cjHPgOKZyAeI76UzJAUNDTi87Ck7foCIxRH6G5LqWnentM4D1JYMSLpaXCV+hlvZ4jZgaDwq&#10;A9tlHnBaifRN+hpCt7/VgRxZ2oz8S/1ijb9gqeCOQT/hcmqSFdzBily8l0y8s4LEk0fzLF4amrox&#10;UlCiJd6xFGVkZEpfgsQmtMVekveT2ymK435EmhTunTjh2JjlvcNl5jHQ8+E2Tst98EF1PbqYh5iZ&#10;cIOyvvO2pxX985zrPd/w7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C+Xea1gAAAAUBAAAPAAAA&#10;AAAAAAEAIAAAACIAAABkcnMvZG93bnJldi54bWxQSwECFAAUAAAACACHTuJA/l1HIxcCAAApBAAA&#10;DgAAAAAAAAABACAAAAAlAQAAZHJzL2Uyb0RvYy54bWxQSwUGAAAAAAYABgBZAQAArgUAAAAA&#10;">
                        <v:fill on="f" focussize="0,0"/>
                        <v:stroke weight="2.25pt" color="#000000" joinstyle="round"/>
                        <v:imagedata o:title=""/>
                        <o:lock v:ext="edit" aspectratio="f"/>
                        <v:textbox>
                          <w:txbxContent>
                            <w:p w14:paraId="0CB44E5B">
                              <w:pPr>
                                <w:adjustRightInd w:val="0"/>
                                <w:snapToGrid w:val="0"/>
                                <w:jc w:val="center"/>
                                <w:rPr>
                                  <w:rFonts w:eastAsia="仿宋"/>
                                  <w:szCs w:val="21"/>
                                </w:rPr>
                              </w:pPr>
                              <w:r>
                                <w:rPr>
                                  <w:rFonts w:eastAsia="仿宋"/>
                                  <w:szCs w:val="21"/>
                                </w:rPr>
                                <w:t>筛选</w:t>
                              </w:r>
                            </w:p>
                          </w:txbxContent>
                        </v:textbox>
                      </v:rect>
                      <v:shape id="_x0000_s1026" o:spid="_x0000_s1026" o:spt="32" type="#_x0000_t32" style="position:absolute;left:2915221;top:2329816;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aSl2FiICAAAHBAAADgAAAGRycy9lMm9Eb2MueG1srVPB&#10;ctMwEL0zwz9odCeOzaTTeOL0kFAuBTLT8gGKJNsaZK1GUuLkJ/gBZjgBJ8qpd74GymewkpNSyqUH&#10;fPCstLtv971dzc52nSZb6bwCU9F8NKZEGg5Cmaaib6/On51S4gMzgmkwsqJ76enZ/OmTWW9LWUAL&#10;WkhHEMT4srcVbUOwZZZ53sqO+RFYadBZg+tYwKNrMuFYj+idzorx+CTrwQnrgEvv8XY5OOkB0T0G&#10;EOpacbkEvumkCQOqk5oFpORbZT2dp27rWvLwpq69DERXFJmG9MciaK/jP5vPWNk4ZlvFDy2wx7Tw&#10;gFPHlMGid1BLFhjZOPUPVKe4Aw91GHHosoFIUgRZ5OMH2ly2zMrEBaX29k50//9g+evtyhElKjop&#10;KDGsw4nffrj5+f7z7bfrH59ufn3/GO2vXwj6Uaze+hJzFmblIl2+M5f2Avg7TwwsWmYamZq+2lsE&#10;ymNG9ldKPHiLJdf9KxAYwzYBknK72nUREjUhu4oW03xSFDkle7SfF9PT/GQYltwFwjEAJ8ijb1rk&#10;4zTHjJVHDOt8eCmhI9GoqA+OqaYNCzAGNwJcniqy7YUPsUNWHhNiAwbOldZpMbQhfUWnk2KSEjxo&#10;JaIzhnnXrBfakS2Lq5W+RBc998McbIxIYIEp/cIIEpI2wSlUS0saK3RSUKIlvsdoDS1pE6vItMOH&#10;Po/iDWNYg9ivXAyO97gficlhl+MC3j+nqD/vd/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GkpdhY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1013460;top:2127251;height:2908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DlbCCFwIAACkEAAAOAAAAZHJzL2Uyb0RvYy54bWytU0tu&#10;2zAQ3RfoHQjua30cp45hOYu46aZoAyQ9AE1SEgH+wKEt+TQFuushepyi1+iQcvPrxotqIQ3F4Zt5&#10;bx7X16PR5CADKGcbWs1KSqTlTijbNfTrw+27JSUQmRVMOysbepRArzdv36wHv5K1650WMhAEsbAa&#10;fEP7GP2qKID30jCYOS8tbrYuGBZxGbpCBDYgutFFXZaXxeCC8MFxCYB/t9MmPSGGcwBd2yout47v&#10;jbRxQg1Ss4iUoFce6CZ327aSxy9tCzIS3VBkGvMbi2C8S+9is2arLjDfK35qgZ3TwitOhimLRR+h&#10;tiwysg/qHyijeHDg2jjjzhQTkawIsqjKV9rc98zLzAWlBv8oOvw/WP75cBeIEg1dzCmxzODEf3/7&#10;8evnd4I/UJ3BwwqT7v1dOK0Aw0R1bINJXyRBRnRSWc0vLlHXY0Prqn5fL6pJXTlGwjHharGsqwUl&#10;PCVclct5Vr94AvIB4kfpDElBQwMOL2vKDp8gYnFM/ZuS6lp3q7TOA9SWDAi6uCixPmfoyhbdgKHx&#10;yAxsl3HAaSXSmXQaQre70YEcWHJGflK7WONFWiq4ZdBPeXlrYhXc3opcvJdMfLCCxKNH8SxeGpq6&#10;MVJQoiXesRTlzMiUPicTm9AWe0naT2qnKI67EWFSuHPiiGNjlvcOzcxjoKfFTZzMvfdBdT2qmIeQ&#10;kdBBmd/J7cmiz9e53tMN3/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MOVsIIXAgAAKQQA&#10;AA4AAAAAAAAAAQAgAAAAJgEAAGRycy9lMm9Eb2MueG1sUEsFBgAAAAAGAAYAWQEAAK8FAAAAAA==&#10;">
                        <v:fill on="f" focussize="0,0"/>
                        <v:stroke weight="2pt" color="#000000" joinstyle="round"/>
                        <v:imagedata o:title=""/>
                        <o:lock v:ext="edit" aspectratio="f"/>
                        <v:textbox>
                          <w:txbxContent>
                            <w:p w14:paraId="1D88D863">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v:textbox>
                      </v:rect>
                      <v:shape id="_x0000_s1026" o:spid="_x0000_s1026" o:spt="32" type="#_x0000_t32" style="position:absolute;left:1971675;top:1711326;height:0;width:32577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zPwEhiECAAAJBAAADgAAAGRycy9lMm9Eb2MueG1srVPB&#10;jtMwEL0j8Q+W7zRNVm3ZqOkeWpbLApV2+QDXcRoL22PZbtP+BD+AxAk4Aae98zWwfAZjp12gXPZA&#10;DtE4nnnz3pvJ9GKnFdkK5yWYiuaDISXCcKilWVf09c3lk6eU+MBMzRQYUdG98PRi9vjRtLOlKKAF&#10;VQtHEMT4srMVbUOwZZZ53grN/ACsMHjZgNMs4NGts9qxDtG1yorhcJx14GrrgAvv8euiv6QHRPcQ&#10;QGgaycUC+EYLE3pUJxQLKMm30no6S2ybRvDwqmm8CERVFJWG9MYmGK/iO5tNWbl2zLaSHyiwh1A4&#10;0aSZNNj0HmrBAiMbJ/+B0pI78NCEAQed9UKSI6giH554c90yK5IWtNrbe9P9/4PlL7dLR2Rd0aIY&#10;UWKYxpHfvbv98fbj3dcv3z/c/vz2PsafP5GYgHZ11pdYNTdLFwXznbm2V8DfeGJg3jKzFon2zd4i&#10;Uh4rsr9K4sFbbLrqXkCNOWwTIHm3a5yOkOgK2WHt+SQfT5DUHuNJnp8V435cYhcIx4SzYjSZ4CA5&#10;JqRJZqw8Yljnw3MBmsSgoj44JtdtmIMxuBPg8tSRba98iAxZeSyIBAxcSqXSaihDuoqej1B7vPGg&#10;ZB0v08GtV3PlyJbF5UpPknuS5mBj6gQWmFTPTE1C8iY4iW4pQWMHLWpKlMA/MkY9JWViF5G2+MDz&#10;aF4/hhXU+6WLyfE7bkhSctjmuIJ/nlPW7z94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zPwEhiECAAAJBAAADgAAAAAAAAABACAAAAAnAQAAZHJzL2Uyb0RvYy54bWxQSwUGAAAAAAYABgBZ&#10;AQAAugUAAAAA&#10;">
                        <v:fill on="f" focussize="0,0"/>
                        <v:stroke color="#000000" joinstyle="round" endarrow="block"/>
                        <v:imagedata o:title=""/>
                        <o:lock v:ext="edit" aspectratio="f"/>
                      </v:shape>
                      <v:rect id="_x0000_s1026" o:spid="_x0000_s1026" o:spt="1" style="position:absolute;left:3064510;top:2698750;height:254635;width:170370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A8/3YhAgAAKAQAAA4AAABkcnMvZTJvRG9jLnhtbK1TQW7bMBC8&#10;F+gfCN5rSbZlJ4LlIIiRokDaBkj7AJqiLKESl13SltLPFOgtj+hzin6jS0pOnfSSQy8El1zO7swO&#10;Vxd927CDQluDznkyiTlTWkJR613OP3+6fnPGmXVCF6IBrXJ+ryy/WL9+tepMpqZQQVMoZASibdaZ&#10;nFfOmSyKrKxUK+wEjNJ0WQK2wlGIu6hA0RF620TTOF5EHWBhEKSylk43wyUfEfElgFCWtVQbkPtW&#10;aTegomqEI0q2qo3l69BtWSrpPpalVY41OSemLqxUhPZbv0brlch2KExVy7EF8ZIWnnFqRa2p6CPU&#10;RjjB9lj/A9XWEsFC6SYS2mggEhQhFkn8TJu7ShgVuJDU1jyKbv8frPxwuEVWFzmfThecadHSyH9/&#10;f/j18wfzJ6RPZ2xGaXfmFj1Da25AfrFMw1Ul9E5dIkJXKVFQV4nPj5488IGlp2zbvYeCwMXeQZCq&#10;L7H1gCQC63M+ixfzNKG53FMvi/OzZTpOR/WOSUpIlvFsGaecSZ+RzhezNJQT2RHJoHVvFbTMb3KO&#10;NP1QSRxurPOdieyY4gtruK6bJjig0U8OKHE4UcFC4+sjlUES12/7UZ0tFPfEEGGwF30u2lSA3zjr&#10;yFo5t1/3AhVnzTtNKp0n87n3Ygjm6XJKAZ7ebE9vhJYElXPpkLMhuHKDg/cG611FtZJAU8MlaVvW&#10;gapvduhrnAgZKCgwmt079DQOWX8/+P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A8/3Yh&#10;AgAAKAQAAA4AAAAAAAAAAQAgAAAAIgEAAGRycy9lMm9Eb2MueG1sUEsFBgAAAAAGAAYAWQEAALUF&#10;AAAAAA==&#10;">
                        <v:fill on="f" focussize="0,0"/>
                        <v:stroke on="f"/>
                        <v:imagedata o:title=""/>
                        <o:lock v:ext="edit" aspectratio="f"/>
                        <v:textbox>
                          <w:txbxContent>
                            <w:p w14:paraId="1CE781C2">
                              <w:pPr>
                                <w:jc w:val="center"/>
                                <w:rPr>
                                  <w:szCs w:val="21"/>
                                </w:rPr>
                              </w:pPr>
                              <w:r>
                                <w:rPr>
                                  <w:szCs w:val="21"/>
                                </w:rPr>
                                <w:t>注：G废气 S固废 N噪声</w:t>
                              </w:r>
                            </w:p>
                          </w:txbxContent>
                        </v:textbox>
                      </v:rect>
                      <v:shape id="_x0000_s1026" o:spid="_x0000_s1026" o:spt="32" type="#_x0000_t32" style="position:absolute;left:1480185;top:2418081;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5D3INJwIAABMEAAAOAAAAZHJzL2Uyb0RvYy54bWytU8Fy&#10;0zAQvTPDP2h0J7ZDw6SeOD0klEuBzLRwV2TZ1iBpNZISJz/BDzDDCXoCTr3zNVA+g5Uc2lIuPeCD&#10;RtLuvn3veTU72WlFtsJ5CaaixSinRBgOtTRtRd9cnD6ZUuIDMzVTYERF98LTk/njR7PelmIMHaha&#10;OIIgxpe9rWgXgi2zzPNOaOZHYIXBYANOs4BH12a1Yz2ia5WN8/xZ1oOrrQMuvMfb5RCkB0T3EEBo&#10;GsnFEvhGCxMGVCcUCyjJd9J6Ok9sm0bw8LppvAhEVRSVhrRiE9yv45rNZ6xsHbOd5AcK7CEU7mnS&#10;TBpsegO1ZIGRjZP/QGnJHXhowoiDzgYhyRFUUeT3vDnvmBVJC1rt7Y3p/v/B8lfblSOyruj4KXpi&#10;mMZffv3h6uf7z9ffvv74dPXr+8e4/3JJYgLa1VtfYtXCrFwUzHfm3J4Bf+eJgUXHTCsS7Yu9RaQi&#10;VmR/lcSDt9h03b+EGnPYJkDybtc4TRol7dtYGMHRH7LDw9E0L6YTSvZI86iY5tOEy0qxC4THBEp4&#10;jB2PizyRzFgZ0SKGdT68EKBJ3FTUB8dk24UFGIPTAW7oxLZnPkSutwWx2MCpVCoNiTKkr+jxZDxJ&#10;1DwoWcdgTPOuXS+UI1sWxyx9SThG7qY52Jg6gQUm1XNTk5BcCk6ib0rQ2EGLmhIl8G3G3UBJmdhF&#10;pHk+8Pxj4/BD1lDvVy4mx3uclaTkMNdxGO+eU9btW57/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5D3INJwIAABMEAAAOAAAAAAAAAAEAIAAAACYBAABkcnMvZTJvRG9jLnhtbFBLBQYAAAAA&#10;BgAGAFkBAAC/BQAAAAA=&#10;">
                        <v:fill on="f" focussize="0,0"/>
                        <v:stroke color="#000000" joinstyle="round" endarrow="block"/>
                        <v:imagedata o:title=""/>
                        <o:lock v:ext="edit" aspectratio="f"/>
                      </v:shape>
                      <v:rect id="_x0000_s1026" o:spid="_x0000_s1026" o:spt="1" style="position:absolute;left:1013460;top:907415;height:332105;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Bj6VYwQQIAAGMEAAAOAAAAZHJzL2Uyb0RvYy54bWytVM1u&#10;2zAMvg/YOwi6L7bz0zZBnKJI0GFAtxXo9gCKLMfCZFGjlDjdywzYbQ+xxxn2GqPkpE27Sw/zwRBF&#10;8iO/j7Tnl/vWsJ1Cr8GWvBjknCkrodJ2U/LPn67fXHDmg7CVMGBVye+V55eL16/mnZupITRgKoWM&#10;QKyfda7kTQhulmVeNqoVfgBOWXLWgK0IZOImq1B0hN6abJjnZ1kHWDkEqbyn21Xv5AdEfAkg1LWW&#10;agVy2yobelRURgSi5BvtPF+kbutayfCxrr0KzJScmIb0piJ0Xsd3tpiL2QaFa7Q8tCBe0sIzTq3Q&#10;loo+QK1EEGyL+h+oVksED3UYSGiznkhShFgU+TNt7hrhVOJCUnv3ILr/f7Dyw+4Wma5KPhwVnFnR&#10;0sj/fP/5+9cPFm9In875GYXduVuMDL27AfnFMwvLRtiNukKErlGioq5SfPYkIRqeUtm6ew8VgYtt&#10;gCTVvsY2ApIIbE+5eTEan9Fc7ks+zc/HxaQfjtoHJsk/nVwM6Y5J8o9GwyJP/kzMjjgOfXiroGXx&#10;UHKk2ac6YnfjA/Gg0GNILGvhWhuT5m8s60iAyTjPU4YHo6voTXxxs14aZDsRVyg9sTFCexKGsLVV&#10;f29szFNp+w6ljyr0aob9ek+h8XIN1T2Jg9BvJn2XdGgAv3HW0VaW3H/dClScmXeWBJ4W43Fc42SM&#10;J+dDMvDUsz71CCsJquQyIGe9sQz98m8d6k1DtYrE2MIVjaXWSafHvohmNGj3EuHDdxKX+9ROUY//&#10;h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GPpVjBBAgAAYwQAAA4AAAAAAAAAAQAgAAAA&#10;JgEAAGRycy9lMm9Eb2MueG1sUEsFBgAAAAAGAAYAWQEAANkFAAAAAA==&#10;">
                        <v:fill on="f" focussize="0,0"/>
                        <v:stroke weight="2pt" color="#000000" joinstyle="round"/>
                        <v:imagedata o:title=""/>
                        <o:lock v:ext="edit" aspectratio="f"/>
                        <v:textbox>
                          <w:txbxContent>
                            <w:p w14:paraId="2D450D4A">
                              <w:pPr>
                                <w:adjustRightInd w:val="0"/>
                                <w:snapToGrid w:val="0"/>
                                <w:jc w:val="center"/>
                                <w:rPr>
                                  <w:rFonts w:eastAsia="仿宋"/>
                                  <w:szCs w:val="21"/>
                                </w:rPr>
                              </w:pPr>
                              <w:r>
                                <w:rPr>
                                  <w:rFonts w:eastAsia="仿宋"/>
                                  <w:szCs w:val="21"/>
                                </w:rPr>
                                <w:t>布袋除尘器</w:t>
                              </w:r>
                            </w:p>
                          </w:txbxContent>
                        </v:textbox>
                      </v:rect>
                      <v:shape id="_x0000_s1026" o:spid="_x0000_s1026" o:spt="32" type="#_x0000_t32" style="position:absolute;left:3479165;top:1171575;height:6985;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w1fOkyUCAAAMBAAADgAAAGRycy9lMm9Eb2MueG1srVPN&#10;jtMwEL4j8Q6W7zRNS/+ipntoWS4LVNrlAVzHSSwcj2W7TfsSvAASJ+AEnPbO08DyGIyddoFy2QM5&#10;RDOemW/m+zyeX+wbRXbCOgk6p2mvT4nQHAqpq5y+vrl8MqXEeaYLpkCLnB6EoxeLx4/mrcnEAGpQ&#10;hbAEQbTLWpPT2nuTJYnjtWiY64ERGoMl2IZ5dG2VFJa1iN6oZNDvj5MWbGEscOEcnq66ID0i2ocA&#10;QllKLlbAt43QvkO1QjGPlFwtjaOLOG1ZCu5flaUTnqicIlMf/9gE7U34J4s5yyrLTC35cQT2kBHO&#10;ODVMamx6D7VinpGtlf9ANZJbcFD6Hocm6YhERZBF2j/T5rpmRkQuKLUz96K7/wfLX+7Wlsgip4Ph&#10;hBLNGrzyu3e3P95+vPv65fuH25/f3gf78ycSElCu1rgMq5Z6bQNhvtfX5gr4G0c0LGumKxHHvjkY&#10;REpDRfJXSXCcwaab9gUUmMO2HqJ2+9I2ARJVIfucDp9OZul4RMkBcdJJOpqMuusSe084JqTTyXCA&#10;cY4J49k0RhOWnWCMdf65gIYEI6fOWyar2i9Ba1wLsGlsynZXzochWXYqCDNouJRKxe1QmrQ5nY2w&#10;VYg4ULIIwejYarNUluxY2K/4RcZnaRa2uohgnkn1TBfER3m8lSiYEjR0aERBiRL4KIPVjaR06CLi&#10;Ih/nPOnX3cQGisPahuRwjksSmRwXOmzhn37M+v2IF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Jw7rtgAAAAFAQAADwAAAAAAAAABACAAAAAiAAAAZHJzL2Rvd25yZXYueG1sUEsBAhQAFAAAAAgA&#10;h07iQMNXzpMlAgAADAQAAA4AAAAAAAAAAQAgAAAAJwEAAGRycy9lMm9Eb2MueG1sUEsFBgAAAAAG&#10;AAYAWQEAAL4FAAAAAA==&#10;">
                        <v:fill on="f" focussize="0,0"/>
                        <v:stroke color="#000000" joinstyle="round" endarrow="block"/>
                        <v:imagedata o:title=""/>
                        <o:lock v:ext="edit" aspectratio="f"/>
                      </v:shape>
                      <v:shape id="_x0000_s1026" o:spid="_x0000_s1026" o:spt="32" type="#_x0000_t32" style="position:absolute;left:3470871;top:1701801;height:6350;width:187333;"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dJy8CSgCAAAMBAAADgAAAGRycy9lMm9Eb2MueG1srVOx&#10;chMxEO2Z4R806vHd2XFsbnxOYROaAJ5J+ABZ0vk06LQaSfbZP8EPMEMFqYAqPV8D4TNYyXYIoUnB&#10;FRpJu/v2vXerydm21WQjnVdgKlr0ckqk4SCUWVX07dX5szElPjAjmAYjK7qTnp5Nnz6ZdLaUfWhA&#10;C+kIghhfdraiTQi2zDLPG9ky3wMrDQZrcC0LeHSrTDjWIXqrs36en2YdOGEdcOk93s73QXpAdI8B&#10;hLpWXM6Br1tpwh7VSc0CSvKNsp5OE9u6ljy8qWsvA9EVRaUhrdgE98u4ZtMJK1eO2UbxAwX2GAoP&#10;NLVMGWx6BzVngZG1U/9AtYo78FCHHoc22wtJjqCKIn/gzWXDrExa0Gpv70z3/w+Wv94sHFGiov0T&#10;9MSwFn/57Yebn+8/3377+uPTza/vH+P+yzWJCWhXZ32JVTOzcFEw35pLewH8nScGZg0zK5loX+0s&#10;IhWxIvurJB68xabL7hUIzGHrAMm7be3aCImukG1FByejfDwqKNkhzigvxnlCY6XcBsIxoRiPBoMB&#10;JRwTTgfDxC5j5RHGOh9eSmhJ3FTUB8fUqgkzMAbHAlyRmrLNhQ+RJCuPBZGDgXOldZoObUhX0efD&#10;/jAVeNBKxGBM8261nGlHNizOV/qSYozcT3OwNiKBBab0CyNISPYEp9AwLWns0EpBiZb4KONuT0mb&#10;2EWmQT7wPPq3/xNLELuFi8nxHockKTkMdJzC++eU9ecRT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HScvAkoAgAADAQAAA4AAAAAAAAAAQAgAAAAJwEAAGRycy9lMm9Eb2MueG1sUEsFBgAA&#10;AAAGAAYAWQEAAMEFAAAAAA==&#10;">
                        <v:fill on="f" focussize="0,0"/>
                        <v:stroke color="#000000" joinstyle="round" endarrow="block"/>
                        <v:imagedata o:title=""/>
                        <o:lock v:ext="edit" aspectratio="f"/>
                      </v:shape>
                      <v:rect id="_x0000_s1026" o:spid="_x0000_s1026" o:spt="1" style="position:absolute;left:3593465;top:1031875;height:283845;width:70802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QDLHAhAgAAJwQAAA4AAABkcnMvZTJvRG9jLnhtbK1TQW7bMBC8&#10;F+gfCN5rSbacOILlIIiRokDaBkj7AJqiLKESl13SltzPFOgtj+hzin6jS0pOnfSSQy8El7uc3RkO&#10;l5d927C9QluDznkyiTlTWkJR623OP3+6ebPgzDqhC9GAVjk/KMsvV69fLTuTqSlU0BQKGYFom3Um&#10;55VzJosiKyvVCjsBozQlS8BWOApxGxUoOkJvm2gax2dRB1gYBKmspdP1kOQjIr4EEMqylmoNctcq&#10;7QZUVI1wRMlWtbF8FaYtSyXdx7K0yrEm58TUhZWa0H7j12i1FNkWhalqOY4gXjLCM06tqDU1fYRa&#10;CyfYDut/oNpaIlgo3URCGw1EgiLEIomfaXNfCaMCF5LamkfR7f+DlR/2d8jqIufTNOVMi5ae/Pf3&#10;h18/fzB/Qvp0xmZUdm/u0DO05hbkF8s0XFdCb9UVInSVEgVNlfj66MkFH1i6yjbdeygIXOwcBKn6&#10;ElsPSCKwPuez+cUsPZtzdiCceJYszufD66jeMUkF5/EinlJeUsF0MVukIR+J7Ahk0Lq3ClrmNzlH&#10;evzQSOxvrfODiexY4vtquKmbJhig0U8OqHA4UcFB4+0jk0ER12/6UZwNFAciiDC4i/4WbSrAb5x1&#10;5Kyc2687gYqz5p0mkS6SNPVWDEE6P59SgKeZzWlGaElQOZcOORuCazcYeGew3lbUKwk0NVyRtGUd&#10;qPphh7nGByH/BAVGr3uDnsah6u//Xv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LQDLHAh&#10;AgAAJwQAAA4AAAAAAAAAAQAgAAAAIgEAAGRycy9lMm9Eb2MueG1sUEsFBgAAAAAGAAYAWQEAALUF&#10;AAAAAA==&#10;">
                        <v:fill on="f" focussize="0,0"/>
                        <v:stroke on="f"/>
                        <v:imagedata o:title=""/>
                        <o:lock v:ext="edit" aspectratio="f"/>
                        <v:textbox>
                          <w:txbxContent>
                            <w:p w14:paraId="1FE4E304">
                              <w:pPr>
                                <w:adjustRightInd w:val="0"/>
                                <w:snapToGrid w:val="0"/>
                                <w:jc w:val="center"/>
                                <w:rPr>
                                  <w:szCs w:val="21"/>
                                </w:rPr>
                              </w:pPr>
                              <w:r>
                                <w:rPr>
                                  <w:szCs w:val="21"/>
                                </w:rPr>
                                <w:t>N、</w:t>
                              </w:r>
                              <w:r>
                                <w:rPr>
                                  <w:rFonts w:eastAsia="Arial Unicode MS"/>
                                  <w:sz w:val="18"/>
                                  <w:szCs w:val="18"/>
                                </w:rPr>
                                <w:t>G</w:t>
                              </w:r>
                            </w:p>
                            <w:p w14:paraId="47466349">
                              <w:pPr>
                                <w:adjustRightInd w:val="0"/>
                                <w:snapToGrid w:val="0"/>
                                <w:jc w:val="center"/>
                                <w:rPr>
                                  <w:szCs w:val="21"/>
                                </w:rPr>
                              </w:pPr>
                            </w:p>
                          </w:txbxContent>
                        </v:textbox>
                      </v:rect>
                      <v:rect id="_x0000_s1026" o:spid="_x0000_s1026" o:spt="1" style="position:absolute;left:0;top:919480;height:288290;width:84899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FGN04YAgAAIAQAAA4AAABkcnMvZTJvRG9jLnhtbK1TzY7TMBC+&#10;I/EOlu80TdRCEjVdrbZahLTASgsP4DpOE5F4zNhtUl4GiRsPsY+DeA3GTrp0l8seuFieH38z3zfj&#10;1cXQteyg0DagCx7P5pwpLaFs9K7gnz9dv0o5s07oUrSgVcGPyvKL9csXq97kKoEa2lIhIxBt894U&#10;vHbO5FFkZa06YWdglKZgBdgJRybuohJFT+hdGyXz+euoBywNglTWknczBvmEiM8BhKpqpNqA3HdK&#10;uxEVVSscUbJ1Yyxfh26rSkn3saqscqwtODF14aQidN/6M1qvRL5DYepGTi2I57TwhFMnGk1FH6A2&#10;wgm2x+YfqK6RCBYqN5PQRSORoAixiOdPtLmrhVGBC0ltzYPo9v/Byg+HW2RNWfBkmXCmRUcj//39&#10;56/7H8x7SJ/e2JzS7swteobW3ID8YpmGq1ronbpEhL5WoqSuYp8fPXrgDUtP2bZ/DyWBi72DINVQ&#10;YecBSQQ2hIkcC57F2SKdxqIGxyRF0kWaZUvOJMWTNE2yEI9EfkIwaN1bBR3zl4IjTT1UEIcb63xH&#10;Ij+l+IIarpu2DZNv9SMHJY4eFVZnen2iMErhhu0wqbKF8kjMEMa1ok9FlxrwG2c9rVTB7de9QMVZ&#10;+06TOlm8WPgdDMZi+SYhA88j2/OI0JKgCi4dcjYaV27c3L3BZldTrTjQ1HBJmlZNoOqbHfuaJkGL&#10;ExSYltxv5rkdsv5+7P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loNMAAAAFAQAADwAAAAAA&#10;AAABACAAAAAiAAAAZHJzL2Rvd25yZXYueG1sUEsBAhQAFAAAAAgAh07iQGFGN04YAgAAIAQAAA4A&#10;AAAAAAAAAQAgAAAAIgEAAGRycy9lMm9Eb2MueG1sUEsFBgAAAAAGAAYAWQEAAKwFAAAAAA==&#10;">
                        <v:fill on="f" focussize="0,0"/>
                        <v:stroke on="f"/>
                        <v:imagedata o:title=""/>
                        <o:lock v:ext="edit" aspectratio="f"/>
                        <v:textbox>
                          <w:txbxContent>
                            <w:p w14:paraId="7509DEC9">
                              <w:pPr>
                                <w:adjustRightInd w:val="0"/>
                                <w:snapToGrid w:val="0"/>
                                <w:jc w:val="center"/>
                                <w:rPr>
                                  <w:szCs w:val="21"/>
                                </w:rPr>
                              </w:pPr>
                              <w:r>
                                <w:rPr>
                                  <w:szCs w:val="21"/>
                                </w:rPr>
                                <w:t>G、S、N</w:t>
                              </w:r>
                            </w:p>
                          </w:txbxContent>
                        </v:textbox>
                      </v:rect>
                      <v:rect id="_x0000_s1026" o:spid="_x0000_s1026" o:spt="1" style="position:absolute;left:3658870;top:2124075;height:295910;width:58737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aNP/AhAgAAKQQAAA4AAABkcnMvZTJvRG9jLnhtbK1TS27bMBDd&#10;F+gdCO5rWY6/guUgiJGiQNoGSHsAmqIsohKHHdKW3csU6C6H6HGKXqNDSk6ddJNFNwJnOHwz783T&#10;8vLQ1Gyv0GkwOU8HQ86UkVBos8355083b+acOS9MIWowKudH5fjl6vWrZWszNYIK6kIhIxDjstbm&#10;vPLeZkniZKUa4QZglaHLErARnkLcJgWKltCbOhkNh9OkBSwsglTOUXbdXfIeEV8CCGWppVqD3DXK&#10;+A4VVS08UXKVto6v4rRlqaT/WJZOeVbnnJj6+KUmdN6Eb7JaimyLwlZa9iOIl4zwjFMjtKGmj1Br&#10;4QXbof4HqtESwUHpBxKapCMSFSEW6fCZNveVsCpyIamdfRTd/T9Y+WF/h0wXOb9IpzPOjGho57+/&#10;P/z6+YPFFCnUWpdR4b29w8DR2VuQXxwzcF0Js1VXiNBWShQ0VxoUTZ48CIGjp2zTvoeC0MXOQxTr&#10;UGITAEkGdqAJppP5fEabOeZ8lI7Gw9mk2486eCapYDKfXVCOyVCwmCzSuL9EZCcgi86/VdCwcMg5&#10;0vpjI7G/dT4MJrJTSehr4EbXdbRAbZ4kqLDLqOih/vWJSaeIP2wOvTgbKI5EEKHzF/1ddKgAv3HW&#10;krdy7r7uBCrO6neGRFqk43EwYwzGk9mIAjy/2ZzfCCMJKufSI2ddcO07C+8s6m1FvdJI08AVSVvq&#10;SDUM283VL4QcFBXo3R4seh7Hqr9/+O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GaNP/Ah&#10;AgAAKQQAAA4AAAAAAAAAAQAgAAAAIgEAAGRycy9lMm9Eb2MueG1sUEsFBgAAAAAGAAYAWQEAALUF&#10;AAAAAA==&#10;">
                        <v:fill on="f" focussize="0,0"/>
                        <v:stroke on="f"/>
                        <v:imagedata o:title=""/>
                        <o:lock v:ext="edit" aspectratio="f"/>
                        <v:textbox>
                          <w:txbxContent>
                            <w:p w14:paraId="4E413A1F">
                              <w:pPr>
                                <w:adjustRightInd w:val="0"/>
                                <w:snapToGrid w:val="0"/>
                                <w:rPr>
                                  <w:szCs w:val="21"/>
                                </w:rPr>
                              </w:pPr>
                              <w:r>
                                <w:rPr>
                                  <w:szCs w:val="21"/>
                                </w:rPr>
                                <w:t>N</w:t>
                              </w:r>
                              <w:r>
                                <w:rPr>
                                  <w:rFonts w:hint="eastAsia"/>
                                  <w:szCs w:val="21"/>
                                </w:rPr>
                                <w:t>、G</w:t>
                              </w:r>
                            </w:p>
                          </w:txbxContent>
                        </v:textbox>
                      </v:rect>
                      <v:rect id="_x0000_s1026" o:spid="_x0000_s1026" o:spt="1" style="position:absolute;left:220980;top:2127885;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AvIZ3ceAgAAJAQAAA4AAABkcnMvZTJvRG9jLnhtbK1TzY7TMBC+&#10;I/EOlu80P23ZNmq6Wm21CGmBlRYewHWcxiLxmLHbpLwMEjcegsdBvAYTJ126y2UPXCzPj7+Z75vx&#10;6rJranZQ6DSYnCeTmDNlJBTa7HL+6ePNqwVnzgtTiBqMyvlROX65fvli1dpMpVBBXShkBGJc1tqc&#10;V97bLIqcrFQj3ASsMhQsARvhycRdVKBoCb2pozSOX0ctYGERpHKOvJshyEdEfA4glKWWagNy3yjj&#10;B1RUtfBEyVXaOr4O3Zalkv5DWTrlWZ1zYurDSUXovu3PaL0S2Q6FrbQcWxDPaeEJp0ZoQ0UfoDbC&#10;C7ZH/Q9UoyWCg9JPJDTRQCQoQiyS+Ik295WwKnAhqZ19EN39P1j5/nCHTBc5n884M6Khif/+9uPX&#10;z++MHKROa11GSff2Dnt+zt6C/OyYgetKmJ26QoS2UqKgnpI+P3r0oDccPWXb9h0UhC32HoJQXYlN&#10;D0gSsC7naRovFzSUI12T9GKxmA+jUZ1nkuLz5TReUlxSwjSZTdMQj0R2wrHo/BsFDesvOUeafKgj&#10;DrfO932J7JTSlzVwo+s6TL82jxyUOHhUWJ/x9YnIIIjvtt2ozRaKI/FDGFaLPhZdKsCvnLW0Vjl3&#10;X/YCFWf1W0MaLZPZrN/DYMzmFykZeB7ZnkeEkQSVc+mRs8G49sP27i3qXUW1kkDTwBUpW+pAtW92&#10;6GucBy1PUGBc9H47z+2Q9fdz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w+loNMAAAAFAQAA&#10;DwAAAAAAAAABACAAAAAiAAAAZHJzL2Rvd25yZXYueG1sUEsBAhQAFAAAAAgAh07iQAvIZ3ceAgAA&#10;JAQAAA4AAAAAAAAAAQAgAAAAIgEAAGRycy9lMm9Eb2MueG1sUEsFBgAAAAAGAAYAWQEAALIFAAAA&#10;AA==&#10;">
                        <v:fill on="f" focussize="0,0"/>
                        <v:stroke on="f"/>
                        <v:imagedata o:title=""/>
                        <o:lock v:ext="edit" aspectratio="f"/>
                        <v:textbox>
                          <w:txbxContent>
                            <w:p w14:paraId="6BA07300">
                              <w:pPr>
                                <w:jc w:val="center"/>
                                <w:rPr>
                                  <w:szCs w:val="21"/>
                                </w:rPr>
                              </w:pPr>
                              <w:r>
                                <w:rPr>
                                  <w:szCs w:val="21"/>
                                </w:rPr>
                                <w:t>S、N</w:t>
                              </w:r>
                            </w:p>
                          </w:txbxContent>
                        </v:textbox>
                      </v:rect>
                      <v:rect id="_x0000_s1026" o:spid="_x0000_s1026" o:spt="1" style="position:absolute;left:3658204;top:1538605;height:290830;width:708057;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cUtlghAgAAJQQAAA4AAABkcnMvZTJvRG9jLnhtbK1TS27bMBDd&#10;F+gdCO5ryR/ZjmA5CGKkKJC2AdIegKYoi6jEYYe0JfcyBbrLIXqcotfoiJJTJ91k0Q3B+fDNvDfD&#10;1WVbV+yg0GkwGR+PYs6UkZBrs8v45083b5acOS9MLiowKuNH5fjl+vWrVWNTNYESqlwhIxDj0sZm&#10;vPTeplHkZKlq4UZglaFgAVgLTybuohxFQ+h1FU3ieB41gLlFkMo58m76IB8Q8SWAUBRaqg3Ifa2M&#10;71FRVcITJVdq6/g6dFsUSvqPReGUZ1XGiakPJxWh+7Y7o/VKpDsUttRyaEG8pIVnnGqhDRV9hNoI&#10;L9ge9T9QtZYIDgo/klBHPZGgCLEYx8+0uS+FVYELSe3so+ju/8HKD4c7ZDrPeJJwZkRNE//9/eHX&#10;zx+MHKROY11KSff2Djt+zt6C/OKYgetSmJ26QoSmVCKnnsZdfvTkQWc4esq2zXvICVvsPQSh2gLr&#10;DpAkYG3Gp/NkOYlnnB0JJ5ku53GoLlLVeiYpYREv42TBmaSEyUW8nIbZRSI9AVl0/q2CmnWXjCON&#10;PhQSh1vnu8ZEekrp6hq40VUVxl+ZJw5K7D0q7M/w+sSkV8S323YQZwv5kQgi9LtFP4suJeA3zhra&#10;q4y7r3uBirPqnSGRLsazWbeIwZgliwkZeB7ZnkeEkQSVcemRs9649v367i3qXUm1xoGmgSuSttCB&#10;atds39cwENqeoMCw6d16ntsh6+/vXv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cUtlgh&#10;AgAAJQQAAA4AAAAAAAAAAQAgAAAAIgEAAGRycy9lMm9Eb2MueG1sUEsFBgAAAAAGAAYAWQEAALUF&#10;AAAAAA==&#10;">
                        <v:fill on="f" focussize="0,0"/>
                        <v:stroke on="f"/>
                        <v:imagedata o:title=""/>
                        <o:lock v:ext="edit" aspectratio="f"/>
                        <v:textbox>
                          <w:txbxContent>
                            <w:p w14:paraId="6680BFD1">
                              <w:pPr>
                                <w:adjustRightInd w:val="0"/>
                                <w:snapToGrid w:val="0"/>
                                <w:rPr>
                                  <w:szCs w:val="21"/>
                                </w:rPr>
                              </w:pPr>
                              <w:r>
                                <w:rPr>
                                  <w:szCs w:val="21"/>
                                </w:rPr>
                                <w:t>N、G</w:t>
                              </w:r>
                            </w:p>
                          </w:txbxContent>
                        </v:textbox>
                      </v:rect>
                      <v:shape id="_x0000_s1026" o:spid="_x0000_s1026" o:spt="32" type="#_x0000_t32" style="position:absolute;left:3471545;top:2272665;height:6350;width:18669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VW0jWCgCAAAKBAAADgAAAGRycy9lMm9Eb2MueG1srVPB&#10;ctMwEL0zwz9odCeO09ptPXF6SCiXAplp+QBFlm0NslYjKXHyE/wAM5yAE3Dqna+B8hms5KSUcukB&#10;Hzwr7e7bfW9X0/Ntp8hGWCdBlzQdjSkRmkMldVPSN9cXz04pcZ7piinQoqQ74ej57OmTaW8KMYEW&#10;VCUsQRDtit6UtPXeFEnieCs65kZghEZnDbZjHo+2SSrLekTvVDIZj/OkB1sZC1w4h7eLwUn3iPYx&#10;gFDXkosF8HUntB9QrVDMIyXXSuPoLHZb14L713XthCeqpMjUxz8WQXsV/slsyorGMtNKvm+BPaaF&#10;B5w6JjUWvYNaMM/I2sp/oDrJLTio/YhDlwxEoiLIIh0/0OaqZUZELii1M3eiu/8Hy19tlpbIqqRZ&#10;TolmHU789v3Nz3efbr99/fHx5tf3D8H+8pmgH8XqjSswZ66XNtDlW31lLoG/dUTDvGW6EbHp651B&#10;oDRkJH+lhIMzWHLVv4QKY9jaQ1RuW9suQKImZFvSo+OTNDvOKNmVdDI5meR5NgxLbD3hGJCe5vkZ&#10;jpFjQH6UxVEmrDjAGOv8CwEdCUZJnbdMNq2fg9a4FGDTWJRtLp0PTbLikBB60HAhlYq7oTTpS3qW&#10;TbKY4EDJKjhDmLPNaq4s2bCwXfGLjNFzP8zCWlcRzDOpnuuK+CiPtxIFU4KGCp2oKFECn2SwhpaU&#10;DlVEXON9nwf9hkmsoNotbQgO97gikcl+ncMO3j/HqD9PePY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FVtI1goAgAACgQAAA4AAAAAAAAAAQAgAAAAJwEAAGRycy9lMm9Eb2MueG1sUEsFBgAA&#10;AAAGAAYAWQEAAMEFAAAAAA==&#10;">
                        <v:fill on="f" focussize="0,0"/>
                        <v:stroke color="#000000" joinstyle="round" endarrow="block"/>
                        <v:imagedata o:title=""/>
                        <o:lock v:ext="edit" aspectratio="f"/>
                      </v:shape>
                      <v:shape id="_x0000_s1026" o:spid="_x0000_s1026" o:spt="32" type="#_x0000_t32" style="position:absolute;left:814070;top:2294891;flip:x;height:1;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DcKEYzKQIAABAEAAAOAAAAZHJzL2Uyb0RvYy54bWytU8Fy&#10;0zAQvTPDP2h0J7YzTZt44vSQUDgUyEzLByiSHGuQtRpJiZOf4AeY4QQ9Aafe+Roon8FKDm0plx7w&#10;wSNpd9++97Sanu5aTbbSeQWmosUgp0QaDkKZdUXfXp49G1PiAzOCaTCyonvp6ens6ZNpZ0s5hAa0&#10;kI4giPFlZyvahGDLLPO8kS3zA7DSYLAG17KAW7fOhGMdorc6G+b5cdaBE9YBl97j6aIP0gOiewwg&#10;1LXicgF800oTelQnNQsoyTfKejpLbOta8vCmrr0MRFcUlYb0xya4XsV/Npuycu2YbRQ/UGCPofBA&#10;U8uUwaa3UAsWGNk49Q9Uq7gDD3UYcGizXkhyBFUU+QNvLhpmZdKCVnt7a7r/f7D89XbpiBIVHZ1Q&#10;YliLN37z4frn+883377++HT96/vHuP5yRTCOZnXWl1gzN0sX5fKdubDnwN95YmDeMLOWifTl3iJQ&#10;ESuyv0rixltsuepegcActgmQnNvVriW1VvZlLIzg6A7ZVXRcHOUneF/7ig6Hk6PxJMGyUu4C4Rgv&#10;jvO8mFDCMaHvyMoIFiGs8+GFhJbERUV9cEytmzAHY3A0wPWN2Pbch0j1riAWGzhTWqcJ0YZ0FZ2M&#10;hqPEzINWIgZjmnfr1Vw7smVxxtKXdGPkfpqDjREJLDClnxtBQjIpOIW2aUljh1YKSrTEhxlXPSVt&#10;YheZhvnA84+L/X2sQOyXLibHcxyUpOQw1HES7+9T1t1Dnv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AAT0NcAAAAFAQAADwAAAAAAAAABACAAAAAiAAAAZHJzL2Rvd25yZXYueG1sUEsBAhQAFAAA&#10;AAgAh07iQNwoRjMpAgAAEAQAAA4AAAAAAAAAAQAgAAAAJgEAAGRycy9lMm9Eb2MueG1sUEsFBgAA&#10;AAAGAAYAWQEAAMEFAAAAAA==&#10;">
                        <v:fill on="f" focussize="0,0"/>
                        <v:stroke color="#000000" joinstyle="round" endarrow="block"/>
                        <v:imagedata o:title=""/>
                        <o:lock v:ext="edit" aspectratio="f"/>
                      </v:shape>
                      <v:shape id="_x0000_s1026" o:spid="_x0000_s1026" o:spt="32" type="#_x0000_t32" style="position:absolute;left:838200;top:1071245;flip:x;height:1;width:159384;"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7ybYUJwIAABAEAAAOAAAAZHJzL2Uyb0RvYy54bWytU81u&#10;EzEQviPxDpbvZPPTQLrKpoeEwqFApJYHcGxv1sL2WLaTTV6CF0DiRDkBp955GiiPwdgbWlouPbCH&#10;1dgz880334ynJzujyVb6oMBWdNDrUyItB6HsuqJvL06fTCgJkVnBNFhZ0b0M9GT2+NG0daUcQgNa&#10;SE8QxIaydRVtYnRlUQTeSMNCD5y06KzBGxbx6NeF8KxFdKOLYb//tGjBC+eByxDwdtE56QHRPwQQ&#10;6lpxuQC+MdLGDtVLzSK2FBrlAp1ltnUteXxT10FGoiuKncb8xyJor9K/mE1ZufbMNYofKLCHULjX&#10;k2HKYtEbqAWLjGy8+gfKKO4hQB17HEzRNZIVwS4G/XvanDfMydwLSh3cjejh/8Hy19ulJ0pUdIRz&#10;t8zgxK8/XP18f3n97euPT1e/vn9M9pfPBP0oVutCiTlzu/SpXb6z5+4M+LtALMwbZtcyk77YOwQa&#10;pIziTko6BIclV+0rEBjDNhGycrvaG1Jr5V6mxASO6pBdRSejCe4NJXu87z8bDI/G3dTkLhKO/sH4&#10;eDQ5ooSngFyRlQksQTgf4gsJhiSjoiF6ptZNnIO1uBrgu0JsexZionqbkJItnCqt84ZoS9qKHo+H&#10;48wsgFYiOVNY8OvVXHuyZWnH8ndgcSfMw8aKDBaZ0s+tIDGLFL1C2bSkqYKRghIt8WEmq6Okbaoi&#10;8zIfeP5RsZvHCsR+6VNwusdFyZ0cljpt4t/nHHX7kG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B7ybYU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2487296;top:0;height:276225;width:84518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CqKzvm4AQAAYwMAAA4AAABkcnMvZTJvRG9jLnhtbK1TS27bMBDd&#10;F+gdCO5r2ULsuILlLGqkm6INkOYANEVaBPjDDG3JpynQXQ/R4xS9RoeS6rTJJotspPlQb957Q21u&#10;emfZSQGa4Gu+mM05U16GxvhDzR++3r5bc4ZJ+EbY4FXNzwr5zfbtm00XK1WGNthGASMQj1UXa96m&#10;FKuiQNkqJ3AWovLU1AGcSJTCoWhAdITubFHO56uiC9BECFIhUnU3NvmECC8BDFobqXZBHp3yaUQF&#10;ZUUiSdiaiHw7sNVayfRFa1SJ2ZqT0jQ8aQjF+/wsthtRHUDE1siJgngJhSeanDCehl6gdiIJdgTz&#10;DMoZCQGDTjMZXDEKGRwhFYv5E2/uWxHVoIWsxngxHV8PVn4+3QEzTc2XtHcvHG3897cfv35+Z1Qg&#10;d7qIFR26j3cwZUhhltprcPlNIlhf8/JqfV2+X3F2vviq+sQktdZXy8V6yZmkVnm9KstlRi4eISJg&#10;+qiCYzmoOdDaBjfF6ROm8ejfI3miD7fGWqqLyvr/CoSZK0VmPfLMUer3/UR+H5ozCRZetoGugUzA&#10;p+RDGq/FMYI5tMRiMZDM35P3A93pnuTl/psP8x7/je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w+loNMAAAAFAQAADwAAAAAAAAABACAAAAAiAAAAZHJzL2Rvd25yZXYueG1sUEsBAhQAFAAAAAgA&#10;h07iQCqKzvm4AQAAYwMAAA4AAAAAAAAAAQAgAAAAIgEAAGRycy9lMm9Eb2MueG1sUEsFBgAAAAAG&#10;AAYAWQEAAEwFAAAAAA==&#10;">
                        <v:fill on="f" focussize="0,0"/>
                        <v:stroke on="f"/>
                        <v:imagedata o:title=""/>
                        <o:lock v:ext="edit" aspectratio="f"/>
                        <v:textbox>
                          <w:txbxContent>
                            <w:p w14:paraId="267B840D">
                              <w:pPr>
                                <w:pStyle w:val="29"/>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v:textbox>
                      </v:rect>
                      <v:shape id="_x0000_s1026" o:spid="_x0000_s1026" o:spt="32" type="#_x0000_t32" style="position:absolute;left:2905761;top:233680;height:183515;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4k1c1xUCAAAGBAAADgAAAGRycy9lMm9Eb2MueG1srVPN&#10;jtMwEL4j8Q6W7zRNq5Q2arqHluWCoBLsA7i2k1jyn2y3aV+CF0DiBJyA0955GnZ5DMZO2MIipD2Q&#10;gzP2zHwz3+fx8uKoJDpw54XRFc5HY4y4poYJ3VT46s3lkzlGPhDNiDSaV/jEPb5YPX607GzJJ6Y1&#10;knGHAET7srMVbkOwZZZ52nJF/MhYrsFZG6dIgK1rMuZIB+hKZpPxeJZ1xjHrDOXew+mmd+IB0T0E&#10;0NS1oHxj6F5xHXpUxyUJQMm3wnq8St3WNafhVV17HpCsMDANaYUiYO/imq2WpGwcsa2gQwvkIS3c&#10;46SI0FD0DmpDAkF7J/6CUoI6400dRtSorCeSFAEW+fieNq9bYnniAlJ7eye6/3+w9OVh65BgFS4W&#10;GGmi4MZv313fvP14+/XL9w/XP769j/bnTwj8IFZnfQk5a711w87brYvMj7VT8Q+c0LHCk8W4eDrL&#10;MTqBPZ3O5oPW/BgQBT9cAAVXPp8WeRGRszOEdT4850ahaFTYB0dE04a10Rou1Lg8SU0OL3zoE38l&#10;xPpSo67Ci2JSQAUCA1rDYICpLJD0ukm53kjBLoWUMcO7ZreWDh1IHJL0DQ39ERaLbIhv+7jkimGk&#10;dGavWbJaTtgzzVA4WdBRw/vBsRnFGUaSw3OLVooMRMhzZHCC6Eb+IxqUkRoEitr3akdrZ9gpXUI6&#10;h/FIEg6jHOfv933KPj/f1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MnDuu2AAAAAUBAAAPAAAA&#10;AAAAAAEAIAAAACIAAABkcnMvZG93bnJldi54bWxQSwECFAAUAAAACACHTuJA4k1c1xUCAAAGBAAA&#10;DgAAAAAAAAABACAAAAAnAQAAZHJzL2Uyb0RvYy54bWxQSwUGAAAAAAYABgBZAQAArgUAAAAA&#10;">
                        <v:fill on="f" focussize="0,0"/>
                        <v:stroke color="#000000" joinstyle="round" endarrow="block"/>
                        <v:imagedata o:title=""/>
                        <o:lock v:ext="edit" aspectratio="f"/>
                      </v:shape>
                      <v:rect id="_x0000_s1026" o:spid="_x0000_s1026" o:spt="1" style="position:absolute;left:3635375;top:384810;height:379095;width:74676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uh8SQcAgAAJAQAAA4AAABkcnMvZTJvRG9jLnhtbK1TS27bMBDd&#10;F+gdCO5rWfFfsBwEMVIUSNsAaQ9AU5RFVOKwQ9qye5kC3eUQPU7Ra3RIyamTbrLohuB8+Gbem+Hy&#10;8tDUbK/QaTA5TwdDzpSRUGizzfnnTzdv5pw5L0whajAq50fl+OXq9atlazN1ARXUhUJGIMZlrc15&#10;5b3NksTJSjXCDcAqQ8ESsBGeTNwmBYqW0Js6uRgOp0kLWFgEqZwj77oL8h4RXwIIZamlWoPcNcr4&#10;DhVVLTxRcpW2jq9it2WppP9Ylk55VuecmPp4UhG6b8KZrJYi26KwlZZ9C+IlLTzj1AhtqOgj1Fp4&#10;wXao/4FqtERwUPqBhCbpiERFiEU6fKbNfSWsilxIamcfRXf/D1Z+2N8h00XOpySJEQ1N/Pf3h18/&#10;fzBykDqtdRkl3ds7DPycvQX5xTED15UwW3WFCG2lREE9pSE/efIgGI6esk37HgrCFjsPUahDiU0A&#10;JAnYIeej6Wgymk04O9J9Pp6n/WjUwTNJ8dl4OgsdyhCfLYaLSSwmshOOReffKmhYuOQcafKxjtjf&#10;Oh/6EtkpJZQ1cKPrOk6/Nk8clNh5VFyf/vWJSCeIP2wOvTYbKI7ED6FbLfpYdKkAv3HW0lrl3H3d&#10;CVSc1e8MabRIx+Owh9EYT2YXZOB5ZHMeEUYSVM6lR84649p327uzqLcV1UojTQNXpGypI9XQbNdX&#10;Pw9anqhAv+hhO8/tmPX3c6/+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PpaDTAAAABQEAAA8A&#10;AAAAAAAAAQAgAAAAIgAAAGRycy9kb3ducmV2LnhtbFBLAQIUABQAAAAIAIdO4kC7ofEkHAIAACQE&#10;AAAOAAAAAAAAAAEAIAAAACIBAABkcnMvZTJvRG9jLnhtbFBLBQYAAAAABgAGAFkBAACwBQAAAAA=&#10;">
                        <v:fill on="f" focussize="0,0"/>
                        <v:stroke on="f"/>
                        <v:imagedata o:title=""/>
                        <o:lock v:ext="edit" aspectratio="f"/>
                        <v:textbox>
                          <w:txbxContent>
                            <w:p w14:paraId="174D641D">
                              <w:pPr>
                                <w:pStyle w:val="29"/>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v:textbox>
                      </v:rect>
                      <v:shape id="_x0000_s1026" o:spid="_x0000_s1026" o:spt="32" type="#_x0000_t32" style="position:absolute;left:3467735;top:586740;height:6350;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k3UtqCMCAAAJBAAADgAAAGRycy9lMm9Eb2MueG1srVNL&#10;chMxEN1TxR1U2pPxJ/4w5XEWNmETwFUJB5AljUeFpFZJsse+BBegihVkBayy5zQQjkFLtgMJmyyY&#10;xVS3Xvfr7qfW5GxrNNlIHxTYinZPOpRIy0Eou6ro26vzZ2NKQmRWMA1WVnQnAz2bPn0yaV0pe9CA&#10;FtITJLGhbF1FmxhdWRSBN9KwcAJOWgRr8IZFdP2qEJ61yG500et0hkULXjgPXIaAp/M9SA+M/jGE&#10;UNeKyznwtZE27lm91CziSKFRLtBp7rauJY9v6jrISHRFcdKY/1gE7WX6F9MJK1eeuUbxQwvsMS08&#10;mMkwZbHoHdWcRUbWXv1DZRT3EKCOJxxMsR8kK4JTdDsPtLlsmJN5FpQ6uDvRw/+j5a83C0+UqOiw&#10;S4llBm/89sPNz/efb799/fHp5tf3j8n+ck0QR7FaF0rMmdmFT+Pyrb10F8DfBWJh1jC7krnpq51D&#10;opxR3EtJTnBYctm+AoExbB0hK7etvUmUqAnZVrR/OhyN+gNKdhUdjIej08NdyW0kHPHueNTvIcwR&#10;H/YHGS1YeWRxPsSXEgxJRkVD9EytmjgDa3EnwHdzTba5CBGnwsRjQmrBwrnSOq+GtqSt6PMBlkpI&#10;AK1EArPjV8uZ9mTD0nLlL0mEZPfCPKytyGSRKf3CChKzOtEr1EtLmioYKSjREl9ksvYs2qYqMm/x&#10;oc+jfPuLWILYLXwKTue4Ibn4YZvTCv7t56g/L3j6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yc&#10;O67YAAAABQEAAA8AAAAAAAAAAQAgAAAAIgAAAGRycy9kb3ducmV2LnhtbFBLAQIUABQAAAAIAIdO&#10;4kCTdS2oIwIAAAkEAAAOAAAAAAAAAAEAIAAAACcBAABkcnMvZTJvRG9jLnhtbFBLBQYAAAAABgAG&#10;AFkBAAC8BQAAAAA=&#10;">
                        <v:fill on="f" focussize="0,0"/>
                        <v:stroke color="#000000" joinstyle="round" endarrow="block"/>
                        <v:imagedata o:title=""/>
                        <o:lock v:ext="edit" aspectratio="f"/>
                      </v:shape>
                      <v:rect id="_x0000_s1026" o:spid="_x0000_s1026" o:spt="1" style="position:absolute;left:1013460;top:1543050;height:3035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ps5bVQQIAAGIEAAAOAAAAZHJzL2Uyb0RvYy54bWytVMFu&#10;2zAMvQ/YPwi6L7aTuGuNOkXRoMOAbivQ7QMUWY6FyaJGKXG6nxmw2z5inzPsN0bJSZt1lx7mgyGK&#10;5CPfI+3zi11v2Fah12BrXkxyzpSV0Gi7rvmnj9evTjnzQdhGGLCq5vfK84vFyxfng6vUFDowjUJG&#10;INZXg6t5F4KrsszLTvXCT8ApS84WsBeBTFxnDYqB0HuTTfP8JBsAG4cglfd0uxydfI+IzwGEttVS&#10;LUFuemXDiIrKiECUfKed54vUbdsqGT60rVeBmZoT05DeVITOq/jOFueiWqNwnZb7FsRzWnjCqRfa&#10;UtEHqKUIgm1Q/wPVa4ngoQ0TCX02EkmKEIsif6LNXSecSlxIau8eRPf/D1a+394i003NT6acWdHT&#10;xH9/+/Hr53dGF6TO4HxFQXfuFiM/725AfvbMwlUn7FpdIsLQKdFQT0WMz/5KiIanVLYa3kFD2GIT&#10;IAm1a7GPgCQB21FuXszmJzSVezqX81le7mejdoFJCjgrT6dFyZmkgFk+K2fJn4nqAOTQhzcKehYP&#10;NUcafSoktjc+xMZEdQiJdS1ca2PS+I1lQ82n5TzPU4YHo5voTYRxvboyyLYiblB6Ek2S4jgMYWOb&#10;sYqxMU+l5duXPsgwyhl2qx2FxssVNPekDsK4mPRZ0qED/MrZQEtZc/9lI1BxZt5aUvismM/jFidj&#10;Xr6ekoHHntWxR1hJUDWXATkbjasw7v7GoV53VKtIjC1c0lxanXR67Gs/TVq9JN/+M4m7fWynqMd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OmzltVBAgAAYgQAAA4AAAAAAAAAAQAgAAAA&#10;JgEAAGRycy9lMm9Eb2MueG1sUEsFBgAAAAAGAAYAWQEAANkFAAAAAA==&#10;">
                        <v:fill on="f" focussize="0,0"/>
                        <v:stroke weight="2pt" color="#000000" joinstyle="round"/>
                        <v:imagedata o:title=""/>
                        <o:lock v:ext="edit" aspectratio="f"/>
                        <v:textbox>
                          <w:txbxContent>
                            <w:p w14:paraId="01959748">
                              <w:pPr>
                                <w:adjustRightInd w:val="0"/>
                                <w:snapToGrid w:val="0"/>
                                <w:jc w:val="center"/>
                                <w:rPr>
                                  <w:rFonts w:eastAsia="仿宋"/>
                                  <w:szCs w:val="21"/>
                                </w:rPr>
                              </w:pPr>
                              <w:r>
                                <w:rPr>
                                  <w:rFonts w:hint="eastAsia" w:eastAsia="仿宋"/>
                                  <w:szCs w:val="21"/>
                                </w:rPr>
                                <w:t>换热器</w:t>
                              </w:r>
                            </w:p>
                          </w:txbxContent>
                        </v:textbox>
                      </v:rect>
                      <v:shape id="_x0000_s1026" o:spid="_x0000_s1026" o:spt="32" type="#_x0000_t32" style="position:absolute;left:1505585;top:1245870;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CqdYEJgIAABEEAAAOAAAAZHJzL2Uyb0RvYy54bWytU8Fy&#10;0zAQvTPDP2h0J3YMLqknTg8J5VIgMy3cFUmONchajaTEyU/wA8xwAk7AqXe+BspnsJJDW8qlB3zw&#10;7Gp33+57Wk1Pdp0mW+m8AlPT8SinRBoOQpl1TV9fnD6aUOIDM4JpMLKme+npyezhg2lvK1lAC1pI&#10;RxDE+Kq3NW1DsFWWed7KjvkRWGkw2IDrWEDXrTPhWI/onc6KPD/KenDCOuDSezxdDEF6QHT3AYSm&#10;UVwugG86acKA6qRmASn5VllPZ2nappE8vGoaLwPRNUWmIf2xCdqr+M9mU1atHbOt4ocR2H1GuMOp&#10;Y8pg02uoBQuMbJz6B6pT3IGHJow4dNlAJCmCLMb5HW3OW2Zl4oJSe3stuv9/sPzldumIEjU9ekyJ&#10;YR3e+NX7y5/vPl19+/rj4+Wv7x+i/eUzwTiK1VtfYc3cLF2ky3fm3J4Bf+uJgXnLzFqmoS/2FoHG&#10;sSL7qyQ63mLLVf8CBOawTYCk3K5xHWm0sm9iYQRHdcgOnTIvy0lJyR7t4kk5eXq4NrkLhMcESjjG&#10;iuNinKdQxqqIFjGs8+G5hI5Eo6Y+OKbWbZiDMbgb4IZObHvmQ5z1piAWGzhVWqcV0Yb0NT0uizKN&#10;5kErEYMxzbv1aq4d2bK4ZOlLxDFyO83BxogEFpjSz4wgIakUnELdtKSxQycFJVriy4zWMJI2sYtM&#10;23yY84+Mw4WsQOyXLibHc9yUxOSw1XEVb/sp6+Ylz3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AAT0NcAAAAFAQAADwAAAAAAAAABACAAAAAiAAAAZHJzL2Rvd25yZXYueG1sUEsBAhQAFAAAAAgA&#10;h07iQEKp1gQmAgAAEQQAAA4AAAAAAAAAAQAgAAAAJgEAAGRycy9lMm9Eb2MueG1sUEsFBgAAAAAG&#10;AAYAWQEAAL4FAAAAAA==&#10;">
                        <v:fill on="f" focussize="0,0"/>
                        <v:stroke color="#000000" joinstyle="round" endarrow="block"/>
                        <v:imagedata o:title=""/>
                        <o:lock v:ext="edit" aspectratio="f"/>
                      </v:shape>
                      <v:shape id="_x0000_s1026" o:spid="_x0000_s1026" o:spt="32" type="#_x0000_t32" style="position:absolute;left:1487170;top:1835151;flip:y;height:292100;width:0;"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wFyesJwIAABEEAAAOAAAAZHJzL2Uyb0RvYy54bWytU7Fy&#10;EzEQ7ZnhHzTq8flMnDg3PqewCU2AzCTQy5LOp0HSaiTZZ/8EP8AMFVABVXq+BsJnsNKZJIQmBVfc&#10;7Gp33+57Wk1PtkaTjfRBga1pORhSIi0Hoeyqpq8vT59MKAmRWcE0WFnTnQz0ZPb40bRzlRxBC1pI&#10;TxDEhqpzNW1jdFVRBN5Kw8IAnLQYbMAbFtH1q0J41iG60cVoODwsOvDCeeAyBDxd9EG6R/QPAYSm&#10;UVwugK+NtLFH9VKziJRCq1ygszxt00geXzVNkJHomiLTmP/YBO1l+hezKatWnrlW8f0I7CEj3ONk&#10;mLLY9AZqwSIja6/+gTKKewjQxAEHU/REsiLIohze0+aiZU5mLih1cDeih/8Hy19uzj1RoqaHB5RY&#10;ZvDGr99f/Xz36frb1x8fr359/5DsL58JxlGszoUKa+b23Ce6fGsv3Bnwt4FYmLfMrmQe+nLnEKhM&#10;FcVfJckJDlsuuxcgMIetI2Tlto03pNHKvUmFCRzVIVt0DiZH5RFe2A7tydNxOc64rJLbSDgmYIhj&#10;bHQ8Kof5RgtWJbSE4XyIzyUYkoyahuiZWrVxDtbiboDvO7HNWYhp1tuCVGzhVGmdV0Rb0tX0eDwa&#10;59ECaCVSMKUFv1rOtScblpYsf5k4Ru6meVhbkcEiU/qZFSRmlaJXqJuWNHUwUlCiJb7MZPUjaZu6&#10;yLzN+zn/yNhfyBLE7tyn5HSOm5KZ7Lc6reJdP2fdv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wFyesJwIAABEEAAAOAAAAAAAAAAEAIAAAACYBAABkcnMvZTJvRG9jLnhtbFBLBQYAAAAA&#10;BgAGAFkBAAC/BQAAAAA=&#10;">
                        <v:fill on="f" focussize="0,0"/>
                        <v:stroke color="#000000" joinstyle="round" endarrow="block"/>
                        <v:imagedata o:title=""/>
                        <o:lock v:ext="edit" aspectratio="f"/>
                      </v:shape>
                      <v:shape id="_x0000_s1026" o:spid="_x0000_s1026" o:spt="32" type="#_x0000_t32" style="position:absolute;left:838200;top:1691006;flip:x;height:0;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C7NdjPJwIAABAEAAAOAAAAZHJzL2Uyb0RvYy54bWytU8GO&#10;0zAQvSPxD5bvNElRqzZquoeWhcMCK+3yAa7tJBaOx7Ldpv0JfgCJE3ACTnvna2D5DMZO2V2Wyx7I&#10;IbI9M2/mPT8vTvadJjvpvAJT0WKUUyINB6FMU9E3l6dPZpT4wIxgGoys6EF6erJ8/GjR21KOoQUt&#10;pCMIYnzZ24q2IdgyyzxvZcf8CKw0GKzBdSzg1jWZcKxH9E5n4zyfZj04YR1w6T2erocgPSK6hwBC&#10;XSsu18C3nTRhQHVSs4CUfKusp8s0bV1LHl7XtZeB6Ioi05D+2ATXm/jPlgtWNo7ZVvHjCOwhI9zj&#10;1DFlsOkN1JoFRrZO/QPVKe7AQx1GHLpsIJIUQRZFfk+bi5ZZmbig1N7eiO7/Hyx/tTt3RImKTieU&#10;GNbhjV+/v/r57tP1t68/Pl79+v4hrr98JhhHsXrrS6xZmXMX6fK9ubBnwN96YmDVMtPINPTlwSJQ&#10;ESuyv0rixltsuelfgsActg2QlNvXriO1VvZFLIzgqA7ZV3T2dIa+oeSA59N5gRYabk3uA+EYL6Z5&#10;Xswp4ZiQLjRjZQSLENb58FxCR+Kioj44ppo2rMAYtAa4oRHbnfkQR70tiMUGTpXWySHakL6i88l4&#10;kibzoJWIwZjmXbNZaUd2LHosfYk3Ru6mOdgakcACU/qZESQkkYJTKJuWNHbopKBES3yYcTWMpE3s&#10;IpOZj3P+UXG4jw2Iw7mLyfEcjZKYHE0dnXh3n7JuH/L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C7NdjP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351155;top:1537970;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Dz1ttwfAgAAJAQAAA4AAABkcnMvZTJvRG9jLnhtbK1TS27bMBDd&#10;F+gdCO5rWbZl14LlIIiRokDaBkh6AJqiLKIShx3SltzLFOiuh+hxil4jI0pOnXSTRTcE58M3894M&#10;VxdtXbGDQqfBZDwejTlTRkKuzS7jn++v37zlzHlhclGBURk/Kscv1q9frRqbqgmUUOUKGYEYlzY2&#10;46X3No0iJ0tVCzcCqwwFC8BaeDJxF+UoGkKvq2gyHs+jBjC3CFI5R95NH+QDIr4EEIpCS7UBua+V&#10;8T0qqkp4ouRKbR1fh26LQkn/qSic8qzKODH14aQidN92Z7ReiXSHwpZaDi2Il7TwjFMttKGij1Ab&#10;4QXbo/4HqtYSwUHhRxLqqCcSFCEW8fiZNnelsCpwIamdfRTd/T9Y+fFwi0znGZ/POTOipon/+f7z&#10;968fjBykTmNdSkl39hY7fs7egPzimIGrUpidukSEplQip57iLj968qAzHD1l2+YD5IQt9h6CUG2B&#10;dQdIErA249MkjpOEsyPBJNPFcjGMRrWeSYony+l4SUOTlDCNZ9NJEoqJ9IRj0fl3CmrWXTKONPlQ&#10;RxxunO/6EukppStr4FpXVZh+ZZ44KLH3qLA+w+sTkV4Q327bQZst5Efih9CvFn0supSA3zhraK0y&#10;7r7uBSrOqveGNFrGs1m3h8GYJYsJGXge2Z5HhJEElXHpkbPeuPL99u4t6l1JteJA08AlKVvoQLVr&#10;tu9rmActT1BgWPRuO8/tkPX3c68f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sPpaDTAAAABQEA&#10;AA8AAAAAAAAAAQAgAAAAIgAAAGRycy9kb3ducmV2LnhtbFBLAQIUABQAAAAIAIdO4kA89bbcHwIA&#10;ACQEAAAOAAAAAAAAAAEAIAAAACIBAABkcnMvZTJvRG9jLnhtbFBLBQYAAAAABgAGAFkBAACzBQAA&#10;AAA=&#10;">
                        <v:fill on="f" focussize="0,0"/>
                        <v:stroke on="f"/>
                        <v:imagedata o:title=""/>
                        <o:lock v:ext="edit" aspectratio="f"/>
                        <v:textbox>
                          <w:txbxContent>
                            <w:p w14:paraId="5B7E2570">
                              <w:pPr>
                                <w:jc w:val="center"/>
                                <w:rPr>
                                  <w:szCs w:val="21"/>
                                </w:rPr>
                              </w:pPr>
                              <w:r>
                                <w:rPr>
                                  <w:szCs w:val="21"/>
                                </w:rPr>
                                <w:t>N</w:t>
                              </w:r>
                            </w:p>
                          </w:txbxContent>
                        </v:textbox>
                      </v:rect>
                      <w10:wrap type="none"/>
                      <w10:anchorlock/>
                    </v:group>
                  </w:pict>
                </mc:Fallback>
              </mc:AlternateContent>
            </w:r>
          </w:p>
          <w:p w14:paraId="3FAC3F9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2粮食烘干工艺</w:t>
            </w:r>
            <w:r>
              <w:rPr>
                <w:rFonts w:hint="default" w:ascii="Times New Roman" w:hAnsi="Times New Roman" w:eastAsia="宋体" w:cs="Times New Roman"/>
                <w:b/>
                <w:bCs/>
                <w:snapToGrid w:val="0"/>
                <w:color w:val="auto"/>
                <w:szCs w:val="21"/>
                <w:highlight w:val="none"/>
              </w:rPr>
              <w:t>流程及产污环节图</w:t>
            </w:r>
          </w:p>
          <w:p w14:paraId="2BD41F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1"/>
                <w:sz w:val="21"/>
                <w:szCs w:val="21"/>
                <w:highlight w:val="none"/>
                <w:lang w:eastAsia="zh-CN"/>
              </w:rPr>
            </w:pPr>
            <w:r>
              <w:rPr>
                <w:rFonts w:hint="eastAsia" w:ascii="宋体" w:hAnsi="宋体" w:eastAsia="宋体" w:cs="宋体"/>
                <w:b/>
                <w:bCs/>
                <w:color w:val="auto"/>
                <w:kern w:val="21"/>
                <w:sz w:val="21"/>
                <w:szCs w:val="21"/>
                <w:highlight w:val="none"/>
                <w:lang w:eastAsia="zh-CN"/>
              </w:rPr>
              <w:t>工艺流程简述：</w:t>
            </w:r>
          </w:p>
          <w:p w14:paraId="65CF3505">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（1）进出仓工艺流程</w:t>
            </w:r>
          </w:p>
          <w:p w14:paraId="6510A3F5">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spacing w:val="0"/>
                <w:sz w:val="21"/>
                <w:szCs w:val="21"/>
                <w:highlight w:val="none"/>
                <w:lang w:eastAsia="zh-CN"/>
              </w:rPr>
            </w:pPr>
            <w:r>
              <w:rPr>
                <w:rFonts w:hint="eastAsia" w:cs="Times New Roman"/>
                <w:color w:val="auto"/>
                <w:spacing w:val="0"/>
                <w:sz w:val="21"/>
                <w:szCs w:val="21"/>
                <w:highlight w:val="none"/>
                <w:lang w:val="en-US" w:eastAsia="zh-CN"/>
              </w:rPr>
              <w:t>1、</w:t>
            </w:r>
            <w:r>
              <w:rPr>
                <w:rFonts w:hint="default" w:ascii="Times New Roman" w:hAnsi="Times New Roman" w:eastAsia="宋体" w:cs="Times New Roman"/>
                <w:color w:val="auto"/>
                <w:spacing w:val="0"/>
                <w:sz w:val="21"/>
                <w:szCs w:val="21"/>
                <w:highlight w:val="none"/>
              </w:rPr>
              <w:t>湿粮经汽车运输至厂区内，称量后经输送</w:t>
            </w:r>
            <w:r>
              <w:rPr>
                <w:rFonts w:hint="eastAsia" w:cs="Times New Roman"/>
                <w:color w:val="auto"/>
                <w:spacing w:val="0"/>
                <w:sz w:val="21"/>
                <w:szCs w:val="21"/>
                <w:highlight w:val="none"/>
                <w:lang w:val="en-US" w:eastAsia="zh-CN"/>
              </w:rPr>
              <w:t>带</w:t>
            </w:r>
            <w:r>
              <w:rPr>
                <w:rFonts w:hint="default" w:ascii="Times New Roman" w:hAnsi="Times New Roman" w:eastAsia="宋体" w:cs="Times New Roman"/>
                <w:color w:val="auto"/>
                <w:spacing w:val="0"/>
                <w:sz w:val="21"/>
                <w:szCs w:val="21"/>
                <w:highlight w:val="none"/>
              </w:rPr>
              <w:t>送至</w:t>
            </w:r>
            <w:r>
              <w:rPr>
                <w:rFonts w:hint="eastAsia" w:cs="Times New Roman"/>
                <w:color w:val="auto"/>
                <w:spacing w:val="0"/>
                <w:sz w:val="21"/>
                <w:szCs w:val="21"/>
                <w:highlight w:val="none"/>
                <w:lang w:val="en-US" w:eastAsia="zh-CN"/>
              </w:rPr>
              <w:t>筛分机</w:t>
            </w:r>
            <w:r>
              <w:rPr>
                <w:rFonts w:hint="default" w:ascii="Times New Roman" w:hAnsi="Times New Roman" w:eastAsia="宋体" w:cs="Times New Roman"/>
                <w:color w:val="auto"/>
                <w:spacing w:val="0"/>
                <w:sz w:val="21"/>
                <w:szCs w:val="21"/>
                <w:highlight w:val="none"/>
              </w:rPr>
              <w:t>内筛分后，由提升机送至</w:t>
            </w:r>
            <w:r>
              <w:rPr>
                <w:rFonts w:hint="eastAsia" w:cs="Times New Roman"/>
                <w:color w:val="auto"/>
                <w:spacing w:val="0"/>
                <w:sz w:val="21"/>
                <w:szCs w:val="21"/>
                <w:highlight w:val="none"/>
                <w:lang w:val="en-US" w:eastAsia="zh-CN"/>
              </w:rPr>
              <w:t>潮粮仓，烘干时再由提升机送至</w:t>
            </w:r>
            <w:r>
              <w:rPr>
                <w:rFonts w:hint="default" w:ascii="Times New Roman" w:hAnsi="Times New Roman" w:eastAsia="宋体" w:cs="Times New Roman"/>
                <w:color w:val="auto"/>
                <w:spacing w:val="0"/>
                <w:sz w:val="21"/>
                <w:szCs w:val="21"/>
                <w:highlight w:val="none"/>
              </w:rPr>
              <w:t>烘干塔内进行烘干，烘干塔配有1台</w:t>
            </w:r>
            <w:r>
              <w:rPr>
                <w:rFonts w:hint="eastAsia" w:cs="Times New Roman"/>
                <w:color w:val="auto"/>
                <w:spacing w:val="0"/>
                <w:sz w:val="21"/>
                <w:szCs w:val="21"/>
                <w:highlight w:val="none"/>
                <w:lang w:val="en-US" w:eastAsia="zh-CN"/>
              </w:rPr>
              <w:t>600万Kcal/h</w:t>
            </w:r>
            <w:r>
              <w:rPr>
                <w:rFonts w:hint="default" w:ascii="Times New Roman" w:hAnsi="Times New Roman" w:eastAsia="宋体" w:cs="Times New Roman"/>
                <w:color w:val="auto"/>
                <w:spacing w:val="0"/>
                <w:sz w:val="21"/>
                <w:szCs w:val="21"/>
                <w:highlight w:val="none"/>
              </w:rPr>
              <w:t>的</w:t>
            </w:r>
            <w:r>
              <w:rPr>
                <w:rFonts w:hint="eastAsia" w:cs="Times New Roman"/>
                <w:color w:val="auto"/>
                <w:spacing w:val="0"/>
                <w:sz w:val="21"/>
                <w:szCs w:val="21"/>
                <w:highlight w:val="none"/>
                <w:lang w:val="en-US" w:eastAsia="zh-CN"/>
              </w:rPr>
              <w:t>燃生物质</w:t>
            </w:r>
            <w:r>
              <w:rPr>
                <w:rFonts w:hint="default" w:ascii="Times New Roman" w:hAnsi="Times New Roman" w:eastAsia="宋体" w:cs="Times New Roman"/>
                <w:color w:val="auto"/>
                <w:spacing w:val="0"/>
                <w:sz w:val="21"/>
                <w:szCs w:val="21"/>
                <w:highlight w:val="none"/>
              </w:rPr>
              <w:t>热风炉，热风炉产生的热量经过换热器将冷空气加热，热空气通过热风机经管道送入烘干塔，热空气与塔内的湿粮接触，层层蒸发掉粮食内多余的水份，烘干后干燥的</w:t>
            </w:r>
            <w:r>
              <w:rPr>
                <w:rFonts w:hint="eastAsia" w:cs="Times New Roman"/>
                <w:color w:val="auto"/>
                <w:spacing w:val="0"/>
                <w:sz w:val="21"/>
                <w:szCs w:val="21"/>
                <w:highlight w:val="none"/>
                <w:lang w:val="en-US" w:eastAsia="zh-CN"/>
              </w:rPr>
              <w:t>粮食</w:t>
            </w:r>
            <w:r>
              <w:rPr>
                <w:rFonts w:hint="default" w:ascii="Times New Roman" w:hAnsi="Times New Roman" w:eastAsia="宋体" w:cs="Times New Roman"/>
                <w:color w:val="auto"/>
                <w:spacing w:val="0"/>
                <w:sz w:val="21"/>
                <w:szCs w:val="21"/>
                <w:highlight w:val="none"/>
              </w:rPr>
              <w:t>进入</w:t>
            </w:r>
            <w:r>
              <w:rPr>
                <w:rFonts w:hint="eastAsia" w:cs="Times New Roman"/>
                <w:color w:val="auto"/>
                <w:spacing w:val="0"/>
                <w:sz w:val="21"/>
                <w:szCs w:val="21"/>
                <w:highlight w:val="none"/>
                <w:lang w:val="en-US" w:eastAsia="zh-CN"/>
              </w:rPr>
              <w:t>干粮仓或库房</w:t>
            </w:r>
            <w:r>
              <w:rPr>
                <w:rFonts w:hint="default" w:ascii="Times New Roman" w:hAnsi="Times New Roman" w:eastAsia="宋体" w:cs="Times New Roman"/>
                <w:color w:val="auto"/>
                <w:spacing w:val="0"/>
                <w:sz w:val="21"/>
                <w:szCs w:val="21"/>
                <w:highlight w:val="none"/>
              </w:rPr>
              <w:t>储存</w:t>
            </w:r>
            <w:r>
              <w:rPr>
                <w:rFonts w:hint="eastAsia" w:cs="Times New Roman"/>
                <w:color w:val="auto"/>
                <w:spacing w:val="0"/>
                <w:sz w:val="21"/>
                <w:szCs w:val="21"/>
                <w:highlight w:val="none"/>
                <w:lang w:eastAsia="zh-CN"/>
              </w:rPr>
              <w:t>。</w:t>
            </w:r>
          </w:p>
          <w:p w14:paraId="2F34688B">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2、外购成品粮食经汽车运输至厂区内，称量后经输送带送至库房内储存。</w:t>
            </w:r>
          </w:p>
          <w:p w14:paraId="0CA34E1D">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（2）热气输送至烘干塔流程</w:t>
            </w:r>
          </w:p>
          <w:p w14:paraId="64607E21">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冷空气由鼓风机送至燃</w:t>
            </w:r>
            <w:r>
              <w:rPr>
                <w:rFonts w:hint="eastAsia" w:cs="Times New Roman"/>
                <w:color w:val="auto"/>
                <w:spacing w:val="0"/>
                <w:sz w:val="21"/>
                <w:szCs w:val="21"/>
                <w:highlight w:val="none"/>
                <w:lang w:val="en-US" w:eastAsia="zh-CN"/>
              </w:rPr>
              <w:t>生物质</w:t>
            </w:r>
            <w:r>
              <w:rPr>
                <w:rFonts w:hint="default" w:ascii="Times New Roman" w:hAnsi="Times New Roman" w:eastAsia="宋体" w:cs="Times New Roman"/>
                <w:color w:val="auto"/>
                <w:spacing w:val="0"/>
                <w:sz w:val="21"/>
                <w:szCs w:val="21"/>
                <w:highlight w:val="none"/>
              </w:rPr>
              <w:t>热风炉内，经热风炉加热后形成高温烟气，冷空气经换热器与高温烟气进行热交换后，变为热空气，经风机送至烘干塔内进行烘干粮食，烘干后的热空气由塔顶排放，交换后的烟气经</w:t>
            </w:r>
            <w:r>
              <w:rPr>
                <w:rFonts w:hint="eastAsia" w:cs="Times New Roman"/>
                <w:color w:val="auto"/>
                <w:sz w:val="21"/>
                <w:szCs w:val="21"/>
                <w:highlight w:val="none"/>
                <w:lang w:eastAsia="zh-CN"/>
              </w:rPr>
              <w:t>烟囱</w:t>
            </w:r>
            <w:r>
              <w:rPr>
                <w:rFonts w:hint="default" w:ascii="Times New Roman" w:hAnsi="Times New Roman" w:eastAsia="宋体" w:cs="Times New Roman"/>
                <w:color w:val="auto"/>
                <w:spacing w:val="0"/>
                <w:sz w:val="21"/>
                <w:szCs w:val="21"/>
                <w:highlight w:val="none"/>
              </w:rPr>
              <w:t>排放。</w:t>
            </w:r>
          </w:p>
          <w:p w14:paraId="7A0DDA70">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（3）烘干塔内工艺流程</w:t>
            </w:r>
          </w:p>
          <w:p w14:paraId="6A83C62A">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在干燥段内，由于粮食自重，自上而下流动，热风进入，朝上方向穿过粮层，热风在穿过粮层时，与粮粒间进行湿热传递，热风将热量转给粮粒，使之温度升高，与粮食接触温度最高不超过60℃，粮粒受热升温，水分蒸发到空气中，干燥介质携带着水汽变成废气经烘干塔口排出。在这个过程中，粮食温度升得越高，水分就蒸发得越快。为保证粮食的品质，即加工性和食用性，干燥段内粮食温升和干燥时间是受到严格控制的，其原则是既要降低粮食的水分，又不能损害粮食的品质。在烘干段内没有布置通风角状管的部位为缓苏段，烘干的热粮向下流动到缓苏段，缓苏段内不通热风，其主要作用是减缓在干燥过程中粮粒内形成的应力，促进谷粒内部水分逐渐向外移动，使粮粒表面和内部的水分趋于平衡。缓苏工艺实施既有利于下一阶段的干燥，又能确保烘后粮的品质。</w:t>
            </w:r>
          </w:p>
          <w:p w14:paraId="53F518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8</w:t>
            </w:r>
            <w:r>
              <w:rPr>
                <w:rFonts w:hint="default" w:ascii="Times New Roman" w:hAnsi="Times New Roman" w:eastAsia="宋体" w:cs="Times New Roman"/>
                <w:color w:val="auto"/>
                <w:spacing w:val="0"/>
                <w:sz w:val="21"/>
                <w:szCs w:val="21"/>
                <w:highlight w:val="none"/>
                <w:lang w:val="en-US" w:eastAsia="zh-CN"/>
              </w:rPr>
              <w:t>。</w:t>
            </w:r>
          </w:p>
          <w:p w14:paraId="3FD7394F">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8</w:t>
            </w:r>
            <w:r>
              <w:rPr>
                <w:rFonts w:hint="default" w:ascii="Times New Roman" w:hAnsi="Times New Roman" w:eastAsia="宋体" w:cs="Times New Roman"/>
                <w:b/>
                <w:bCs/>
                <w:color w:val="auto"/>
                <w:spacing w:val="0"/>
                <w:kern w:val="0"/>
                <w:sz w:val="21"/>
                <w:szCs w:val="21"/>
                <w:highlight w:val="none"/>
                <w:lang w:val="en-US" w:eastAsia="zh-CN" w:bidi="ar-SA"/>
              </w:rPr>
              <w:t xml:space="preserve"> 本项目运营期工程主要排污节点一览表</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1513"/>
              <w:gridCol w:w="1576"/>
              <w:gridCol w:w="1028"/>
              <w:gridCol w:w="3250"/>
            </w:tblGrid>
            <w:tr w14:paraId="28E3C9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noWrap w:val="0"/>
                  <w:vAlign w:val="center"/>
                </w:tcPr>
                <w:p w14:paraId="13B206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513" w:type="dxa"/>
                  <w:tcBorders>
                    <w:tl2br w:val="nil"/>
                    <w:tr2bl w:val="nil"/>
                  </w:tcBorders>
                  <w:noWrap w:val="0"/>
                  <w:vAlign w:val="center"/>
                </w:tcPr>
                <w:p w14:paraId="34CA26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576" w:type="dxa"/>
                  <w:tcBorders>
                    <w:tl2br w:val="nil"/>
                    <w:tr2bl w:val="nil"/>
                  </w:tcBorders>
                  <w:noWrap w:val="0"/>
                  <w:vAlign w:val="center"/>
                </w:tcPr>
                <w:p w14:paraId="3010D3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28" w:type="dxa"/>
                  <w:tcBorders>
                    <w:tl2br w:val="nil"/>
                    <w:tr2bl w:val="nil"/>
                  </w:tcBorders>
                  <w:noWrap w:val="0"/>
                  <w:vAlign w:val="center"/>
                </w:tcPr>
                <w:p w14:paraId="263C38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250" w:type="dxa"/>
                  <w:tcBorders>
                    <w:tl2br w:val="nil"/>
                    <w:tr2bl w:val="nil"/>
                  </w:tcBorders>
                  <w:noWrap w:val="0"/>
                  <w:vAlign w:val="center"/>
                </w:tcPr>
                <w:p w14:paraId="6141B9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320BCE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tcBorders>
                    <w:tl2br w:val="nil"/>
                    <w:tr2bl w:val="nil"/>
                  </w:tcBorders>
                  <w:noWrap w:val="0"/>
                  <w:vAlign w:val="center"/>
                </w:tcPr>
                <w:p w14:paraId="573603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废气</w:t>
                  </w:r>
                </w:p>
              </w:tc>
              <w:tc>
                <w:tcPr>
                  <w:tcW w:w="1513" w:type="dxa"/>
                  <w:tcBorders>
                    <w:tl2br w:val="nil"/>
                    <w:tr2bl w:val="nil"/>
                  </w:tcBorders>
                  <w:noWrap w:val="0"/>
                  <w:vAlign w:val="center"/>
                </w:tcPr>
                <w:p w14:paraId="5DEF15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eastAsia="zh-CN"/>
                    </w:rPr>
                    <w:t>）</w:t>
                  </w:r>
                </w:p>
              </w:tc>
              <w:tc>
                <w:tcPr>
                  <w:tcW w:w="1576" w:type="dxa"/>
                  <w:tcBorders>
                    <w:tl2br w:val="nil"/>
                    <w:tr2bl w:val="nil"/>
                  </w:tcBorders>
                  <w:noWrap w:val="0"/>
                  <w:vAlign w:val="center"/>
                </w:tcPr>
                <w:p w14:paraId="647EF86C">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颗粒物</w:t>
                  </w:r>
                  <w:r>
                    <w:rPr>
                      <w:rFonts w:hint="default"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eastAsia="zh-CN"/>
                    </w:rPr>
                    <w:t>烟气黑度</w:t>
                  </w: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1028" w:type="dxa"/>
                  <w:vMerge w:val="restart"/>
                  <w:tcBorders>
                    <w:tl2br w:val="nil"/>
                    <w:tr2bl w:val="nil"/>
                  </w:tcBorders>
                  <w:noWrap w:val="0"/>
                  <w:vAlign w:val="center"/>
                </w:tcPr>
                <w:p w14:paraId="3D3C322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589A5E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25m</w:t>
                  </w:r>
                  <w:r>
                    <w:rPr>
                      <w:rFonts w:hint="default" w:ascii="Times New Roman" w:hAnsi="Times New Roman" w:eastAsia="宋体" w:cs="Times New Roman"/>
                      <w:color w:val="auto"/>
                      <w:sz w:val="18"/>
                      <w:szCs w:val="18"/>
                      <w:highlight w:val="none"/>
                    </w:rPr>
                    <w:t>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r>
            <w:tr w14:paraId="0B3EC8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noWrap w:val="0"/>
                  <w:vAlign w:val="center"/>
                </w:tcPr>
                <w:p w14:paraId="498D4F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tcBorders>
                    <w:tl2br w:val="nil"/>
                    <w:tr2bl w:val="nil"/>
                  </w:tcBorders>
                  <w:noWrap w:val="0"/>
                  <w:vAlign w:val="center"/>
                </w:tcPr>
                <w:p w14:paraId="081880AF">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运输、筛分、</w:t>
                  </w:r>
                </w:p>
                <w:p w14:paraId="6E6FA8D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储存</w:t>
                  </w:r>
                </w:p>
              </w:tc>
              <w:tc>
                <w:tcPr>
                  <w:tcW w:w="1576" w:type="dxa"/>
                  <w:tcBorders>
                    <w:tl2br w:val="nil"/>
                    <w:tr2bl w:val="nil"/>
                  </w:tcBorders>
                  <w:noWrap w:val="0"/>
                  <w:vAlign w:val="center"/>
                </w:tcPr>
                <w:p w14:paraId="5F06211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tcBorders>
                    <w:tl2br w:val="nil"/>
                    <w:tr2bl w:val="nil"/>
                  </w:tcBorders>
                  <w:noWrap w:val="0"/>
                  <w:vAlign w:val="center"/>
                </w:tcPr>
                <w:p w14:paraId="3EC55B21">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tcBorders>
                    <w:tl2br w:val="nil"/>
                    <w:tr2bl w:val="nil"/>
                  </w:tcBorders>
                  <w:noWrap w:val="0"/>
                  <w:vAlign w:val="center"/>
                </w:tcPr>
                <w:p w14:paraId="72AFEC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r>
                    <w:rPr>
                      <w:rFonts w:hint="default" w:ascii="Times New Roman" w:hAnsi="Times New Roman" w:cs="Times New Roman"/>
                      <w:color w:val="auto"/>
                      <w:sz w:val="18"/>
                      <w:szCs w:val="18"/>
                      <w:highlight w:val="none"/>
                      <w:lang w:eastAsia="zh-CN"/>
                    </w:rPr>
                    <w:t>。</w:t>
                  </w:r>
                </w:p>
              </w:tc>
            </w:tr>
            <w:tr w14:paraId="4A5B86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noWrap w:val="0"/>
                  <w:vAlign w:val="center"/>
                </w:tcPr>
                <w:p w14:paraId="092779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tcBorders>
                    <w:tl2br w:val="nil"/>
                    <w:tr2bl w:val="nil"/>
                  </w:tcBorders>
                  <w:noWrap w:val="0"/>
                  <w:vAlign w:val="center"/>
                </w:tcPr>
                <w:p w14:paraId="68054B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eastAsia" w:cs="Times New Roman"/>
                      <w:bCs/>
                      <w:color w:val="auto"/>
                      <w:kern w:val="0"/>
                      <w:sz w:val="18"/>
                      <w:szCs w:val="18"/>
                      <w:highlight w:val="none"/>
                      <w:lang w:val="en-US" w:eastAsia="zh-CN"/>
                    </w:rPr>
                    <w:t>热风炉房</w:t>
                  </w:r>
                </w:p>
              </w:tc>
              <w:tc>
                <w:tcPr>
                  <w:tcW w:w="1576" w:type="dxa"/>
                  <w:tcBorders>
                    <w:tl2br w:val="nil"/>
                    <w:tr2bl w:val="nil"/>
                  </w:tcBorders>
                  <w:noWrap w:val="0"/>
                  <w:vAlign w:val="center"/>
                </w:tcPr>
                <w:p w14:paraId="5B9FEEC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tcBorders>
                    <w:tl2br w:val="nil"/>
                    <w:tr2bl w:val="nil"/>
                  </w:tcBorders>
                  <w:noWrap w:val="0"/>
                  <w:vAlign w:val="center"/>
                </w:tcPr>
                <w:p w14:paraId="62078651">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tcBorders>
                    <w:tl2br w:val="nil"/>
                    <w:tr2bl w:val="nil"/>
                  </w:tcBorders>
                  <w:noWrap w:val="0"/>
                  <w:vAlign w:val="center"/>
                </w:tcPr>
                <w:p w14:paraId="09B350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洒水降尘</w:t>
                  </w:r>
                </w:p>
              </w:tc>
            </w:tr>
            <w:tr w14:paraId="156C07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noWrap w:val="0"/>
                  <w:vAlign w:val="center"/>
                </w:tcPr>
                <w:p w14:paraId="7ECF76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513" w:type="dxa"/>
                  <w:tcBorders>
                    <w:tl2br w:val="nil"/>
                    <w:tr2bl w:val="nil"/>
                  </w:tcBorders>
                  <w:noWrap w:val="0"/>
                  <w:vAlign w:val="center"/>
                </w:tcPr>
                <w:p w14:paraId="29D854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生活污水</w:t>
                  </w:r>
                </w:p>
              </w:tc>
              <w:tc>
                <w:tcPr>
                  <w:tcW w:w="1576" w:type="dxa"/>
                  <w:tcBorders>
                    <w:tl2br w:val="nil"/>
                    <w:tr2bl w:val="nil"/>
                  </w:tcBorders>
                  <w:noWrap w:val="0"/>
                  <w:vAlign w:val="center"/>
                </w:tcPr>
                <w:p w14:paraId="6A2414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COD、BOD5、SS、氨氮</w:t>
                  </w:r>
                </w:p>
              </w:tc>
              <w:tc>
                <w:tcPr>
                  <w:tcW w:w="1028" w:type="dxa"/>
                  <w:tcBorders>
                    <w:tl2br w:val="nil"/>
                    <w:tr2bl w:val="nil"/>
                  </w:tcBorders>
                  <w:noWrap w:val="0"/>
                  <w:vAlign w:val="center"/>
                </w:tcPr>
                <w:p w14:paraId="70D5FD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eastAsia" w:cs="Times New Roman"/>
                      <w:color w:val="auto"/>
                      <w:spacing w:val="0"/>
                      <w:kern w:val="2"/>
                      <w:sz w:val="18"/>
                      <w:szCs w:val="18"/>
                      <w:highlight w:val="none"/>
                      <w:lang w:val="en-US" w:eastAsia="zh-CN" w:bidi="ar-SA"/>
                    </w:rPr>
                    <w:t>不外排</w:t>
                  </w:r>
                </w:p>
              </w:tc>
              <w:tc>
                <w:tcPr>
                  <w:tcW w:w="3250" w:type="dxa"/>
                  <w:tcBorders>
                    <w:tl2br w:val="nil"/>
                    <w:tr2bl w:val="nil"/>
                  </w:tcBorders>
                  <w:noWrap w:val="0"/>
                  <w:vAlign w:val="center"/>
                </w:tcPr>
                <w:p w14:paraId="7B9AF4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生活污水排入防渗旱厕，定期清掏外运堆肥，不外排</w:t>
                  </w:r>
                </w:p>
              </w:tc>
            </w:tr>
            <w:tr w14:paraId="49A909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noWrap w:val="0"/>
                  <w:vAlign w:val="center"/>
                </w:tcPr>
                <w:p w14:paraId="306095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513" w:type="dxa"/>
                  <w:tcBorders>
                    <w:tl2br w:val="nil"/>
                    <w:tr2bl w:val="nil"/>
                  </w:tcBorders>
                  <w:noWrap w:val="0"/>
                  <w:vAlign w:val="center"/>
                </w:tcPr>
                <w:p w14:paraId="113666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576" w:type="dxa"/>
                  <w:tcBorders>
                    <w:tl2br w:val="nil"/>
                    <w:tr2bl w:val="nil"/>
                  </w:tcBorders>
                  <w:noWrap w:val="0"/>
                  <w:vAlign w:val="center"/>
                </w:tcPr>
                <w:p w14:paraId="2266EC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28" w:type="dxa"/>
                  <w:tcBorders>
                    <w:tl2br w:val="nil"/>
                    <w:tr2bl w:val="nil"/>
                  </w:tcBorders>
                  <w:noWrap w:val="0"/>
                  <w:vAlign w:val="center"/>
                </w:tcPr>
                <w:p w14:paraId="5904D2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421B43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低噪声设备，采取</w:t>
                  </w:r>
                  <w:r>
                    <w:rPr>
                      <w:rFonts w:hint="eastAsia" w:cs="Times New Roman"/>
                      <w:color w:val="auto"/>
                      <w:sz w:val="18"/>
                      <w:szCs w:val="18"/>
                      <w:highlight w:val="none"/>
                      <w:lang w:val="en-US" w:eastAsia="zh-CN"/>
                    </w:rPr>
                    <w:t>基础</w:t>
                  </w:r>
                  <w:r>
                    <w:rPr>
                      <w:rFonts w:hint="default" w:ascii="Times New Roman" w:hAnsi="Times New Roman" w:eastAsia="宋体" w:cs="Times New Roman"/>
                      <w:color w:val="auto"/>
                      <w:sz w:val="18"/>
                      <w:szCs w:val="18"/>
                      <w:highlight w:val="none"/>
                    </w:rPr>
                    <w:t>减振、隔声</w:t>
                  </w:r>
                  <w:r>
                    <w:rPr>
                      <w:rFonts w:hint="eastAsia" w:cs="Times New Roman"/>
                      <w:color w:val="auto"/>
                      <w:sz w:val="18"/>
                      <w:szCs w:val="18"/>
                      <w:highlight w:val="none"/>
                      <w:lang w:val="en-US" w:eastAsia="zh-CN"/>
                    </w:rPr>
                    <w:t>等</w:t>
                  </w:r>
                </w:p>
              </w:tc>
            </w:tr>
            <w:tr w14:paraId="6279CD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tcBorders>
                    <w:tl2br w:val="nil"/>
                    <w:tr2bl w:val="nil"/>
                  </w:tcBorders>
                  <w:noWrap w:val="0"/>
                  <w:vAlign w:val="center"/>
                </w:tcPr>
                <w:p w14:paraId="52A1BA4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固体废物</w:t>
                  </w:r>
                </w:p>
              </w:tc>
              <w:tc>
                <w:tcPr>
                  <w:tcW w:w="1513" w:type="dxa"/>
                  <w:vMerge w:val="restart"/>
                  <w:tcBorders>
                    <w:tl2br w:val="nil"/>
                    <w:tr2bl w:val="nil"/>
                  </w:tcBorders>
                  <w:noWrap w:val="0"/>
                  <w:vAlign w:val="center"/>
                </w:tcPr>
                <w:p w14:paraId="0327005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热风炉</w:t>
                  </w:r>
                </w:p>
              </w:tc>
              <w:tc>
                <w:tcPr>
                  <w:tcW w:w="1576" w:type="dxa"/>
                  <w:tcBorders>
                    <w:tl2br w:val="nil"/>
                    <w:tr2bl w:val="nil"/>
                  </w:tcBorders>
                  <w:noWrap w:val="0"/>
                  <w:vAlign w:val="center"/>
                </w:tcPr>
                <w:p w14:paraId="2FBF9A55">
                  <w:pPr>
                    <w:pStyle w:val="131"/>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灰渣、</w:t>
                  </w:r>
                  <w:r>
                    <w:rPr>
                      <w:rFonts w:hint="eastAsia" w:cs="Times New Roman"/>
                      <w:color w:val="auto"/>
                      <w:sz w:val="18"/>
                      <w:szCs w:val="18"/>
                      <w:highlight w:val="none"/>
                      <w:lang w:val="en-US" w:eastAsia="zh-CN"/>
                    </w:rPr>
                    <w:t>除尘器收尘灰</w:t>
                  </w:r>
                </w:p>
              </w:tc>
              <w:tc>
                <w:tcPr>
                  <w:tcW w:w="1028" w:type="dxa"/>
                  <w:vMerge w:val="restart"/>
                  <w:tcBorders>
                    <w:tl2br w:val="nil"/>
                    <w:tr2bl w:val="nil"/>
                  </w:tcBorders>
                  <w:noWrap w:val="0"/>
                  <w:vAlign w:val="center"/>
                </w:tcPr>
                <w:p w14:paraId="501911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17DA83F7">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存储于灰渣间，每10天清运1次，不在厂区长期储存，外售综合利用</w:t>
                  </w:r>
                </w:p>
              </w:tc>
            </w:tr>
            <w:tr w14:paraId="08252F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noWrap w:val="0"/>
                  <w:vAlign w:val="center"/>
                </w:tcPr>
                <w:p w14:paraId="22A4EEA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lang w:val="en-US" w:eastAsia="zh-CN"/>
                    </w:rPr>
                  </w:pPr>
                </w:p>
              </w:tc>
              <w:tc>
                <w:tcPr>
                  <w:tcW w:w="1513" w:type="dxa"/>
                  <w:vMerge w:val="continue"/>
                  <w:tcBorders>
                    <w:tl2br w:val="nil"/>
                    <w:tr2bl w:val="nil"/>
                  </w:tcBorders>
                  <w:noWrap w:val="0"/>
                  <w:vAlign w:val="center"/>
                </w:tcPr>
                <w:p w14:paraId="1D52284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p>
              </w:tc>
              <w:tc>
                <w:tcPr>
                  <w:tcW w:w="1576" w:type="dxa"/>
                  <w:tcBorders>
                    <w:tl2br w:val="nil"/>
                    <w:tr2bl w:val="nil"/>
                  </w:tcBorders>
                  <w:noWrap w:val="0"/>
                  <w:vAlign w:val="center"/>
                </w:tcPr>
                <w:p w14:paraId="7D80B641">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废布袋</w:t>
                  </w:r>
                </w:p>
              </w:tc>
              <w:tc>
                <w:tcPr>
                  <w:tcW w:w="1028" w:type="dxa"/>
                  <w:vMerge w:val="continue"/>
                  <w:tcBorders>
                    <w:tl2br w:val="nil"/>
                    <w:tr2bl w:val="nil"/>
                  </w:tcBorders>
                  <w:noWrap w:val="0"/>
                  <w:vAlign w:val="center"/>
                </w:tcPr>
                <w:p w14:paraId="21B188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tcBorders>
                    <w:tl2br w:val="nil"/>
                    <w:tr2bl w:val="nil"/>
                  </w:tcBorders>
                  <w:shd w:val="clear" w:color="auto" w:fill="auto"/>
                  <w:noWrap w:val="0"/>
                  <w:vAlign w:val="center"/>
                </w:tcPr>
                <w:p w14:paraId="6B0F575A">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rPr>
                    <w:t>由除尘器厂家更换后直接带走</w:t>
                  </w:r>
                </w:p>
              </w:tc>
            </w:tr>
            <w:tr w14:paraId="34EB01F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noWrap w:val="0"/>
                  <w:vAlign w:val="center"/>
                </w:tcPr>
                <w:p w14:paraId="54A558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tcBorders>
                    <w:tl2br w:val="nil"/>
                    <w:tr2bl w:val="nil"/>
                  </w:tcBorders>
                  <w:noWrap w:val="0"/>
                  <w:vAlign w:val="center"/>
                </w:tcPr>
                <w:p w14:paraId="7673D4F3">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工艺粉尘</w:t>
                  </w:r>
                </w:p>
              </w:tc>
              <w:tc>
                <w:tcPr>
                  <w:tcW w:w="1576" w:type="dxa"/>
                  <w:tcBorders>
                    <w:tl2br w:val="nil"/>
                    <w:tr2bl w:val="nil"/>
                  </w:tcBorders>
                  <w:noWrap w:val="0"/>
                  <w:vAlign w:val="center"/>
                </w:tcPr>
                <w:p w14:paraId="1EBEED6D">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及输送装卸、烘干</w:t>
                  </w:r>
                  <w:r>
                    <w:rPr>
                      <w:rFonts w:hint="default" w:ascii="Times New Roman" w:hAnsi="Times New Roman" w:cs="Times New Roman"/>
                      <w:color w:val="auto"/>
                      <w:sz w:val="18"/>
                      <w:szCs w:val="18"/>
                      <w:highlight w:val="none"/>
                    </w:rPr>
                    <w:t>粉尘</w:t>
                  </w:r>
                </w:p>
              </w:tc>
              <w:tc>
                <w:tcPr>
                  <w:tcW w:w="1028" w:type="dxa"/>
                  <w:vMerge w:val="continue"/>
                  <w:tcBorders>
                    <w:tl2br w:val="nil"/>
                    <w:tr2bl w:val="nil"/>
                  </w:tcBorders>
                  <w:noWrap w:val="0"/>
                  <w:vAlign w:val="center"/>
                </w:tcPr>
                <w:p w14:paraId="08D06C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250" w:type="dxa"/>
                  <w:tcBorders>
                    <w:tl2br w:val="nil"/>
                    <w:tr2bl w:val="nil"/>
                  </w:tcBorders>
                  <w:noWrap w:val="0"/>
                  <w:vAlign w:val="center"/>
                </w:tcPr>
                <w:p w14:paraId="30D22A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rPr>
                    <w:t>由市政环卫部门统一清运</w:t>
                  </w:r>
                </w:p>
              </w:tc>
            </w:tr>
          </w:tbl>
          <w:p w14:paraId="21859FE9">
            <w:pPr>
              <w:pStyle w:val="32"/>
              <w:keepNext w:val="0"/>
              <w:keepLines w:val="0"/>
              <w:suppressLineNumbers w:val="0"/>
              <w:spacing w:before="0" w:beforeAutospacing="0" w:after="0" w:afterAutospacing="0"/>
              <w:ind w:left="0" w:right="0"/>
              <w:rPr>
                <w:rFonts w:hint="default"/>
                <w:color w:val="auto"/>
                <w:highlight w:val="none"/>
                <w:lang w:val="en-US" w:eastAsia="zh-CN"/>
              </w:rPr>
            </w:pPr>
          </w:p>
        </w:tc>
      </w:tr>
      <w:tr w14:paraId="2E11F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2" w:hRule="atLeast"/>
          <w:jc w:val="center"/>
        </w:trPr>
        <w:tc>
          <w:tcPr>
            <w:tcW w:w="796" w:type="dxa"/>
            <w:vAlign w:val="center"/>
          </w:tcPr>
          <w:p w14:paraId="2FA44F0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275" w:type="dxa"/>
            <w:vAlign w:val="top"/>
          </w:tcPr>
          <w:p w14:paraId="70A53EE2">
            <w:pPr>
              <w:keepNext w:val="0"/>
              <w:keepLines w:val="0"/>
              <w:numPr>
                <w:ilvl w:val="0"/>
                <w:numId w:val="0"/>
              </w:numPr>
              <w:suppressLineNumbers w:val="0"/>
              <w:adjustRightInd w:val="0"/>
              <w:spacing w:before="0" w:beforeAutospacing="0" w:after="0" w:afterAutospacing="0" w:line="360" w:lineRule="auto"/>
              <w:ind w:left="0" w:leftChars="0" w:right="0" w:rightChars="0" w:firstLine="420" w:firstLineChars="200"/>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color w:val="auto"/>
                <w:sz w:val="21"/>
                <w:szCs w:val="21"/>
                <w:highlight w:val="none"/>
                <w:lang w:val="en-US" w:eastAsia="zh-CN"/>
              </w:rPr>
              <w:t>鸡东县东良粮库有限公司</w:t>
            </w:r>
            <w:r>
              <w:rPr>
                <w:rFonts w:hint="eastAsia" w:eastAsia="宋体"/>
                <w:color w:val="auto"/>
                <w:sz w:val="21"/>
                <w:szCs w:val="21"/>
                <w:highlight w:val="none"/>
                <w:lang w:val="en-US" w:eastAsia="zh-CN"/>
              </w:rPr>
              <w:t>现有工程占地面积</w:t>
            </w:r>
            <w:r>
              <w:rPr>
                <w:rFonts w:hint="eastAsia"/>
                <w:color w:val="auto"/>
                <w:sz w:val="21"/>
                <w:szCs w:val="21"/>
                <w:highlight w:val="none"/>
                <w:lang w:val="en-US" w:eastAsia="zh-CN"/>
              </w:rPr>
              <w:t>114022.9</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，现有1座</w:t>
            </w:r>
            <w:r>
              <w:rPr>
                <w:rFonts w:hint="eastAsia" w:cs="Times New Roman" w:eastAsiaTheme="minorEastAsia"/>
                <w:color w:val="auto"/>
                <w:sz w:val="21"/>
                <w:szCs w:val="21"/>
                <w:highlight w:val="none"/>
                <w:vertAlign w:val="baseline"/>
                <w:lang w:val="en-US" w:eastAsia="zh-CN"/>
              </w:rPr>
              <w:t>日烘干能力500t/d烘干塔配套1台600万Kcal/h燃煤热风炉、年运行1440h，以及平房仓、立筒仓用于粮食仓储，</w:t>
            </w:r>
            <w:r>
              <w:rPr>
                <w:rFonts w:hint="eastAsia" w:cs="Times New Roman"/>
                <w:color w:val="auto"/>
                <w:kern w:val="21"/>
                <w:sz w:val="21"/>
                <w:szCs w:val="21"/>
                <w:highlight w:val="none"/>
                <w:vertAlign w:val="baseline"/>
                <w:lang w:val="en-US" w:eastAsia="zh-CN"/>
              </w:rPr>
              <w:t>现有工程根据国家下达文件按指标要求储存粮食，收购的成品粮食直接入库储存，原粮经烘干塔烘干后入库储存，不涉及药剂熏蒸、原粮晾晒等工序，年烘干玉米30000t，粮食仓储22万t。</w:t>
            </w:r>
          </w:p>
          <w:p w14:paraId="612D55B0">
            <w:pPr>
              <w:keepNext w:val="0"/>
              <w:keepLines w:val="0"/>
              <w:numPr>
                <w:ilvl w:val="0"/>
                <w:numId w:val="0"/>
              </w:numPr>
              <w:suppressLineNumbers w:val="0"/>
              <w:adjustRightInd w:val="0"/>
              <w:spacing w:before="0" w:beforeAutospacing="0" w:after="0" w:afterAutospacing="0" w:line="360" w:lineRule="auto"/>
              <w:ind w:left="0" w:leftChars="0" w:right="0" w:rightChars="0"/>
              <w:textAlignment w:val="baseline"/>
              <w:rPr>
                <w:rFonts w:hint="default"/>
                <w:b/>
                <w:bCs/>
                <w:color w:val="auto"/>
                <w:szCs w:val="21"/>
                <w:highlight w:val="none"/>
              </w:rPr>
            </w:pPr>
            <w:r>
              <w:rPr>
                <w:rFonts w:hint="default" w:ascii="Times New Roman" w:hAnsi="Times New Roman" w:eastAsia="宋体" w:cs="Times New Roman"/>
                <w:b/>
                <w:bCs/>
                <w:color w:val="auto"/>
                <w:kern w:val="2"/>
                <w:sz w:val="21"/>
                <w:szCs w:val="21"/>
                <w:highlight w:val="none"/>
                <w:lang w:val="en-US" w:eastAsia="zh-CN" w:bidi="ar-SA"/>
              </w:rPr>
              <w:t>1、</w:t>
            </w:r>
            <w:r>
              <w:rPr>
                <w:rFonts w:hint="default"/>
                <w:b/>
                <w:bCs/>
                <w:color w:val="auto"/>
                <w:szCs w:val="21"/>
                <w:highlight w:val="none"/>
              </w:rPr>
              <w:t>环评手续履行情况</w:t>
            </w:r>
          </w:p>
          <w:p w14:paraId="2802ACF3">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企业于2013年12月委托国环宏博（北京）节能环保科技有限责任公司编制了《东良粮库烘干塔项目环境影响报告表》，2014年8月18日鸡东县环境保护局对本项目进行了批复，批复文号为：《关于东良粮库烘干塔建设项目环境影响报告表的批复》（鸡环审</w:t>
            </w:r>
            <w:r>
              <w:rPr>
                <w:rFonts w:hint="default" w:ascii="Times New Roman" w:hAnsi="Times New Roman" w:eastAsia="宋体" w:cs="Times New Roman"/>
                <w:b w:val="0"/>
                <w:bCs w:val="0"/>
                <w:color w:val="auto"/>
                <w:kern w:val="2"/>
                <w:sz w:val="21"/>
                <w:szCs w:val="21"/>
                <w:highlight w:val="none"/>
                <w:lang w:val="en-US" w:eastAsia="zh-CN" w:bidi="ar-SA"/>
              </w:rPr>
              <w:t>[201</w:t>
            </w:r>
            <w:r>
              <w:rPr>
                <w:rFonts w:hint="eastAsia" w:ascii="Times New Roman" w:hAnsi="Times New Roman" w:eastAsia="宋体" w:cs="Times New Roman"/>
                <w:b w:val="0"/>
                <w:bCs w:val="0"/>
                <w:color w:val="auto"/>
                <w:kern w:val="2"/>
                <w:sz w:val="21"/>
                <w:szCs w:val="21"/>
                <w:highlight w:val="none"/>
                <w:lang w:val="en-US" w:eastAsia="zh-CN" w:bidi="ar-SA"/>
              </w:rPr>
              <w:t>4</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15</w:t>
            </w:r>
            <w:r>
              <w:rPr>
                <w:rFonts w:hint="default" w:ascii="Times New Roman" w:hAnsi="Times New Roman" w:eastAsia="宋体" w:cs="Times New Roman"/>
                <w:b w:val="0"/>
                <w:bCs w:val="0"/>
                <w:color w:val="auto"/>
                <w:kern w:val="2"/>
                <w:sz w:val="21"/>
                <w:szCs w:val="21"/>
                <w:highlight w:val="none"/>
                <w:lang w:val="en-US" w:eastAsia="zh-CN" w:bidi="ar-SA"/>
              </w:rPr>
              <w:t>号</w:t>
            </w:r>
            <w:r>
              <w:rPr>
                <w:rFonts w:hint="eastAsia" w:ascii="Times New Roman" w:hAnsi="Times New Roman" w:eastAsia="宋体" w:cs="Times New Roman"/>
                <w:b w:val="0"/>
                <w:bCs w:val="0"/>
                <w:color w:val="auto"/>
                <w:kern w:val="2"/>
                <w:sz w:val="21"/>
                <w:szCs w:val="21"/>
                <w:highlight w:val="none"/>
                <w:lang w:val="en-US" w:eastAsia="zh-CN" w:bidi="ar-SA"/>
              </w:rPr>
              <w:t>，企业</w:t>
            </w:r>
            <w:r>
              <w:rPr>
                <w:rFonts w:hint="eastAsia" w:ascii="Times New Roman" w:hAnsi="Times New Roman" w:cs="Times New Roman"/>
                <w:b w:val="0"/>
                <w:bCs w:val="0"/>
                <w:color w:val="auto"/>
                <w:kern w:val="2"/>
                <w:sz w:val="21"/>
                <w:szCs w:val="21"/>
                <w:highlight w:val="none"/>
                <w:lang w:val="en-US" w:eastAsia="zh-CN" w:bidi="ar-SA"/>
              </w:rPr>
              <w:t>于</w:t>
            </w:r>
            <w:r>
              <w:rPr>
                <w:rFonts w:hint="eastAsia" w:ascii="Times New Roman" w:hAnsi="Times New Roman" w:eastAsia="宋体" w:cs="Times New Roman"/>
                <w:b w:val="0"/>
                <w:bCs w:val="0"/>
                <w:color w:val="auto"/>
                <w:kern w:val="2"/>
                <w:sz w:val="21"/>
                <w:szCs w:val="21"/>
                <w:highlight w:val="none"/>
                <w:lang w:val="en-US" w:eastAsia="zh-CN" w:bidi="ar-SA"/>
              </w:rPr>
              <w:t>2021年1月完成自主验收。</w:t>
            </w:r>
          </w:p>
          <w:p w14:paraId="0BA478FA">
            <w:pPr>
              <w:keepNext w:val="0"/>
              <w:keepLines w:val="0"/>
              <w:numPr>
                <w:ilvl w:val="0"/>
                <w:numId w:val="0"/>
              </w:numPr>
              <w:suppressLineNumbers w:val="0"/>
              <w:spacing w:before="0" w:beforeAutospacing="0" w:after="0" w:afterAutospacing="0" w:line="360" w:lineRule="auto"/>
              <w:ind w:left="0" w:leftChars="0" w:right="0" w:rightChars="0"/>
              <w:rPr>
                <w:rFonts w:hint="eastAsia"/>
                <w:b/>
                <w:bCs/>
                <w:color w:val="auto"/>
                <w:szCs w:val="21"/>
                <w:highlight w:val="none"/>
              </w:rPr>
            </w:pPr>
            <w:r>
              <w:rPr>
                <w:rFonts w:hint="eastAsia" w:ascii="Times New Roman" w:hAnsi="Times New Roman" w:eastAsia="宋体" w:cs="Times New Roman"/>
                <w:b/>
                <w:bCs/>
                <w:color w:val="auto"/>
                <w:kern w:val="2"/>
                <w:sz w:val="21"/>
                <w:szCs w:val="21"/>
                <w:highlight w:val="none"/>
                <w:lang w:val="en-US" w:eastAsia="zh-CN" w:bidi="ar-SA"/>
              </w:rPr>
              <w:t>2、</w:t>
            </w:r>
            <w:r>
              <w:rPr>
                <w:rFonts w:hint="eastAsia"/>
                <w:b/>
                <w:bCs/>
                <w:color w:val="auto"/>
                <w:szCs w:val="21"/>
                <w:highlight w:val="none"/>
              </w:rPr>
              <w:t>现有项目污染情况</w:t>
            </w:r>
          </w:p>
          <w:p w14:paraId="5541BDCB">
            <w:pPr>
              <w:keepNext w:val="0"/>
              <w:keepLines w:val="0"/>
              <w:suppressLineNumbers w:val="0"/>
              <w:spacing w:before="0" w:beforeAutospacing="0" w:after="0" w:afterAutospacing="0" w:line="360" w:lineRule="auto"/>
              <w:ind w:left="0" w:right="0" w:firstLine="420" w:firstLineChars="200"/>
              <w:rPr>
                <w:rFonts w:hint="default"/>
                <w:bCs/>
                <w:color w:val="auto"/>
                <w:szCs w:val="21"/>
                <w:highlight w:val="none"/>
              </w:rPr>
            </w:pPr>
            <w:bookmarkStart w:id="5" w:name="_Toc514763832"/>
            <w:r>
              <w:rPr>
                <w:rFonts w:hint="eastAsia"/>
                <w:bCs/>
                <w:color w:val="auto"/>
                <w:szCs w:val="21"/>
                <w:highlight w:val="none"/>
              </w:rPr>
              <w:t>（1）</w:t>
            </w:r>
            <w:r>
              <w:rPr>
                <w:rFonts w:hint="default"/>
                <w:bCs/>
                <w:color w:val="auto"/>
                <w:szCs w:val="21"/>
                <w:highlight w:val="none"/>
              </w:rPr>
              <w:t>废水</w:t>
            </w:r>
          </w:p>
          <w:p w14:paraId="0F207ABF">
            <w:pPr>
              <w:keepNext w:val="0"/>
              <w:keepLines w:val="0"/>
              <w:suppressLineNumbers w:val="0"/>
              <w:spacing w:before="0" w:beforeAutospacing="0" w:after="0" w:afterAutospacing="0" w:line="360" w:lineRule="auto"/>
              <w:ind w:left="0" w:right="0" w:firstLine="420" w:firstLineChars="200"/>
              <w:rPr>
                <w:rFonts w:hint="default"/>
                <w:bCs/>
                <w:color w:val="auto"/>
                <w:szCs w:val="21"/>
                <w:highlight w:val="none"/>
                <w:lang w:val="en-US"/>
              </w:rPr>
            </w:pPr>
            <w:r>
              <w:rPr>
                <w:rFonts w:hint="eastAsia"/>
                <w:bCs/>
                <w:color w:val="auto"/>
                <w:szCs w:val="21"/>
                <w:highlight w:val="none"/>
                <w:lang w:val="en-US" w:eastAsia="zh-CN"/>
              </w:rPr>
              <w:t>现有工程废水为生活污水</w:t>
            </w:r>
            <w:r>
              <w:rPr>
                <w:rFonts w:hint="default"/>
                <w:bCs/>
                <w:color w:val="auto"/>
                <w:szCs w:val="21"/>
                <w:highlight w:val="none"/>
              </w:rPr>
              <w:t>，生产过程无废水产生。</w:t>
            </w:r>
            <w:r>
              <w:rPr>
                <w:rFonts w:hint="eastAsia"/>
                <w:bCs/>
                <w:color w:val="auto"/>
                <w:szCs w:val="21"/>
                <w:highlight w:val="none"/>
                <w:lang w:val="en-US" w:eastAsia="zh-CN"/>
              </w:rPr>
              <w:t>现有工程劳动定员58人，</w:t>
            </w:r>
            <w:r>
              <w:rPr>
                <w:rFonts w:hint="default"/>
                <w:bCs/>
                <w:color w:val="auto"/>
                <w:szCs w:val="21"/>
                <w:highlight w:val="none"/>
              </w:rPr>
              <w:t>生活污水</w:t>
            </w:r>
            <w:r>
              <w:rPr>
                <w:rFonts w:hint="eastAsia"/>
                <w:bCs/>
                <w:color w:val="auto"/>
                <w:szCs w:val="21"/>
                <w:highlight w:val="none"/>
                <w:lang w:val="en-US" w:eastAsia="zh-CN"/>
              </w:rPr>
              <w:t>年排放量为522t/a，</w:t>
            </w:r>
            <w:r>
              <w:rPr>
                <w:rFonts w:hint="default"/>
                <w:bCs/>
                <w:color w:val="auto"/>
                <w:szCs w:val="21"/>
                <w:highlight w:val="none"/>
              </w:rPr>
              <w:t>排入防渗</w:t>
            </w:r>
            <w:r>
              <w:rPr>
                <w:rFonts w:hint="eastAsia"/>
                <w:bCs/>
                <w:color w:val="auto"/>
                <w:szCs w:val="21"/>
                <w:highlight w:val="none"/>
                <w:lang w:val="en-US" w:eastAsia="zh-CN"/>
              </w:rPr>
              <w:t>化粪池</w:t>
            </w:r>
            <w:r>
              <w:rPr>
                <w:rFonts w:hint="default"/>
                <w:bCs/>
                <w:color w:val="auto"/>
                <w:szCs w:val="21"/>
                <w:highlight w:val="none"/>
              </w:rPr>
              <w:t>，定期</w:t>
            </w:r>
            <w:r>
              <w:rPr>
                <w:rFonts w:hint="eastAsia"/>
                <w:bCs/>
                <w:color w:val="auto"/>
                <w:szCs w:val="21"/>
                <w:highlight w:val="none"/>
                <w:lang w:val="en-US" w:eastAsia="zh-CN"/>
              </w:rPr>
              <w:t>清掏，外运堆肥。</w:t>
            </w:r>
          </w:p>
          <w:p w14:paraId="5F18CCDB">
            <w:pPr>
              <w:pStyle w:val="129"/>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bCs/>
                <w:color w:val="auto"/>
                <w:sz w:val="21"/>
                <w:szCs w:val="21"/>
                <w:highlight w:val="none"/>
              </w:rPr>
            </w:pPr>
            <w:r>
              <w:rPr>
                <w:rFonts w:hint="eastAsia"/>
                <w:bCs/>
                <w:color w:val="auto"/>
                <w:sz w:val="21"/>
                <w:szCs w:val="21"/>
                <w:highlight w:val="none"/>
              </w:rPr>
              <w:t>（2）</w:t>
            </w:r>
            <w:r>
              <w:rPr>
                <w:rFonts w:hint="default"/>
                <w:bCs/>
                <w:color w:val="auto"/>
                <w:sz w:val="21"/>
                <w:szCs w:val="21"/>
                <w:highlight w:val="none"/>
              </w:rPr>
              <w:t>废气</w:t>
            </w:r>
            <w:bookmarkEnd w:id="5"/>
          </w:p>
          <w:p w14:paraId="3B3363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eastAsia"/>
                <w:color w:val="auto"/>
                <w:sz w:val="21"/>
                <w:szCs w:val="21"/>
                <w:highlight w:val="none"/>
                <w:lang w:val="en-US" w:eastAsia="zh-CN"/>
              </w:rPr>
              <w:t>现有1台600万Kcal/h</w:t>
            </w:r>
            <w:r>
              <w:rPr>
                <w:rFonts w:hint="default"/>
                <w:color w:val="auto"/>
                <w:sz w:val="21"/>
                <w:szCs w:val="21"/>
                <w:highlight w:val="none"/>
                <w:lang w:val="en-US" w:eastAsia="zh-CN"/>
              </w:rPr>
              <w:t>燃煤</w:t>
            </w:r>
            <w:r>
              <w:rPr>
                <w:rFonts w:hint="eastAsia"/>
                <w:color w:val="auto"/>
                <w:sz w:val="21"/>
                <w:szCs w:val="21"/>
                <w:highlight w:val="none"/>
                <w:lang w:val="en-US" w:eastAsia="zh-CN"/>
              </w:rPr>
              <w:t>热风炉为粮食烘干提供热源，根据验收监测报告（监测报告见附件），本项目燃煤热风炉</w:t>
            </w:r>
            <w:r>
              <w:rPr>
                <w:rFonts w:hint="eastAsia"/>
                <w:color w:val="auto"/>
                <w:szCs w:val="28"/>
                <w:highlight w:val="none"/>
                <w:shd w:val="clear"/>
                <w:lang w:val="en-US" w:eastAsia="zh-CN"/>
              </w:rPr>
              <w:t>废气通过布袋除尘器处理后，颗粒物排放浓度为76.6mg/m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~87.8mg/m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，二氧化硫排放浓度为656mg/m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~751.6mg/m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，氮氧化物排放浓度为275mg/m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~402.5mg/m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，满足</w:t>
            </w:r>
            <w:r>
              <w:rPr>
                <w:rFonts w:hint="default" w:ascii="Times New Roman" w:hAnsi="Times New Roman" w:eastAsia="宋体" w:cs="Times New Roman"/>
                <w:bCs/>
                <w:color w:val="auto"/>
                <w:kern w:val="0"/>
                <w:sz w:val="21"/>
                <w:szCs w:val="21"/>
                <w:highlight w:val="none"/>
                <w:lang w:val="en-US" w:eastAsia="zh-CN"/>
              </w:rPr>
              <w:t>《工业炉窑大气污染物排放标准》(GB9078-1996)</w:t>
            </w:r>
            <w:r>
              <w:rPr>
                <w:rFonts w:hint="eastAsia" w:ascii="Times New Roman" w:hAnsi="Times New Roman" w:eastAsia="宋体" w:cs="Times New Roman"/>
                <w:bCs/>
                <w:color w:val="auto"/>
                <w:kern w:val="0"/>
                <w:sz w:val="21"/>
                <w:szCs w:val="21"/>
                <w:highlight w:val="none"/>
                <w:lang w:val="en-US" w:eastAsia="zh-CN"/>
              </w:rPr>
              <w:t>中二级排</w:t>
            </w:r>
            <w:r>
              <w:rPr>
                <w:rFonts w:hint="eastAsia"/>
                <w:bCs/>
                <w:color w:val="auto"/>
                <w:szCs w:val="21"/>
                <w:highlight w:val="none"/>
                <w:lang w:val="en-US" w:eastAsia="zh-CN"/>
              </w:rPr>
              <w:t>放标准，通过25米烟囱排放。厂界无组织排放颗粒物浓度为</w:t>
            </w:r>
            <w:r>
              <w:rPr>
                <w:rFonts w:hint="eastAsia"/>
                <w:color w:val="auto"/>
                <w:szCs w:val="28"/>
                <w:highlight w:val="none"/>
                <w:shd w:val="clear"/>
                <w:lang w:val="en-US" w:eastAsia="zh-CN"/>
              </w:rPr>
              <w:t>0.068mg/m</w:t>
            </w:r>
            <w:r>
              <w:rPr>
                <w:rFonts w:hint="eastAsia"/>
                <w:color w:val="auto"/>
                <w:szCs w:val="28"/>
                <w:highlight w:val="none"/>
                <w:shd w:val="clear"/>
                <w:vertAlign w:val="superscript"/>
                <w:lang w:val="en-US" w:eastAsia="zh-CN"/>
              </w:rPr>
              <w:t>3</w:t>
            </w:r>
            <w:r>
              <w:rPr>
                <w:rFonts w:hint="eastAsia"/>
                <w:color w:val="auto"/>
                <w:szCs w:val="28"/>
                <w:highlight w:val="none"/>
                <w:shd w:val="clear"/>
                <w:lang w:val="en-US" w:eastAsia="zh-CN"/>
              </w:rPr>
              <w:t>~0.216mg/m</w:t>
            </w:r>
            <w:r>
              <w:rPr>
                <w:rFonts w:hint="eastAsia"/>
                <w:color w:val="auto"/>
                <w:szCs w:val="28"/>
                <w:highlight w:val="none"/>
                <w:shd w:val="clear"/>
                <w:vertAlign w:val="superscript"/>
                <w:lang w:val="en-US" w:eastAsia="zh-CN"/>
              </w:rPr>
              <w:t>3</w:t>
            </w:r>
            <w:r>
              <w:rPr>
                <w:rFonts w:hint="eastAsia"/>
                <w:bCs/>
                <w:color w:val="auto"/>
                <w:szCs w:val="21"/>
                <w:highlight w:val="none"/>
                <w:lang w:val="en-US" w:eastAsia="zh-CN"/>
              </w:rPr>
              <w:t>，根据监测报告数据核算的热风炉</w:t>
            </w:r>
            <w:r>
              <w:rPr>
                <w:rFonts w:hint="default"/>
                <w:bCs w:val="0"/>
                <w:color w:val="auto"/>
                <w:szCs w:val="28"/>
                <w:highlight w:val="none"/>
              </w:rPr>
              <w:t>大气污染物排放量为：</w:t>
            </w:r>
            <w:r>
              <w:rPr>
                <w:rFonts w:hint="eastAsia"/>
                <w:bCs w:val="0"/>
                <w:color w:val="auto"/>
                <w:sz w:val="21"/>
                <w:szCs w:val="21"/>
                <w:highlight w:val="none"/>
                <w:lang w:val="en-US" w:eastAsia="zh-CN"/>
              </w:rPr>
              <w:t>颗粒物3.247</w:t>
            </w:r>
            <w:r>
              <w:rPr>
                <w:rFonts w:hint="default"/>
                <w:bCs w:val="0"/>
                <w:color w:val="auto"/>
                <w:sz w:val="21"/>
                <w:szCs w:val="21"/>
                <w:highlight w:val="none"/>
              </w:rPr>
              <w:t>t/a，SO</w:t>
            </w:r>
            <w:r>
              <w:rPr>
                <w:rFonts w:hint="default"/>
                <w:bCs w:val="0"/>
                <w:color w:val="auto"/>
                <w:sz w:val="21"/>
                <w:szCs w:val="21"/>
                <w:highlight w:val="none"/>
                <w:vertAlign w:val="subscript"/>
              </w:rPr>
              <w:t>2</w:t>
            </w:r>
            <w:r>
              <w:rPr>
                <w:rFonts w:hint="eastAsia"/>
                <w:bCs w:val="0"/>
                <w:color w:val="auto"/>
                <w:sz w:val="21"/>
                <w:szCs w:val="21"/>
                <w:highlight w:val="none"/>
                <w:vertAlign w:val="baseline"/>
                <w:lang w:val="en-US" w:eastAsia="zh-CN"/>
              </w:rPr>
              <w:t>0.554t</w:t>
            </w:r>
            <w:r>
              <w:rPr>
                <w:rFonts w:hint="default"/>
                <w:bCs w:val="0"/>
                <w:color w:val="auto"/>
                <w:sz w:val="21"/>
                <w:szCs w:val="21"/>
                <w:highlight w:val="none"/>
              </w:rPr>
              <w:t>/a，NO</w:t>
            </w:r>
            <w:r>
              <w:rPr>
                <w:rFonts w:hint="default"/>
                <w:bCs w:val="0"/>
                <w:color w:val="auto"/>
                <w:sz w:val="21"/>
                <w:szCs w:val="21"/>
                <w:highlight w:val="none"/>
                <w:vertAlign w:val="subscript"/>
              </w:rPr>
              <w:t>x</w:t>
            </w:r>
            <w:r>
              <w:rPr>
                <w:rFonts w:hint="eastAsia"/>
                <w:bCs w:val="0"/>
                <w:color w:val="auto"/>
                <w:sz w:val="21"/>
                <w:szCs w:val="21"/>
                <w:highlight w:val="none"/>
                <w:lang w:val="en-US" w:eastAsia="zh-CN"/>
              </w:rPr>
              <w:t>0.254</w:t>
            </w:r>
            <w:r>
              <w:rPr>
                <w:rFonts w:hint="default"/>
                <w:bCs w:val="0"/>
                <w:color w:val="auto"/>
                <w:sz w:val="21"/>
                <w:szCs w:val="21"/>
                <w:highlight w:val="none"/>
              </w:rPr>
              <w:t>t/a</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粮食输送及烘干产生的无组织粉尘为：2.5t/a。</w:t>
            </w:r>
          </w:p>
          <w:p w14:paraId="57654F06">
            <w:pPr>
              <w:keepNext w:val="0"/>
              <w:keepLines w:val="0"/>
              <w:suppressLineNumbers w:val="0"/>
              <w:spacing w:before="0" w:beforeAutospacing="0" w:after="0" w:afterAutospacing="0" w:line="360" w:lineRule="auto"/>
              <w:ind w:left="0" w:right="0" w:firstLine="420" w:firstLineChars="200"/>
              <w:rPr>
                <w:rFonts w:hint="eastAsia"/>
                <w:bCs w:val="0"/>
                <w:color w:val="auto"/>
                <w:sz w:val="21"/>
                <w:szCs w:val="21"/>
                <w:highlight w:val="none"/>
                <w:lang w:eastAsia="zh-CN"/>
              </w:rPr>
            </w:pPr>
            <w:bookmarkStart w:id="6" w:name="_Toc514763833"/>
            <w:r>
              <w:rPr>
                <w:rFonts w:hint="eastAsia"/>
                <w:color w:val="auto"/>
                <w:szCs w:val="21"/>
                <w:highlight w:val="none"/>
                <w:lang w:val="en-US" w:eastAsia="zh-CN"/>
              </w:rPr>
              <w:t>现有工程大气污染物排放总量为</w:t>
            </w:r>
            <w:r>
              <w:rPr>
                <w:rFonts w:hint="eastAsia"/>
                <w:bCs w:val="0"/>
                <w:color w:val="auto"/>
                <w:sz w:val="21"/>
                <w:szCs w:val="21"/>
                <w:highlight w:val="none"/>
                <w:lang w:val="en-US" w:eastAsia="zh-CN"/>
              </w:rPr>
              <w:t>颗粒物3.247</w:t>
            </w:r>
            <w:r>
              <w:rPr>
                <w:rFonts w:hint="default"/>
                <w:bCs w:val="0"/>
                <w:color w:val="auto"/>
                <w:sz w:val="21"/>
                <w:szCs w:val="21"/>
                <w:highlight w:val="none"/>
              </w:rPr>
              <w:t>t/a，SO</w:t>
            </w:r>
            <w:r>
              <w:rPr>
                <w:rFonts w:hint="default"/>
                <w:bCs w:val="0"/>
                <w:color w:val="auto"/>
                <w:sz w:val="21"/>
                <w:szCs w:val="21"/>
                <w:highlight w:val="none"/>
                <w:vertAlign w:val="subscript"/>
              </w:rPr>
              <w:t>2</w:t>
            </w:r>
            <w:r>
              <w:rPr>
                <w:rFonts w:hint="eastAsia"/>
                <w:bCs w:val="0"/>
                <w:color w:val="auto"/>
                <w:sz w:val="21"/>
                <w:szCs w:val="21"/>
                <w:highlight w:val="none"/>
                <w:vertAlign w:val="baseline"/>
                <w:lang w:val="en-US" w:eastAsia="zh-CN"/>
              </w:rPr>
              <w:t>0.554t</w:t>
            </w:r>
            <w:r>
              <w:rPr>
                <w:rFonts w:hint="default"/>
                <w:bCs w:val="0"/>
                <w:color w:val="auto"/>
                <w:sz w:val="21"/>
                <w:szCs w:val="21"/>
                <w:highlight w:val="none"/>
              </w:rPr>
              <w:t>/a，NO</w:t>
            </w:r>
            <w:r>
              <w:rPr>
                <w:rFonts w:hint="default"/>
                <w:bCs w:val="0"/>
                <w:color w:val="auto"/>
                <w:sz w:val="21"/>
                <w:szCs w:val="21"/>
                <w:highlight w:val="none"/>
                <w:vertAlign w:val="subscript"/>
              </w:rPr>
              <w:t>x</w:t>
            </w:r>
            <w:r>
              <w:rPr>
                <w:rFonts w:hint="eastAsia"/>
                <w:bCs w:val="0"/>
                <w:color w:val="auto"/>
                <w:sz w:val="21"/>
                <w:szCs w:val="21"/>
                <w:highlight w:val="none"/>
                <w:lang w:val="en-US" w:eastAsia="zh-CN"/>
              </w:rPr>
              <w:t>0.254</w:t>
            </w:r>
            <w:r>
              <w:rPr>
                <w:rFonts w:hint="default"/>
                <w:bCs w:val="0"/>
                <w:color w:val="auto"/>
                <w:sz w:val="21"/>
                <w:szCs w:val="21"/>
                <w:highlight w:val="none"/>
              </w:rPr>
              <w:t>t/a</w:t>
            </w:r>
            <w:r>
              <w:rPr>
                <w:rFonts w:hint="eastAsia"/>
                <w:bCs w:val="0"/>
                <w:color w:val="auto"/>
                <w:sz w:val="21"/>
                <w:szCs w:val="21"/>
                <w:highlight w:val="none"/>
                <w:lang w:eastAsia="zh-CN"/>
              </w:rPr>
              <w:t>，工业粉尘</w:t>
            </w:r>
            <w:r>
              <w:rPr>
                <w:rFonts w:hint="eastAsia"/>
                <w:bCs w:val="0"/>
                <w:color w:val="auto"/>
                <w:sz w:val="21"/>
                <w:szCs w:val="21"/>
                <w:highlight w:val="none"/>
                <w:lang w:val="en-US" w:eastAsia="zh-CN"/>
              </w:rPr>
              <w:t>2.5t/a</w:t>
            </w:r>
            <w:r>
              <w:rPr>
                <w:rFonts w:hint="eastAsia"/>
                <w:bCs w:val="0"/>
                <w:color w:val="auto"/>
                <w:sz w:val="21"/>
                <w:szCs w:val="21"/>
                <w:highlight w:val="none"/>
                <w:lang w:eastAsia="zh-CN"/>
              </w:rPr>
              <w:t>。</w:t>
            </w:r>
          </w:p>
          <w:p w14:paraId="711403F5">
            <w:pPr>
              <w:keepNext w:val="0"/>
              <w:keepLines w:val="0"/>
              <w:suppressLineNumbers w:val="0"/>
              <w:spacing w:before="0" w:beforeAutospacing="0" w:after="0" w:afterAutospacing="0" w:line="360" w:lineRule="auto"/>
              <w:ind w:left="0" w:right="0" w:firstLine="420" w:firstLineChars="200"/>
              <w:rPr>
                <w:rFonts w:hint="default"/>
                <w:bCs/>
                <w:color w:val="auto"/>
                <w:szCs w:val="21"/>
                <w:highlight w:val="none"/>
              </w:rPr>
            </w:pPr>
            <w:r>
              <w:rPr>
                <w:rFonts w:hint="eastAsia"/>
                <w:bCs/>
                <w:color w:val="auto"/>
                <w:szCs w:val="21"/>
                <w:highlight w:val="none"/>
              </w:rPr>
              <w:t>（3）</w:t>
            </w:r>
            <w:r>
              <w:rPr>
                <w:rFonts w:hint="default"/>
                <w:bCs/>
                <w:color w:val="auto"/>
                <w:szCs w:val="21"/>
                <w:highlight w:val="none"/>
              </w:rPr>
              <w:t>噪声</w:t>
            </w:r>
            <w:bookmarkEnd w:id="6"/>
          </w:p>
          <w:p w14:paraId="3FBA94DA">
            <w:pPr>
              <w:keepNext w:val="0"/>
              <w:keepLines w:val="0"/>
              <w:suppressLineNumbers w:val="0"/>
              <w:spacing w:before="0" w:beforeAutospacing="0" w:after="0" w:afterAutospacing="0" w:line="360" w:lineRule="auto"/>
              <w:ind w:left="0" w:right="0" w:firstLine="420" w:firstLineChars="200"/>
              <w:rPr>
                <w:rFonts w:hint="eastAsia"/>
                <w:color w:val="auto"/>
                <w:szCs w:val="21"/>
                <w:highlight w:val="none"/>
                <w:lang w:eastAsia="zh-CN"/>
              </w:rPr>
            </w:pPr>
            <w:r>
              <w:rPr>
                <w:rFonts w:hint="eastAsia"/>
                <w:color w:val="auto"/>
                <w:szCs w:val="21"/>
                <w:highlight w:val="none"/>
                <w:lang w:val="en-US" w:eastAsia="zh-CN"/>
              </w:rPr>
              <w:t>现有工程产生噪声的设备合理布局，设备在库房内，风机采取封闭、降噪、减震措施，根据验收监测报告，</w:t>
            </w:r>
            <w:r>
              <w:rPr>
                <w:rFonts w:hint="eastAsia"/>
                <w:color w:val="auto"/>
                <w:szCs w:val="21"/>
                <w:highlight w:val="none"/>
              </w:rPr>
              <w:t>厂界噪声</w:t>
            </w:r>
            <w:r>
              <w:rPr>
                <w:rFonts w:hint="eastAsia"/>
                <w:color w:val="auto"/>
                <w:szCs w:val="21"/>
                <w:highlight w:val="none"/>
                <w:lang w:val="en-US" w:eastAsia="zh-CN"/>
              </w:rPr>
              <w:t>昼间为49.8-57dB，夜间噪声为41.9-47.7dB达到</w:t>
            </w:r>
            <w:r>
              <w:rPr>
                <w:rFonts w:hint="eastAsia"/>
                <w:color w:val="auto"/>
                <w:szCs w:val="21"/>
                <w:highlight w:val="none"/>
              </w:rPr>
              <w:t>《工业企业厂界环境噪声排放标准》（GB12348-2008）表1中2类</w:t>
            </w:r>
            <w:bookmarkStart w:id="7" w:name="_Toc514763834"/>
            <w:r>
              <w:rPr>
                <w:rFonts w:hint="eastAsia"/>
                <w:color w:val="auto"/>
                <w:szCs w:val="21"/>
                <w:highlight w:val="none"/>
                <w:lang w:val="en-US" w:eastAsia="zh-CN"/>
              </w:rPr>
              <w:t>标准限值</w:t>
            </w:r>
            <w:r>
              <w:rPr>
                <w:rFonts w:hint="eastAsia"/>
                <w:color w:val="auto"/>
                <w:szCs w:val="21"/>
                <w:highlight w:val="none"/>
                <w:lang w:eastAsia="zh-CN"/>
              </w:rPr>
              <w:t>。</w:t>
            </w:r>
          </w:p>
          <w:p w14:paraId="0DCA02BA">
            <w:pPr>
              <w:keepNext w:val="0"/>
              <w:keepLines w:val="0"/>
              <w:suppressLineNumbers w:val="0"/>
              <w:spacing w:before="0" w:beforeAutospacing="0" w:after="0" w:afterAutospacing="0" w:line="360" w:lineRule="auto"/>
              <w:ind w:left="0" w:right="0" w:firstLine="420" w:firstLineChars="200"/>
              <w:rPr>
                <w:rFonts w:hint="default"/>
                <w:bCs/>
                <w:color w:val="auto"/>
                <w:szCs w:val="21"/>
                <w:highlight w:val="none"/>
              </w:rPr>
            </w:pPr>
            <w:r>
              <w:rPr>
                <w:rFonts w:hint="eastAsia"/>
                <w:bCs/>
                <w:color w:val="auto"/>
                <w:szCs w:val="21"/>
                <w:highlight w:val="none"/>
              </w:rPr>
              <w:t>（4）</w:t>
            </w:r>
            <w:r>
              <w:rPr>
                <w:rFonts w:hint="default"/>
                <w:bCs/>
                <w:color w:val="auto"/>
                <w:szCs w:val="21"/>
                <w:highlight w:val="none"/>
              </w:rPr>
              <w:t>固体废物</w:t>
            </w:r>
            <w:bookmarkEnd w:id="7"/>
          </w:p>
          <w:p w14:paraId="52BA2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szCs w:val="21"/>
                <w:highlight w:val="none"/>
                <w:lang w:val="en-US" w:eastAsia="zh-CN"/>
              </w:rPr>
            </w:pPr>
            <w:r>
              <w:rPr>
                <w:rFonts w:hint="default"/>
                <w:color w:val="auto"/>
                <w:szCs w:val="21"/>
                <w:highlight w:val="none"/>
              </w:rPr>
              <w:t>本项目生活垃圾</w:t>
            </w:r>
            <w:r>
              <w:rPr>
                <w:rFonts w:hint="eastAsia"/>
                <w:color w:val="auto"/>
                <w:szCs w:val="21"/>
                <w:highlight w:val="none"/>
                <w:lang w:val="en-US" w:eastAsia="zh-CN"/>
              </w:rPr>
              <w:t>12.18</w:t>
            </w:r>
            <w:r>
              <w:rPr>
                <w:rFonts w:hint="eastAsia"/>
                <w:color w:val="auto"/>
                <w:szCs w:val="21"/>
                <w:highlight w:val="none"/>
              </w:rPr>
              <w:t>t/a</w:t>
            </w:r>
            <w:r>
              <w:rPr>
                <w:rFonts w:hint="eastAsia"/>
                <w:color w:val="auto"/>
                <w:szCs w:val="21"/>
                <w:highlight w:val="none"/>
                <w:lang w:eastAsia="zh-CN"/>
              </w:rPr>
              <w:t>，</w:t>
            </w:r>
            <w:r>
              <w:rPr>
                <w:rFonts w:hint="eastAsia"/>
                <w:color w:val="auto"/>
                <w:szCs w:val="21"/>
                <w:highlight w:val="none"/>
                <w:lang w:val="en-US" w:eastAsia="zh-CN"/>
              </w:rPr>
              <w:t>交由环卫部门统一处置，粮食筛分的固体废物产生量为5t/a，集中收集后综合利用，热风炉灰渣产生量共</w:t>
            </w:r>
            <w:r>
              <w:rPr>
                <w:rFonts w:hint="eastAsia" w:cs="Times New Roman"/>
                <w:color w:val="auto"/>
                <w:sz w:val="21"/>
                <w:szCs w:val="21"/>
                <w:highlight w:val="none"/>
                <w:lang w:val="en-US" w:eastAsia="zh-CN"/>
              </w:rPr>
              <w:t>456</w:t>
            </w:r>
            <w:r>
              <w:rPr>
                <w:rFonts w:hint="eastAsia"/>
                <w:color w:val="auto"/>
                <w:szCs w:val="21"/>
                <w:highlight w:val="none"/>
                <w:lang w:val="en-US" w:eastAsia="zh-CN"/>
              </w:rPr>
              <w:t>t/a，全部集中收集后综合利用。</w:t>
            </w:r>
          </w:p>
          <w:p w14:paraId="51697C1A">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baseline"/>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3、现有环境问题</w:t>
            </w:r>
          </w:p>
          <w:p w14:paraId="052CDFFE">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baseline"/>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根据验收监测报告，本项目现有工程经污染治理设施处理后可达标排放，主要环境问题为：</w:t>
            </w:r>
          </w:p>
          <w:p w14:paraId="27D35EA9">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baseline"/>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lang w:val="en-US" w:eastAsia="zh-CN" w:bidi="ar-SA"/>
              </w:rPr>
              <w:t>（1）</w:t>
            </w:r>
            <w:r>
              <w:rPr>
                <w:rFonts w:hint="eastAsia" w:ascii="宋体" w:hAnsi="宋体" w:eastAsia="宋体" w:cs="宋体"/>
                <w:b w:val="0"/>
                <w:bCs w:val="0"/>
                <w:color w:val="auto"/>
                <w:kern w:val="2"/>
                <w:sz w:val="21"/>
                <w:szCs w:val="21"/>
                <w:highlight w:val="none"/>
                <w:lang w:val="en-US" w:eastAsia="zh-CN" w:bidi="ar-SA"/>
              </w:rPr>
              <w:t>现有工程未申请排污许可证，未执行环境管理台账记录。</w:t>
            </w:r>
          </w:p>
          <w:p w14:paraId="4DCB0006">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baseline"/>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（2）根据《产业结构调整指导目录（2024年本）》</w:t>
            </w:r>
            <w:r>
              <w:rPr>
                <w:rFonts w:hint="eastAsia" w:cs="宋体"/>
                <w:b w:val="0"/>
                <w:bCs w:val="0"/>
                <w:color w:val="auto"/>
                <w:kern w:val="2"/>
                <w:sz w:val="21"/>
                <w:szCs w:val="21"/>
                <w:highlight w:val="none"/>
                <w:lang w:val="en-US" w:eastAsia="zh-CN" w:bidi="ar-SA"/>
              </w:rPr>
              <w:t>燃煤热风炉属淘汰设备。</w:t>
            </w:r>
          </w:p>
          <w:p w14:paraId="702D307C">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baseline"/>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lang w:val="en-US" w:eastAsia="zh-CN" w:bidi="ar-SA"/>
              </w:rPr>
              <w:t>4、</w:t>
            </w:r>
            <w:r>
              <w:rPr>
                <w:rFonts w:hint="eastAsia" w:ascii="宋体" w:hAnsi="宋体" w:eastAsia="宋体" w:cs="宋体"/>
                <w:b/>
                <w:bCs/>
                <w:color w:val="auto"/>
                <w:kern w:val="2"/>
                <w:sz w:val="21"/>
                <w:szCs w:val="21"/>
                <w:highlight w:val="none"/>
                <w:lang w:val="en-US" w:eastAsia="zh-CN" w:bidi="ar-SA"/>
              </w:rPr>
              <w:t>以新带老整改措施</w:t>
            </w:r>
          </w:p>
          <w:p w14:paraId="020D523D">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baseline"/>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（1）尽快申请排污许可证，根据排污许可证在执行环境管理台账记录等。</w:t>
            </w:r>
          </w:p>
          <w:p w14:paraId="33A87AF9">
            <w:pPr>
              <w:pStyle w:val="4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（2）对现有1台600万Kcal/h燃煤热风炉进行改造，改造后使用生物质成型燃料。</w:t>
            </w:r>
          </w:p>
        </w:tc>
      </w:tr>
    </w:tbl>
    <w:p w14:paraId="21DB9F6C">
      <w:pPr>
        <w:pStyle w:val="29"/>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1DBCAB5B">
      <w:pPr>
        <w:pStyle w:val="29"/>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8"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8"/>
    </w:p>
    <w:tbl>
      <w:tblPr>
        <w:tblStyle w:val="34"/>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0"/>
        <w:gridCol w:w="8251"/>
      </w:tblGrid>
      <w:tr w14:paraId="5CD3E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4" w:hRule="atLeast"/>
          <w:jc w:val="center"/>
        </w:trPr>
        <w:tc>
          <w:tcPr>
            <w:tcW w:w="452" w:type="pct"/>
            <w:vAlign w:val="center"/>
          </w:tcPr>
          <w:p w14:paraId="01D469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14:paraId="147C7E11">
            <w:pPr>
              <w:keepNext w:val="0"/>
              <w:keepLines w:val="0"/>
              <w:numPr>
                <w:ilvl w:val="0"/>
                <w:numId w:val="0"/>
              </w:numPr>
              <w:suppressLineNumbers w:val="0"/>
              <w:spacing w:before="0" w:beforeAutospacing="0" w:after="0" w:afterAutospacing="0" w:line="360" w:lineRule="auto"/>
              <w:ind w:left="0" w:leftChars="0" w:right="0" w:rightChars="0" w:firstLine="422" w:firstLineChars="200"/>
              <w:rPr>
                <w:rFonts w:hint="default"/>
                <w:b/>
                <w:bCs/>
                <w:color w:val="auto"/>
                <w:highlight w:val="none"/>
              </w:rPr>
            </w:pPr>
            <w:r>
              <w:rPr>
                <w:rFonts w:hint="default" w:ascii="Times New Roman" w:hAnsi="Times New Roman" w:eastAsia="宋体" w:cs="Times New Roman"/>
                <w:b/>
                <w:bCs/>
                <w:color w:val="auto"/>
                <w:kern w:val="2"/>
                <w:sz w:val="21"/>
                <w:szCs w:val="24"/>
                <w:lang w:val="en-US" w:eastAsia="zh-CN" w:bidi="ar-SA"/>
              </w:rPr>
              <w:t>1、</w:t>
            </w:r>
            <w:r>
              <w:rPr>
                <w:rFonts w:hint="default"/>
                <w:b/>
                <w:bCs/>
                <w:color w:val="auto"/>
                <w:highlight w:val="none"/>
              </w:rPr>
              <w:t>大气环境</w:t>
            </w:r>
          </w:p>
          <w:p w14:paraId="3CA82A5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FF0000"/>
                <w:highlight w:val="none"/>
              </w:rPr>
            </w:pPr>
            <w:r>
              <w:rPr>
                <w:rFonts w:hint="default" w:ascii="Times New Roman" w:hAnsi="Times New Roman" w:eastAsia="宋体" w:cs="Times New Roman"/>
                <w:color w:val="FF0000"/>
                <w:highlight w:val="none"/>
                <w:lang w:val="en-US" w:eastAsia="zh-CN"/>
              </w:rPr>
              <w:t>根据</w:t>
            </w:r>
            <w:r>
              <w:rPr>
                <w:rFonts w:hint="eastAsia" w:ascii="Times New Roman" w:hAnsi="Times New Roman" w:eastAsia="宋体" w:cs="Times New Roman"/>
                <w:color w:val="FF0000"/>
                <w:highlight w:val="none"/>
                <w:lang w:val="en-US" w:eastAsia="zh-CN"/>
              </w:rPr>
              <w:t>《2024年黑龙江省生态环境质量状况》（2025年1月）</w:t>
            </w:r>
            <w:r>
              <w:rPr>
                <w:rFonts w:hint="default"/>
                <w:color w:val="FF0000"/>
                <w:highlight w:val="none"/>
              </w:rPr>
              <w:t>中公布的数据。</w:t>
            </w:r>
            <w:r>
              <w:rPr>
                <w:rFonts w:hint="eastAsia"/>
                <w:color w:val="FF0000"/>
                <w:highlight w:val="none"/>
                <w:lang w:val="en-US" w:eastAsia="zh-CN"/>
              </w:rPr>
              <w:t>2024年鸡西市各项污染物年均浓度综合情况如下表。</w:t>
            </w:r>
          </w:p>
          <w:p w14:paraId="7179ED90">
            <w:pPr>
              <w:keepNext w:val="0"/>
              <w:keepLines w:val="0"/>
              <w:suppressLineNumbers w:val="0"/>
              <w:adjustRightInd w:val="0"/>
              <w:snapToGrid w:val="0"/>
              <w:spacing w:before="0" w:beforeAutospacing="0" w:after="0" w:afterAutospacing="0"/>
              <w:ind w:left="0" w:right="0"/>
              <w:jc w:val="center"/>
              <w:rPr>
                <w:rFonts w:hint="default"/>
                <w:b/>
                <w:bCs/>
                <w:color w:val="FF0000"/>
                <w:highlight w:val="none"/>
              </w:rPr>
            </w:pPr>
            <w:r>
              <w:rPr>
                <w:rFonts w:hint="default"/>
                <w:b/>
                <w:bCs/>
                <w:color w:val="FF0000"/>
                <w:highlight w:val="none"/>
              </w:rPr>
              <w:t>表3-</w:t>
            </w:r>
            <w:r>
              <w:rPr>
                <w:rFonts w:hint="eastAsia"/>
                <w:b/>
                <w:bCs/>
                <w:color w:val="FF0000"/>
                <w:highlight w:val="none"/>
                <w:lang w:val="en-US" w:eastAsia="zh-CN"/>
              </w:rPr>
              <w:t>1 鸡西市</w:t>
            </w:r>
            <w:r>
              <w:rPr>
                <w:rFonts w:hint="default"/>
                <w:b/>
                <w:bCs/>
                <w:color w:val="FF0000"/>
                <w:highlight w:val="none"/>
              </w:rPr>
              <w:t>202</w:t>
            </w:r>
            <w:r>
              <w:rPr>
                <w:rFonts w:hint="eastAsia"/>
                <w:b/>
                <w:bCs/>
                <w:color w:val="FF0000"/>
                <w:highlight w:val="none"/>
                <w:lang w:val="en-US" w:eastAsia="zh-CN"/>
              </w:rPr>
              <w:t>4</w:t>
            </w:r>
            <w:r>
              <w:rPr>
                <w:rFonts w:hint="default"/>
                <w:b/>
                <w:bCs/>
                <w:color w:val="FF0000"/>
                <w:highlight w:val="none"/>
              </w:rPr>
              <w:t>年环境空气质量统计表   单位：μg/m</w:t>
            </w:r>
            <w:r>
              <w:rPr>
                <w:rFonts w:hint="default"/>
                <w:b/>
                <w:bCs/>
                <w:color w:val="FF0000"/>
                <w:highlight w:val="none"/>
                <w:vertAlign w:val="superscript"/>
              </w:rPr>
              <w:t>3</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991"/>
              <w:gridCol w:w="1049"/>
              <w:gridCol w:w="829"/>
              <w:gridCol w:w="940"/>
              <w:gridCol w:w="1190"/>
            </w:tblGrid>
            <w:tr w14:paraId="6F2873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2769CB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污染物</w:t>
                  </w:r>
                </w:p>
              </w:tc>
              <w:tc>
                <w:tcPr>
                  <w:tcW w:w="2979" w:type="dxa"/>
                  <w:tcBorders>
                    <w:tl2br w:val="nil"/>
                    <w:tr2bl w:val="nil"/>
                  </w:tcBorders>
                  <w:vAlign w:val="center"/>
                </w:tcPr>
                <w:p w14:paraId="20B731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年评价指标</w:t>
                  </w:r>
                </w:p>
              </w:tc>
              <w:tc>
                <w:tcPr>
                  <w:tcW w:w="1045" w:type="dxa"/>
                  <w:tcBorders>
                    <w:tl2br w:val="nil"/>
                    <w:tr2bl w:val="nil"/>
                  </w:tcBorders>
                  <w:vAlign w:val="center"/>
                </w:tcPr>
                <w:p w14:paraId="23FD54F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现状浓度</w:t>
                  </w:r>
                </w:p>
              </w:tc>
              <w:tc>
                <w:tcPr>
                  <w:tcW w:w="826" w:type="dxa"/>
                  <w:tcBorders>
                    <w:tl2br w:val="nil"/>
                    <w:tr2bl w:val="nil"/>
                  </w:tcBorders>
                  <w:vAlign w:val="center"/>
                </w:tcPr>
                <w:p w14:paraId="0FBDC06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标准值</w:t>
                  </w:r>
                </w:p>
              </w:tc>
              <w:tc>
                <w:tcPr>
                  <w:tcW w:w="936" w:type="dxa"/>
                  <w:tcBorders>
                    <w:tl2br w:val="nil"/>
                    <w:tr2bl w:val="nil"/>
                  </w:tcBorders>
                  <w:vAlign w:val="center"/>
                </w:tcPr>
                <w:p w14:paraId="3EED3F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rPr>
                    <w:t>占标率</w:t>
                  </w:r>
                  <w:r>
                    <w:rPr>
                      <w:rFonts w:hint="default" w:ascii="Times New Roman" w:hAnsi="Times New Roman" w:eastAsia="宋体" w:cs="Times New Roman"/>
                      <w:color w:val="FF0000"/>
                      <w:sz w:val="18"/>
                      <w:szCs w:val="18"/>
                      <w:highlight w:val="none"/>
                      <w:lang w:val="en-US" w:eastAsia="zh-CN"/>
                    </w:rPr>
                    <w:t>%</w:t>
                  </w:r>
                </w:p>
              </w:tc>
              <w:tc>
                <w:tcPr>
                  <w:tcW w:w="1185" w:type="dxa"/>
                  <w:tcBorders>
                    <w:tl2br w:val="nil"/>
                    <w:tr2bl w:val="nil"/>
                  </w:tcBorders>
                  <w:vAlign w:val="center"/>
                </w:tcPr>
                <w:p w14:paraId="11CBA52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达标情况</w:t>
                  </w:r>
                </w:p>
              </w:tc>
            </w:tr>
            <w:tr w14:paraId="73F108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5A6A315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2.5</w:t>
                  </w:r>
                </w:p>
              </w:tc>
              <w:tc>
                <w:tcPr>
                  <w:tcW w:w="2979" w:type="dxa"/>
                  <w:tcBorders>
                    <w:tl2br w:val="nil"/>
                    <w:tr2bl w:val="nil"/>
                  </w:tcBorders>
                  <w:vAlign w:val="center"/>
                </w:tcPr>
                <w:p w14:paraId="3178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45682CA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27</w:t>
                  </w:r>
                </w:p>
              </w:tc>
              <w:tc>
                <w:tcPr>
                  <w:tcW w:w="826" w:type="dxa"/>
                  <w:tcBorders>
                    <w:tl2br w:val="nil"/>
                    <w:tr2bl w:val="nil"/>
                  </w:tcBorders>
                  <w:vAlign w:val="center"/>
                </w:tcPr>
                <w:p w14:paraId="2DBE94E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35</w:t>
                  </w:r>
                </w:p>
              </w:tc>
              <w:tc>
                <w:tcPr>
                  <w:tcW w:w="936" w:type="dxa"/>
                  <w:tcBorders>
                    <w:tl2br w:val="nil"/>
                    <w:tr2bl w:val="nil"/>
                  </w:tcBorders>
                  <w:vAlign w:val="center"/>
                </w:tcPr>
                <w:p w14:paraId="4C9448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77.1</w:t>
                  </w:r>
                </w:p>
              </w:tc>
              <w:tc>
                <w:tcPr>
                  <w:tcW w:w="1185" w:type="dxa"/>
                  <w:tcBorders>
                    <w:tl2br w:val="nil"/>
                    <w:tr2bl w:val="nil"/>
                  </w:tcBorders>
                  <w:vAlign w:val="center"/>
                </w:tcPr>
                <w:p w14:paraId="44E546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达</w:t>
                  </w:r>
                  <w:r>
                    <w:rPr>
                      <w:rFonts w:hint="default" w:ascii="Times New Roman" w:hAnsi="Times New Roman" w:eastAsia="宋体" w:cs="Times New Roman"/>
                      <w:color w:val="FF0000"/>
                      <w:sz w:val="18"/>
                      <w:szCs w:val="18"/>
                      <w:highlight w:val="none"/>
                    </w:rPr>
                    <w:t>标</w:t>
                  </w:r>
                </w:p>
              </w:tc>
            </w:tr>
            <w:tr w14:paraId="2726DE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9B2B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10</w:t>
                  </w:r>
                </w:p>
              </w:tc>
              <w:tc>
                <w:tcPr>
                  <w:tcW w:w="2979" w:type="dxa"/>
                  <w:tcBorders>
                    <w:tl2br w:val="nil"/>
                    <w:tr2bl w:val="nil"/>
                  </w:tcBorders>
                  <w:vAlign w:val="center"/>
                </w:tcPr>
                <w:p w14:paraId="608203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32D68B3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46</w:t>
                  </w:r>
                </w:p>
              </w:tc>
              <w:tc>
                <w:tcPr>
                  <w:tcW w:w="826" w:type="dxa"/>
                  <w:tcBorders>
                    <w:tl2br w:val="nil"/>
                    <w:tr2bl w:val="nil"/>
                  </w:tcBorders>
                  <w:vAlign w:val="center"/>
                </w:tcPr>
                <w:p w14:paraId="3D7424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70</w:t>
                  </w:r>
                </w:p>
              </w:tc>
              <w:tc>
                <w:tcPr>
                  <w:tcW w:w="936" w:type="dxa"/>
                  <w:tcBorders>
                    <w:tl2br w:val="nil"/>
                    <w:tr2bl w:val="nil"/>
                  </w:tcBorders>
                  <w:vAlign w:val="center"/>
                </w:tcPr>
                <w:p w14:paraId="73BFC2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65.7</w:t>
                  </w:r>
                </w:p>
              </w:tc>
              <w:tc>
                <w:tcPr>
                  <w:tcW w:w="1185" w:type="dxa"/>
                  <w:tcBorders>
                    <w:tl2br w:val="nil"/>
                    <w:tr2bl w:val="nil"/>
                  </w:tcBorders>
                  <w:vAlign w:val="center"/>
                </w:tcPr>
                <w:p w14:paraId="774BFCE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4B88B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D2C06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NO</w:t>
                  </w:r>
                  <w:r>
                    <w:rPr>
                      <w:rFonts w:hint="default" w:ascii="Times New Roman" w:hAnsi="Times New Roman" w:eastAsia="宋体" w:cs="Times New Roman"/>
                      <w:color w:val="FF0000"/>
                      <w:sz w:val="18"/>
                      <w:szCs w:val="18"/>
                      <w:highlight w:val="none"/>
                      <w:vertAlign w:val="subscript"/>
                    </w:rPr>
                    <w:t>2</w:t>
                  </w:r>
                </w:p>
              </w:tc>
              <w:tc>
                <w:tcPr>
                  <w:tcW w:w="2979" w:type="dxa"/>
                  <w:tcBorders>
                    <w:tl2br w:val="nil"/>
                    <w:tr2bl w:val="nil"/>
                  </w:tcBorders>
                  <w:vAlign w:val="center"/>
                </w:tcPr>
                <w:p w14:paraId="4A350A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66EF31A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17</w:t>
                  </w:r>
                </w:p>
              </w:tc>
              <w:tc>
                <w:tcPr>
                  <w:tcW w:w="826" w:type="dxa"/>
                  <w:tcBorders>
                    <w:tl2br w:val="nil"/>
                    <w:tr2bl w:val="nil"/>
                  </w:tcBorders>
                  <w:vAlign w:val="center"/>
                </w:tcPr>
                <w:p w14:paraId="47DD731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40</w:t>
                  </w:r>
                </w:p>
              </w:tc>
              <w:tc>
                <w:tcPr>
                  <w:tcW w:w="936" w:type="dxa"/>
                  <w:tcBorders>
                    <w:tl2br w:val="nil"/>
                    <w:tr2bl w:val="nil"/>
                  </w:tcBorders>
                  <w:vAlign w:val="center"/>
                </w:tcPr>
                <w:p w14:paraId="3064A36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42.5</w:t>
                  </w:r>
                </w:p>
              </w:tc>
              <w:tc>
                <w:tcPr>
                  <w:tcW w:w="1185" w:type="dxa"/>
                  <w:tcBorders>
                    <w:tl2br w:val="nil"/>
                    <w:tr2bl w:val="nil"/>
                  </w:tcBorders>
                  <w:vAlign w:val="center"/>
                </w:tcPr>
                <w:p w14:paraId="37C370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2A5C66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414A5F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SO</w:t>
                  </w:r>
                  <w:r>
                    <w:rPr>
                      <w:rFonts w:hint="default" w:ascii="Times New Roman" w:hAnsi="Times New Roman" w:eastAsia="宋体" w:cs="Times New Roman"/>
                      <w:color w:val="FF0000"/>
                      <w:sz w:val="18"/>
                      <w:szCs w:val="18"/>
                      <w:highlight w:val="none"/>
                      <w:vertAlign w:val="subscript"/>
                    </w:rPr>
                    <w:t>2</w:t>
                  </w:r>
                </w:p>
              </w:tc>
              <w:tc>
                <w:tcPr>
                  <w:tcW w:w="2979" w:type="dxa"/>
                  <w:tcBorders>
                    <w:tl2br w:val="nil"/>
                    <w:tr2bl w:val="nil"/>
                  </w:tcBorders>
                  <w:vAlign w:val="center"/>
                </w:tcPr>
                <w:p w14:paraId="4B17F55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222DE99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8</w:t>
                  </w:r>
                </w:p>
              </w:tc>
              <w:tc>
                <w:tcPr>
                  <w:tcW w:w="826" w:type="dxa"/>
                  <w:tcBorders>
                    <w:tl2br w:val="nil"/>
                    <w:tr2bl w:val="nil"/>
                  </w:tcBorders>
                  <w:vAlign w:val="center"/>
                </w:tcPr>
                <w:p w14:paraId="44CFFC3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60</w:t>
                  </w:r>
                </w:p>
              </w:tc>
              <w:tc>
                <w:tcPr>
                  <w:tcW w:w="936" w:type="dxa"/>
                  <w:tcBorders>
                    <w:tl2br w:val="nil"/>
                    <w:tr2bl w:val="nil"/>
                  </w:tcBorders>
                  <w:vAlign w:val="center"/>
                </w:tcPr>
                <w:p w14:paraId="43ED8D6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13.3</w:t>
                  </w:r>
                </w:p>
              </w:tc>
              <w:tc>
                <w:tcPr>
                  <w:tcW w:w="1185" w:type="dxa"/>
                  <w:tcBorders>
                    <w:tl2br w:val="nil"/>
                    <w:tr2bl w:val="nil"/>
                  </w:tcBorders>
                  <w:vAlign w:val="center"/>
                </w:tcPr>
                <w:p w14:paraId="5E024E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1EEFD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36D8B1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CO</w:t>
                  </w:r>
                </w:p>
              </w:tc>
              <w:tc>
                <w:tcPr>
                  <w:tcW w:w="2979" w:type="dxa"/>
                  <w:tcBorders>
                    <w:tl2br w:val="nil"/>
                    <w:tr2bl w:val="nil"/>
                  </w:tcBorders>
                  <w:vAlign w:val="center"/>
                </w:tcPr>
                <w:p w14:paraId="097DD8B6">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第95百分位数日平均浓度（</w:t>
                  </w:r>
                  <w:r>
                    <w:rPr>
                      <w:rFonts w:hint="default" w:ascii="Times New Roman" w:hAnsi="Times New Roman" w:eastAsia="宋体" w:cs="Times New Roman"/>
                      <w:color w:val="FF0000"/>
                      <w:sz w:val="18"/>
                      <w:szCs w:val="18"/>
                      <w:highlight w:val="none"/>
                    </w:rPr>
                    <w:t>mg/m</w:t>
                  </w:r>
                  <w:r>
                    <w:rPr>
                      <w:rFonts w:hint="default" w:ascii="Times New Roman" w:hAnsi="Times New Roman" w:eastAsia="宋体" w:cs="Times New Roman"/>
                      <w:color w:val="FF0000"/>
                      <w:sz w:val="18"/>
                      <w:szCs w:val="18"/>
                      <w:highlight w:val="none"/>
                      <w:vertAlign w:val="superscript"/>
                    </w:rPr>
                    <w:t>3</w:t>
                  </w:r>
                  <w:r>
                    <w:rPr>
                      <w:rFonts w:hint="eastAsia" w:ascii="Times New Roman" w:hAnsi="Times New Roman" w:eastAsia="宋体" w:cs="Times New Roman"/>
                      <w:color w:val="FF0000"/>
                      <w:sz w:val="18"/>
                      <w:szCs w:val="18"/>
                      <w:highlight w:val="none"/>
                      <w:vertAlign w:val="baseline"/>
                      <w:lang w:eastAsia="zh-CN"/>
                    </w:rPr>
                    <w:t>）</w:t>
                  </w:r>
                </w:p>
              </w:tc>
              <w:tc>
                <w:tcPr>
                  <w:tcW w:w="1045" w:type="dxa"/>
                  <w:tcBorders>
                    <w:tl2br w:val="nil"/>
                    <w:tr2bl w:val="nil"/>
                  </w:tcBorders>
                  <w:vAlign w:val="center"/>
                </w:tcPr>
                <w:p w14:paraId="338156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w:t>
                  </w:r>
                </w:p>
              </w:tc>
              <w:tc>
                <w:tcPr>
                  <w:tcW w:w="826" w:type="dxa"/>
                  <w:tcBorders>
                    <w:tl2br w:val="nil"/>
                    <w:tr2bl w:val="nil"/>
                  </w:tcBorders>
                  <w:vAlign w:val="center"/>
                </w:tcPr>
                <w:p w14:paraId="3F94EB1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4.0</w:t>
                  </w:r>
                </w:p>
              </w:tc>
              <w:tc>
                <w:tcPr>
                  <w:tcW w:w="936" w:type="dxa"/>
                  <w:tcBorders>
                    <w:tl2br w:val="nil"/>
                    <w:tr2bl w:val="nil"/>
                  </w:tcBorders>
                  <w:vAlign w:val="center"/>
                </w:tcPr>
                <w:p w14:paraId="1697D0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25</w:t>
                  </w:r>
                </w:p>
              </w:tc>
              <w:tc>
                <w:tcPr>
                  <w:tcW w:w="1185" w:type="dxa"/>
                  <w:tcBorders>
                    <w:tl2br w:val="nil"/>
                    <w:tr2bl w:val="nil"/>
                  </w:tcBorders>
                  <w:vAlign w:val="center"/>
                </w:tcPr>
                <w:p w14:paraId="112101D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73BA82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E74D7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O</w:t>
                  </w:r>
                  <w:r>
                    <w:rPr>
                      <w:rFonts w:hint="eastAsia" w:cs="Times New Roman"/>
                      <w:color w:val="FF0000"/>
                      <w:sz w:val="18"/>
                      <w:szCs w:val="18"/>
                      <w:highlight w:val="none"/>
                      <w:vertAlign w:val="subscript"/>
                      <w:lang w:val="en-US" w:eastAsia="zh-CN"/>
                    </w:rPr>
                    <w:t>3</w:t>
                  </w:r>
                </w:p>
              </w:tc>
              <w:tc>
                <w:tcPr>
                  <w:tcW w:w="2979" w:type="dxa"/>
                  <w:tcBorders>
                    <w:tl2br w:val="nil"/>
                    <w:tr2bl w:val="nil"/>
                  </w:tcBorders>
                  <w:vAlign w:val="center"/>
                </w:tcPr>
                <w:p w14:paraId="2DDC4AF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第90</w:t>
                  </w:r>
                  <w:r>
                    <w:rPr>
                      <w:rFonts w:hint="default" w:ascii="Times New Roman" w:hAnsi="Times New Roman" w:eastAsia="宋体" w:cs="Times New Roman"/>
                      <w:color w:val="FF0000"/>
                      <w:sz w:val="18"/>
                      <w:szCs w:val="18"/>
                      <w:highlight w:val="none"/>
                    </w:rPr>
                    <w:t>百分位数8h平均</w:t>
                  </w:r>
                  <w:r>
                    <w:rPr>
                      <w:rFonts w:hint="eastAsia" w:cs="Times New Roman"/>
                      <w:color w:val="FF0000"/>
                      <w:sz w:val="18"/>
                      <w:szCs w:val="18"/>
                      <w:highlight w:val="none"/>
                      <w:lang w:val="en-US" w:eastAsia="zh-CN"/>
                    </w:rPr>
                    <w:t>质量</w:t>
                  </w:r>
                  <w:r>
                    <w:rPr>
                      <w:rFonts w:hint="default" w:ascii="Times New Roman" w:hAnsi="Times New Roman" w:eastAsia="宋体" w:cs="Times New Roman"/>
                      <w:color w:val="FF0000"/>
                      <w:sz w:val="18"/>
                      <w:szCs w:val="18"/>
                      <w:highlight w:val="none"/>
                    </w:rPr>
                    <w:t>浓度</w:t>
                  </w:r>
                </w:p>
              </w:tc>
              <w:tc>
                <w:tcPr>
                  <w:tcW w:w="1045" w:type="dxa"/>
                  <w:tcBorders>
                    <w:tl2br w:val="nil"/>
                    <w:tr2bl w:val="nil"/>
                  </w:tcBorders>
                  <w:vAlign w:val="center"/>
                </w:tcPr>
                <w:p w14:paraId="3F42EE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90</w:t>
                  </w:r>
                </w:p>
              </w:tc>
              <w:tc>
                <w:tcPr>
                  <w:tcW w:w="826" w:type="dxa"/>
                  <w:tcBorders>
                    <w:tl2br w:val="nil"/>
                    <w:tr2bl w:val="nil"/>
                  </w:tcBorders>
                  <w:vAlign w:val="center"/>
                </w:tcPr>
                <w:p w14:paraId="35DA1A5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160</w:t>
                  </w:r>
                </w:p>
              </w:tc>
              <w:tc>
                <w:tcPr>
                  <w:tcW w:w="936" w:type="dxa"/>
                  <w:tcBorders>
                    <w:tl2br w:val="nil"/>
                    <w:tr2bl w:val="nil"/>
                  </w:tcBorders>
                  <w:vAlign w:val="center"/>
                </w:tcPr>
                <w:p w14:paraId="5D32865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56.3</w:t>
                  </w:r>
                </w:p>
              </w:tc>
              <w:tc>
                <w:tcPr>
                  <w:tcW w:w="1185" w:type="dxa"/>
                  <w:tcBorders>
                    <w:tl2br w:val="nil"/>
                    <w:tr2bl w:val="nil"/>
                  </w:tcBorders>
                  <w:vAlign w:val="center"/>
                </w:tcPr>
                <w:p w14:paraId="2C43F8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bl>
          <w:p w14:paraId="77E980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FF0000"/>
                <w:kern w:val="0"/>
                <w:sz w:val="21"/>
                <w:szCs w:val="21"/>
                <w:highlight w:val="none"/>
                <w:lang w:val="en-US" w:eastAsia="zh-CN"/>
              </w:rPr>
            </w:pPr>
            <w:r>
              <w:rPr>
                <w:rFonts w:hint="eastAsia" w:cs="Times New Roman"/>
                <w:color w:val="FF0000"/>
                <w:sz w:val="21"/>
                <w:szCs w:val="21"/>
                <w:highlight w:val="none"/>
                <w:lang w:val="en-US" w:eastAsia="zh-CN"/>
              </w:rPr>
              <w:t>由表3-1可知，2024年鸡西市空气基本污染物中</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2.5</w:t>
            </w:r>
            <w:r>
              <w:rPr>
                <w:rFonts w:hint="eastAsia" w:ascii="Times New Roman" w:hAnsi="Times New Roman"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10</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SO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NO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val="en-US" w:eastAsia="zh-CN"/>
              </w:rPr>
              <w:t>年平均质量浓度</w:t>
            </w:r>
            <w:r>
              <w:rPr>
                <w:rFonts w:hint="eastAsia" w:cs="Times New Roman"/>
                <w:color w:val="FF0000"/>
                <w:sz w:val="21"/>
                <w:szCs w:val="21"/>
                <w:highlight w:val="none"/>
                <w:vertAlign w:val="baseline"/>
                <w:lang w:val="en-US" w:eastAsia="zh-CN"/>
              </w:rPr>
              <w:t>及</w:t>
            </w:r>
            <w:r>
              <w:rPr>
                <w:rFonts w:hint="default" w:ascii="Times New Roman" w:hAnsi="Times New Roman" w:eastAsia="宋体" w:cs="Times New Roman"/>
                <w:color w:val="FF0000"/>
                <w:sz w:val="21"/>
                <w:szCs w:val="21"/>
                <w:highlight w:val="none"/>
              </w:rPr>
              <w:t>CO</w:t>
            </w:r>
            <w:r>
              <w:rPr>
                <w:rFonts w:hint="eastAsia" w:cs="Times New Roman"/>
                <w:color w:val="FF0000"/>
                <w:sz w:val="21"/>
                <w:szCs w:val="21"/>
                <w:highlight w:val="none"/>
                <w:lang w:val="en-US" w:eastAsia="zh-CN"/>
              </w:rPr>
              <w:t>第95百分位数日平均浓度、O</w:t>
            </w:r>
            <w:r>
              <w:rPr>
                <w:rFonts w:hint="eastAsia" w:cs="Times New Roman"/>
                <w:color w:val="FF0000"/>
                <w:sz w:val="21"/>
                <w:szCs w:val="21"/>
                <w:highlight w:val="none"/>
                <w:vertAlign w:val="subscript"/>
                <w:lang w:val="en-US" w:eastAsia="zh-CN"/>
              </w:rPr>
              <w:t>3</w:t>
            </w:r>
            <w:r>
              <w:rPr>
                <w:rFonts w:hint="eastAsia" w:cs="Times New Roman"/>
                <w:color w:val="FF0000"/>
                <w:sz w:val="21"/>
                <w:szCs w:val="21"/>
                <w:highlight w:val="none"/>
                <w:lang w:val="en-US" w:eastAsia="zh-CN"/>
              </w:rPr>
              <w:t>第90</w:t>
            </w:r>
            <w:r>
              <w:rPr>
                <w:rFonts w:hint="default" w:ascii="Times New Roman" w:hAnsi="Times New Roman" w:eastAsia="宋体" w:cs="Times New Roman"/>
                <w:color w:val="FF0000"/>
                <w:sz w:val="21"/>
                <w:szCs w:val="21"/>
                <w:highlight w:val="none"/>
              </w:rPr>
              <w:t>百分位数8h平均</w:t>
            </w:r>
            <w:r>
              <w:rPr>
                <w:rFonts w:hint="eastAsia" w:cs="Times New Roman"/>
                <w:color w:val="FF0000"/>
                <w:sz w:val="21"/>
                <w:szCs w:val="21"/>
                <w:highlight w:val="none"/>
                <w:lang w:val="en-US" w:eastAsia="zh-CN"/>
              </w:rPr>
              <w:t>质量</w:t>
            </w:r>
            <w:r>
              <w:rPr>
                <w:rFonts w:hint="default" w:ascii="Times New Roman" w:hAnsi="Times New Roman" w:eastAsia="宋体" w:cs="Times New Roman"/>
                <w:color w:val="FF0000"/>
                <w:sz w:val="21"/>
                <w:szCs w:val="21"/>
                <w:highlight w:val="none"/>
              </w:rPr>
              <w:t>浓度</w:t>
            </w:r>
            <w:r>
              <w:rPr>
                <w:rFonts w:hint="eastAsia" w:ascii="Times New Roman" w:hAnsi="Times New Roman" w:eastAsia="宋体" w:cs="Times New Roman"/>
                <w:color w:val="FF0000"/>
                <w:sz w:val="21"/>
                <w:szCs w:val="21"/>
                <w:highlight w:val="none"/>
                <w:lang w:val="en-US" w:eastAsia="zh-CN"/>
              </w:rPr>
              <w:t>均</w:t>
            </w:r>
            <w:r>
              <w:rPr>
                <w:rFonts w:hint="eastAsia" w:ascii="Times New Roman" w:hAnsi="Times New Roman" w:eastAsia="宋体" w:cs="Times New Roman"/>
                <w:color w:val="FF0000"/>
                <w:sz w:val="21"/>
                <w:szCs w:val="21"/>
                <w:highlight w:val="none"/>
                <w:vertAlign w:val="baseline"/>
                <w:lang w:val="en-US" w:eastAsia="zh-CN"/>
              </w:rPr>
              <w:t>满足</w:t>
            </w:r>
            <w:r>
              <w:rPr>
                <w:rFonts w:hint="default" w:ascii="Times New Roman" w:hAnsi="Times New Roman" w:cs="Times New Roman"/>
                <w:color w:val="FF0000"/>
                <w:kern w:val="0"/>
                <w:sz w:val="21"/>
                <w:szCs w:val="21"/>
                <w:highlight w:val="none"/>
              </w:rPr>
              <w:t>《环境空气质量标准》（GB3095-2012）中的二级标准</w:t>
            </w:r>
            <w:r>
              <w:rPr>
                <w:rFonts w:hint="eastAsia" w:cs="Times New Roman"/>
                <w:color w:val="FF0000"/>
                <w:kern w:val="0"/>
                <w:sz w:val="21"/>
                <w:szCs w:val="21"/>
                <w:highlight w:val="none"/>
                <w:lang w:eastAsia="zh-CN"/>
              </w:rPr>
              <w:t>，</w:t>
            </w:r>
            <w:r>
              <w:rPr>
                <w:rFonts w:hint="eastAsia" w:ascii="Times New Roman" w:hAnsi="Times New Roman" w:cs="Times New Roman"/>
                <w:color w:val="FF0000"/>
                <w:kern w:val="0"/>
                <w:sz w:val="21"/>
                <w:szCs w:val="21"/>
                <w:highlight w:val="none"/>
                <w:lang w:val="en-US" w:eastAsia="zh-CN"/>
              </w:rPr>
              <w:t>因此判定本项目区域环境空气质量为达标区。</w:t>
            </w:r>
          </w:p>
          <w:p w14:paraId="7FFEA832">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szCs w:val="21"/>
                <w:highlight w:val="none"/>
                <w:lang w:val="en-US" w:eastAsia="zh-CN"/>
              </w:rPr>
              <w:t>其他</w:t>
            </w:r>
            <w:r>
              <w:rPr>
                <w:rFonts w:hint="default" w:ascii="Times New Roman" w:hAnsi="Times New Roman" w:cs="Times New Roman"/>
                <w:color w:val="auto"/>
                <w:szCs w:val="21"/>
                <w:highlight w:val="none"/>
              </w:rPr>
              <w:t>污染物</w:t>
            </w:r>
            <w:r>
              <w:rPr>
                <w:rFonts w:hint="eastAsia" w:ascii="Times New Roman" w:hAnsi="Times New Roman" w:cs="Times New Roman"/>
                <w:color w:val="auto"/>
                <w:szCs w:val="21"/>
                <w:highlight w:val="none"/>
                <w:lang w:eastAsia="zh-CN"/>
              </w:rPr>
              <w:t>：</w:t>
            </w:r>
          </w:p>
          <w:p w14:paraId="5AA68815">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r>
              <w:rPr>
                <w:rFonts w:hint="eastAsia"/>
                <w:color w:val="auto"/>
                <w:kern w:val="0"/>
                <w:sz w:val="21"/>
                <w:szCs w:val="21"/>
                <w:highlight w:val="none"/>
                <w:lang w:val="en-US" w:eastAsia="zh-CN"/>
              </w:rPr>
              <w:t>鸡西市常年主导风向为西风，</w:t>
            </w:r>
            <w:r>
              <w:rPr>
                <w:rFonts w:hint="default"/>
                <w:color w:val="auto"/>
                <w:kern w:val="0"/>
                <w:sz w:val="21"/>
                <w:szCs w:val="21"/>
                <w:highlight w:val="none"/>
              </w:rPr>
              <w:t>本项目委托</w:t>
            </w:r>
            <w:r>
              <w:rPr>
                <w:rFonts w:hint="eastAsia"/>
                <w:color w:val="auto"/>
                <w:sz w:val="21"/>
                <w:szCs w:val="21"/>
                <w:highlight w:val="none"/>
                <w:lang w:val="en-US" w:eastAsia="zh-CN"/>
              </w:rPr>
              <w:t>鸡西晟源环境检测</w:t>
            </w:r>
            <w:r>
              <w:rPr>
                <w:rFonts w:hint="default"/>
                <w:color w:val="auto"/>
                <w:sz w:val="21"/>
                <w:szCs w:val="21"/>
                <w:highlight w:val="none"/>
              </w:rPr>
              <w:t>有限公司对</w:t>
            </w:r>
            <w:r>
              <w:rPr>
                <w:rFonts w:hint="eastAsia"/>
                <w:color w:val="auto"/>
                <w:sz w:val="21"/>
                <w:szCs w:val="21"/>
                <w:highlight w:val="none"/>
                <w:lang w:val="en-US" w:eastAsia="zh-CN"/>
              </w:rPr>
              <w:t>TSP</w:t>
            </w:r>
            <w:r>
              <w:rPr>
                <w:rFonts w:hint="default"/>
                <w:color w:val="auto"/>
                <w:sz w:val="21"/>
                <w:szCs w:val="21"/>
                <w:highlight w:val="none"/>
              </w:rPr>
              <w:t>环境空气质量进行监测，监测时间202</w:t>
            </w:r>
            <w:r>
              <w:rPr>
                <w:rFonts w:hint="eastAsia"/>
                <w:color w:val="auto"/>
                <w:sz w:val="21"/>
                <w:szCs w:val="21"/>
                <w:highlight w:val="none"/>
                <w:lang w:val="en-US" w:eastAsia="zh-CN"/>
              </w:rPr>
              <w:t>4</w:t>
            </w:r>
            <w:r>
              <w:rPr>
                <w:rFonts w:hint="default"/>
                <w:color w:val="auto"/>
                <w:sz w:val="21"/>
                <w:szCs w:val="21"/>
                <w:highlight w:val="none"/>
              </w:rPr>
              <w:t>年</w:t>
            </w:r>
            <w:r>
              <w:rPr>
                <w:rFonts w:hint="eastAsia"/>
                <w:color w:val="auto"/>
                <w:sz w:val="21"/>
                <w:szCs w:val="21"/>
                <w:highlight w:val="none"/>
                <w:lang w:val="en-US" w:eastAsia="zh-CN"/>
              </w:rPr>
              <w:t>11</w:t>
            </w:r>
            <w:r>
              <w:rPr>
                <w:rFonts w:hint="default"/>
                <w:color w:val="auto"/>
                <w:sz w:val="21"/>
                <w:szCs w:val="21"/>
                <w:highlight w:val="none"/>
              </w:rPr>
              <w:t>月</w:t>
            </w:r>
            <w:r>
              <w:rPr>
                <w:rFonts w:hint="eastAsia"/>
                <w:color w:val="auto"/>
                <w:sz w:val="21"/>
                <w:szCs w:val="21"/>
                <w:highlight w:val="none"/>
                <w:lang w:val="en-US" w:eastAsia="zh-CN"/>
              </w:rPr>
              <w:t>22</w:t>
            </w:r>
            <w:r>
              <w:rPr>
                <w:rFonts w:hint="default"/>
                <w:color w:val="auto"/>
                <w:sz w:val="21"/>
                <w:szCs w:val="21"/>
                <w:highlight w:val="none"/>
              </w:rPr>
              <w:t>日</w:t>
            </w:r>
            <w:r>
              <w:rPr>
                <w:rFonts w:hint="eastAsia"/>
                <w:color w:val="auto"/>
                <w:sz w:val="21"/>
                <w:szCs w:val="21"/>
                <w:highlight w:val="none"/>
                <w:lang w:val="en-US" w:eastAsia="zh-CN"/>
              </w:rPr>
              <w:t>11</w:t>
            </w:r>
            <w:r>
              <w:rPr>
                <w:rFonts w:hint="default"/>
                <w:color w:val="auto"/>
                <w:sz w:val="21"/>
                <w:szCs w:val="21"/>
                <w:highlight w:val="none"/>
              </w:rPr>
              <w:t>月</w:t>
            </w:r>
            <w:r>
              <w:rPr>
                <w:rFonts w:hint="eastAsia"/>
                <w:color w:val="auto"/>
                <w:sz w:val="21"/>
                <w:szCs w:val="21"/>
                <w:highlight w:val="none"/>
                <w:lang w:val="en-US" w:eastAsia="zh-CN"/>
              </w:rPr>
              <w:t>24</w:t>
            </w:r>
            <w:r>
              <w:rPr>
                <w:rFonts w:hint="default"/>
                <w:color w:val="auto"/>
                <w:sz w:val="21"/>
                <w:szCs w:val="21"/>
                <w:highlight w:val="none"/>
              </w:rPr>
              <w:t>日。</w:t>
            </w:r>
            <w:r>
              <w:rPr>
                <w:rFonts w:hint="eastAsia"/>
                <w:color w:val="auto"/>
                <w:kern w:val="0"/>
                <w:sz w:val="21"/>
                <w:szCs w:val="21"/>
                <w:highlight w:val="none"/>
              </w:rPr>
              <w:t>监测点位见图3-1</w:t>
            </w:r>
            <w:r>
              <w:rPr>
                <w:rFonts w:hint="default"/>
                <w:color w:val="auto"/>
                <w:sz w:val="21"/>
                <w:szCs w:val="21"/>
                <w:highlight w:val="none"/>
              </w:rPr>
              <w:t>。</w:t>
            </w:r>
          </w:p>
          <w:p w14:paraId="52A8B942">
            <w:pPr>
              <w:keepNext w:val="0"/>
              <w:keepLines w:val="0"/>
              <w:suppressLineNumbers w:val="0"/>
              <w:spacing w:before="0" w:beforeAutospacing="0" w:after="0" w:afterAutospacing="0" w:line="360" w:lineRule="auto"/>
              <w:ind w:left="0" w:right="0"/>
              <w:jc w:val="both"/>
              <w:rPr>
                <w:rFonts w:hint="eastAsia" w:ascii="Times New Roman" w:hAnsi="Times New Roman" w:eastAsia="宋体" w:cs="Times New Roman"/>
                <w:b/>
                <w:color w:val="auto"/>
                <w:kern w:val="0"/>
                <w:highlight w:val="none"/>
                <w:lang w:eastAsia="zh-CN"/>
              </w:rPr>
            </w:pPr>
            <w:r>
              <w:rPr>
                <w:rFonts w:hint="default"/>
                <w:color w:val="auto"/>
              </w:rPr>
              <w:drawing>
                <wp:anchor distT="0" distB="0" distL="114300" distR="114300" simplePos="0" relativeHeight="251679744" behindDoc="0" locked="0" layoutInCell="1" allowOverlap="1">
                  <wp:simplePos x="0" y="0"/>
                  <wp:positionH relativeFrom="column">
                    <wp:posOffset>4512945</wp:posOffset>
                  </wp:positionH>
                  <wp:positionV relativeFrom="paragraph">
                    <wp:posOffset>20320</wp:posOffset>
                  </wp:positionV>
                  <wp:extent cx="594360" cy="569595"/>
                  <wp:effectExtent l="0" t="0" r="15240" b="1905"/>
                  <wp:wrapNone/>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1"/>
                          <a:stretch>
                            <a:fillRect/>
                          </a:stretch>
                        </pic:blipFill>
                        <pic:spPr>
                          <a:xfrm>
                            <a:off x="0" y="0"/>
                            <a:ext cx="594360" cy="569595"/>
                          </a:xfrm>
                          <a:prstGeom prst="rect">
                            <a:avLst/>
                          </a:prstGeom>
                          <a:noFill/>
                          <a:ln>
                            <a:noFill/>
                          </a:ln>
                        </pic:spPr>
                      </pic:pic>
                    </a:graphicData>
                  </a:graphic>
                </wp:anchor>
              </w:drawing>
            </w:r>
            <w:r>
              <w:rPr>
                <w:rFonts w:hint="default"/>
                <w:color w:val="auto"/>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3979545</wp:posOffset>
                      </wp:positionH>
                      <wp:positionV relativeFrom="paragraph">
                        <wp:posOffset>1490345</wp:posOffset>
                      </wp:positionV>
                      <wp:extent cx="1119505" cy="1105535"/>
                      <wp:effectExtent l="4445" t="4445" r="19050" b="13970"/>
                      <wp:wrapNone/>
                      <wp:docPr id="34" name="文本框 34"/>
                      <wp:cNvGraphicFramePr/>
                      <a:graphic xmlns:a="http://schemas.openxmlformats.org/drawingml/2006/main">
                        <a:graphicData uri="http://schemas.microsoft.com/office/word/2010/wordprocessingShape">
                          <wps:wsp>
                            <wps:cNvSpPr txBox="1"/>
                            <wps:spPr>
                              <a:xfrm>
                                <a:off x="0" y="0"/>
                                <a:ext cx="1119505" cy="110553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2576C1">
                                  <w:pPr>
                                    <w:jc w:val="center"/>
                                    <w:rPr>
                                      <w:rFonts w:hint="eastAsia"/>
                                      <w:lang w:val="en-US" w:eastAsia="zh-CN"/>
                                    </w:rPr>
                                  </w:pPr>
                                  <w:r>
                                    <w:rPr>
                                      <w:rFonts w:hint="eastAsia"/>
                                      <w:lang w:val="en-US" w:eastAsia="zh-CN"/>
                                    </w:rPr>
                                    <w:t>图例</w:t>
                                  </w:r>
                                </w:p>
                                <w:p w14:paraId="67F2B50B">
                                  <w:pPr>
                                    <w:jc w:val="both"/>
                                    <w:rPr>
                                      <w:rFonts w:hint="default"/>
                                      <w:lang w:val="en-US" w:eastAsia="zh-CN"/>
                                    </w:rPr>
                                  </w:pPr>
                                  <w:r>
                                    <w:rPr>
                                      <w:rFonts w:hint="eastAsia"/>
                                      <w:color w:val="FF0000"/>
                                      <w:lang w:val="en-US" w:eastAsia="zh-CN"/>
                                    </w:rPr>
                                    <w:t>□</w:t>
                                  </w:r>
                                  <w:r>
                                    <w:rPr>
                                      <w:rFonts w:hint="eastAsia"/>
                                      <w:lang w:val="en-US" w:eastAsia="zh-CN"/>
                                    </w:rPr>
                                    <w:t>项目位置</w:t>
                                  </w:r>
                                </w:p>
                                <w:p w14:paraId="364CF25A">
                                  <w:pPr>
                                    <w:jc w:val="both"/>
                                    <w:rPr>
                                      <w:rFonts w:hint="eastAsia"/>
                                      <w:lang w:val="en-US" w:eastAsia="zh-CN"/>
                                    </w:rPr>
                                  </w:pPr>
                                  <w:r>
                                    <w:drawing>
                                      <wp:inline distT="0" distB="0" distL="114300" distR="114300">
                                        <wp:extent cx="302895" cy="282575"/>
                                        <wp:effectExtent l="0" t="0" r="1905" b="317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2"/>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p w14:paraId="4DA2BC65">
                                  <w:pPr>
                                    <w:pStyle w:val="43"/>
                                    <w:rPr>
                                      <w:rFonts w:hint="default"/>
                                      <w:lang w:val="en-US" w:eastAsia="zh-CN"/>
                                    </w:rPr>
                                  </w:pPr>
                                  <w:r>
                                    <w:rPr>
                                      <w:rFonts w:hint="eastAsia"/>
                                      <w:lang w:val="en-US" w:eastAsia="zh-CN"/>
                                    </w:rPr>
                                    <w:t>比例尺：1：4513</w:t>
                                  </w:r>
                                </w:p>
                              </w:txbxContent>
                            </wps:txbx>
                            <wps:bodyPr upright="1"/>
                          </wps:wsp>
                        </a:graphicData>
                      </a:graphic>
                    </wp:anchor>
                  </w:drawing>
                </mc:Choice>
                <mc:Fallback>
                  <w:pict>
                    <v:shape id="_x0000_s1026" o:spid="_x0000_s1026" o:spt="202" type="#_x0000_t202" style="position:absolute;left:0pt;margin-left:313.35pt;margin-top:117.35pt;height:87.05pt;width:88.15pt;z-index:251667456;mso-width-relative:page;mso-height-relative:page;" fillcolor="#FFFFFF" filled="t" stroked="t" coordsize="21600,21600" o:gfxdata="UEsDBAoAAAAAAIdO4kAAAAAAAAAAAAAAAAAEAAAAZHJzL1BLAwQUAAAACACHTuJAJrMTxNoAAAAL&#10;AQAADwAAAGRycy9kb3ducmV2LnhtbE2PwU7DMAyG70i8Q2QkLmhL1lZdKHV3QALBDQYa16zJ2oom&#10;KUnWjbfHnOBmy59+f3+9OduRzSbEwTuE1VIAM671enAdwvvbw0ICi0k5rUbvDMK3ibBpLi9qVWl/&#10;cq9m3qaOUYiLlULoU5oqzmPbG6vi0k/G0e3gg1WJ1tBxHdSJwu3IMyFKbtXg6EOvJnPfm/Zze7QI&#10;sniaP+Jz/rJry8N4m27W8+NXQLy+Wok7YMmc0x8Mv/qkDg057f3R6chGhDIr14QiZHlBAxFS5NRu&#10;j1AIKYE3Nf/fofkBUEsDBBQAAAAIAIdO4kDkDLxjCwIAADkEAAAOAAAAZHJzL2Uyb0RvYy54bWyt&#10;U02u0zAQ3iNxB8t7mqSPIF7U9ElQygYB0oMDuLaTWPKfPG6bXgBuwIoNe87VczB2+vp+YNEFWTjj&#10;8edvZr4ZL25Go8lOBlDOtrSalZRIy51Qtm/p1y/rF68pgcisYNpZ2dKDBHqzfP5ssfeNnLvBaSED&#10;QRILzd63dIjRN0UBfJCGwcx5afGwc8GwiNvQFyKwPbIbXczL8lWxd0H44LgEQO9qOqQnxnAJoes6&#10;xeXK8a2RNk6sQWoWsSQYlAe6zNl2neTxU9eBjES3FCuNecUgaG/SWiwXrOkD84PipxTYJSk8qckw&#10;ZTHomWrFIiPboP6iMooHB66LM+5MMRWSFcEqqvKJNrcD8zLXglKDP4sO/4+Wf9x9DkSJll69pMQy&#10;gx0//vh+/Pn7+OsbQR8KtPfQIO7WIzKOb9yIY3PnB3SmuscumPTHigieo7yHs7xyjISnS1V1XZc1&#10;JRzPqqqs66s68RT3132A+F46Q5LR0oD9y7Ky3QeIE/QOkqKB00qsldZ5E/rNWx3IjmGv1/k7sT+C&#10;aUv2Lb2u5ykRhgPc4eCgaTyKALbP8R7dgIfEZf7+RZwSWzEYpgQyQ4KxxqgoQ7YGycQ7K0g8eNTZ&#10;4vuiKRkjBSVa4nNMVkZGpvQlSNROW5Qw9WjqRbLiuBmRJpkbJw7Yt60Pqh9Q0ty5DMeJytqfpj+N&#10;7MN9Jr1/8c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rMTxNoAAAALAQAADwAAAAAAAAABACAA&#10;AAAiAAAAZHJzL2Rvd25yZXYueG1sUEsBAhQAFAAAAAgAh07iQOQMvGMLAgAAOQQAAA4AAAAAAAAA&#10;AQAgAAAAKQEAAGRycy9lMm9Eb2MueG1sUEsFBgAAAAAGAAYAWQEAAKYFAAAAAA==&#10;">
                      <v:fill on="t" focussize="0,0"/>
                      <v:stroke color="#000000" joinstyle="miter"/>
                      <v:imagedata o:title=""/>
                      <o:lock v:ext="edit" aspectratio="f"/>
                      <v:textbox>
                        <w:txbxContent>
                          <w:p w14:paraId="102576C1">
                            <w:pPr>
                              <w:jc w:val="center"/>
                              <w:rPr>
                                <w:rFonts w:hint="eastAsia"/>
                                <w:lang w:val="en-US" w:eastAsia="zh-CN"/>
                              </w:rPr>
                            </w:pPr>
                            <w:r>
                              <w:rPr>
                                <w:rFonts w:hint="eastAsia"/>
                                <w:lang w:val="en-US" w:eastAsia="zh-CN"/>
                              </w:rPr>
                              <w:t>图例</w:t>
                            </w:r>
                          </w:p>
                          <w:p w14:paraId="67F2B50B">
                            <w:pPr>
                              <w:jc w:val="both"/>
                              <w:rPr>
                                <w:rFonts w:hint="default"/>
                                <w:lang w:val="en-US" w:eastAsia="zh-CN"/>
                              </w:rPr>
                            </w:pPr>
                            <w:r>
                              <w:rPr>
                                <w:rFonts w:hint="eastAsia"/>
                                <w:color w:val="FF0000"/>
                                <w:lang w:val="en-US" w:eastAsia="zh-CN"/>
                              </w:rPr>
                              <w:t>□</w:t>
                            </w:r>
                            <w:r>
                              <w:rPr>
                                <w:rFonts w:hint="eastAsia"/>
                                <w:lang w:val="en-US" w:eastAsia="zh-CN"/>
                              </w:rPr>
                              <w:t>项目位置</w:t>
                            </w:r>
                          </w:p>
                          <w:p w14:paraId="364CF25A">
                            <w:pPr>
                              <w:jc w:val="both"/>
                              <w:rPr>
                                <w:rFonts w:hint="eastAsia"/>
                                <w:lang w:val="en-US" w:eastAsia="zh-CN"/>
                              </w:rPr>
                            </w:pPr>
                            <w:r>
                              <w:drawing>
                                <wp:inline distT="0" distB="0" distL="114300" distR="114300">
                                  <wp:extent cx="302895" cy="282575"/>
                                  <wp:effectExtent l="0" t="0" r="1905" b="317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2"/>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p w14:paraId="4DA2BC65">
                            <w:pPr>
                              <w:pStyle w:val="43"/>
                              <w:rPr>
                                <w:rFonts w:hint="default"/>
                                <w:lang w:val="en-US" w:eastAsia="zh-CN"/>
                              </w:rPr>
                            </w:pPr>
                            <w:r>
                              <w:rPr>
                                <w:rFonts w:hint="eastAsia"/>
                                <w:lang w:val="en-US" w:eastAsia="zh-CN"/>
                              </w:rPr>
                              <w:t>比例尺：1：4513</w:t>
                            </w:r>
                          </w:p>
                        </w:txbxContent>
                      </v:textbox>
                    </v:shape>
                  </w:pict>
                </mc:Fallback>
              </mc:AlternateContent>
            </w:r>
            <w:r>
              <w:rPr>
                <w:rFonts w:hint="default"/>
                <w:color w:val="auto"/>
              </w:rPr>
              <w:drawing>
                <wp:anchor distT="0" distB="0" distL="114300" distR="114300" simplePos="0" relativeHeight="251668480" behindDoc="0" locked="0" layoutInCell="1" allowOverlap="1">
                  <wp:simplePos x="0" y="0"/>
                  <wp:positionH relativeFrom="column">
                    <wp:posOffset>3977005</wp:posOffset>
                  </wp:positionH>
                  <wp:positionV relativeFrom="paragraph">
                    <wp:posOffset>813435</wp:posOffset>
                  </wp:positionV>
                  <wp:extent cx="152400" cy="257175"/>
                  <wp:effectExtent l="0" t="0" r="0" b="9525"/>
                  <wp:wrapNone/>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13"/>
                          <a:stretch>
                            <a:fillRect/>
                          </a:stretch>
                        </pic:blipFill>
                        <pic:spPr>
                          <a:xfrm>
                            <a:off x="0" y="0"/>
                            <a:ext cx="152400" cy="257175"/>
                          </a:xfrm>
                          <a:prstGeom prst="rect">
                            <a:avLst/>
                          </a:prstGeom>
                          <a:noFill/>
                          <a:ln>
                            <a:noFill/>
                          </a:ln>
                        </pic:spPr>
                      </pic:pic>
                    </a:graphicData>
                  </a:graphic>
                </wp:anchor>
              </w:drawing>
            </w:r>
            <w:r>
              <w:rPr>
                <w:rFonts w:hint="default"/>
                <w:color w:val="auto"/>
              </w:rPr>
              <w:drawing>
                <wp:inline distT="0" distB="0" distL="114300" distR="114300">
                  <wp:extent cx="5096510" cy="2589530"/>
                  <wp:effectExtent l="0" t="0" r="8890" b="127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4"/>
                          <a:stretch>
                            <a:fillRect/>
                          </a:stretch>
                        </pic:blipFill>
                        <pic:spPr>
                          <a:xfrm>
                            <a:off x="0" y="0"/>
                            <a:ext cx="5096510" cy="2589530"/>
                          </a:xfrm>
                          <a:prstGeom prst="rect">
                            <a:avLst/>
                          </a:prstGeom>
                          <a:noFill/>
                          <a:ln>
                            <a:noFill/>
                          </a:ln>
                        </pic:spPr>
                      </pic:pic>
                    </a:graphicData>
                  </a:graphic>
                </wp:inline>
              </w:drawing>
            </w:r>
          </w:p>
          <w:p w14:paraId="3D4C6D5E">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kern w:val="0"/>
                <w:highlight w:val="none"/>
                <w:lang w:eastAsia="zh-CN"/>
              </w:rPr>
            </w:pPr>
            <w:r>
              <w:rPr>
                <w:rFonts w:hint="default" w:ascii="Times New Roman" w:hAnsi="Times New Roman" w:cs="Times New Roman"/>
                <w:b/>
                <w:color w:val="auto"/>
                <w:kern w:val="0"/>
                <w:highlight w:val="none"/>
              </w:rPr>
              <w:t>图3-</w:t>
            </w:r>
            <w:r>
              <w:rPr>
                <w:rFonts w:hint="default" w:ascii="Times New Roman" w:hAnsi="Times New Roman" w:cs="Times New Roman"/>
                <w:b/>
                <w:color w:val="auto"/>
                <w:kern w:val="0"/>
                <w:highlight w:val="none"/>
                <w:lang w:val="en-US" w:eastAsia="zh-CN"/>
              </w:rPr>
              <w:t>1</w:t>
            </w:r>
            <w:r>
              <w:rPr>
                <w:rFonts w:hint="eastAsia" w:cs="Times New Roman"/>
                <w:b/>
                <w:color w:val="auto"/>
                <w:kern w:val="0"/>
                <w:highlight w:val="none"/>
                <w:lang w:val="en-US" w:eastAsia="zh-CN"/>
              </w:rPr>
              <w:t xml:space="preserve"> </w:t>
            </w:r>
            <w:r>
              <w:rPr>
                <w:rFonts w:hint="default" w:ascii="Times New Roman" w:hAnsi="Times New Roman" w:cs="Times New Roman"/>
                <w:b/>
                <w:color w:val="auto"/>
                <w:kern w:val="0"/>
                <w:highlight w:val="none"/>
              </w:rPr>
              <w:t>大气监测点位图</w:t>
            </w:r>
          </w:p>
          <w:p w14:paraId="6D0BED0E">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监测点基本信息见表3-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，评价结果见表3-</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w:t>
            </w:r>
          </w:p>
          <w:p w14:paraId="4E2F296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rPr>
              <w:t xml:space="preserve"> 监测点基本信息表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582"/>
              <w:gridCol w:w="1042"/>
              <w:gridCol w:w="1288"/>
              <w:gridCol w:w="1350"/>
              <w:gridCol w:w="1576"/>
            </w:tblGrid>
            <w:tr w14:paraId="200E68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tcBorders>
                    <w:top w:val="single" w:color="auto" w:sz="8" w:space="0"/>
                    <w:bottom w:val="single" w:color="auto" w:sz="4" w:space="0"/>
                    <w:right w:val="single" w:color="auto" w:sz="4" w:space="0"/>
                  </w:tcBorders>
                  <w:noWrap w:val="0"/>
                  <w:vAlign w:val="center"/>
                </w:tcPr>
                <w:p w14:paraId="627996C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1582" w:type="dxa"/>
                  <w:tcBorders>
                    <w:top w:val="single" w:color="auto" w:sz="8" w:space="0"/>
                    <w:left w:val="single" w:color="auto" w:sz="4" w:space="0"/>
                    <w:bottom w:val="single" w:color="auto" w:sz="4" w:space="0"/>
                    <w:right w:val="single" w:color="auto" w:sz="4" w:space="0"/>
                  </w:tcBorders>
                  <w:noWrap w:val="0"/>
                  <w:vAlign w:val="center"/>
                </w:tcPr>
                <w:p w14:paraId="4D4FA05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坐标</w:t>
                  </w:r>
                </w:p>
              </w:tc>
              <w:tc>
                <w:tcPr>
                  <w:tcW w:w="1042" w:type="dxa"/>
                  <w:tcBorders>
                    <w:top w:val="single" w:color="auto" w:sz="8" w:space="0"/>
                    <w:left w:val="single" w:color="auto" w:sz="4" w:space="0"/>
                    <w:bottom w:val="single" w:color="auto" w:sz="4" w:space="0"/>
                    <w:right w:val="single" w:color="auto" w:sz="4" w:space="0"/>
                  </w:tcBorders>
                  <w:noWrap w:val="0"/>
                  <w:vAlign w:val="center"/>
                </w:tcPr>
                <w:p w14:paraId="1B4CE2A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监测因子</w:t>
                  </w:r>
                </w:p>
              </w:tc>
              <w:tc>
                <w:tcPr>
                  <w:tcW w:w="1288" w:type="dxa"/>
                  <w:tcBorders>
                    <w:top w:val="single" w:color="auto" w:sz="8" w:space="0"/>
                    <w:left w:val="single" w:color="auto" w:sz="4" w:space="0"/>
                    <w:bottom w:val="single" w:color="auto" w:sz="4" w:space="0"/>
                    <w:right w:val="single" w:color="auto" w:sz="4" w:space="0"/>
                  </w:tcBorders>
                  <w:noWrap w:val="0"/>
                  <w:vAlign w:val="center"/>
                </w:tcPr>
                <w:p w14:paraId="402FDF5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监测时段</w:t>
                  </w:r>
                </w:p>
              </w:tc>
              <w:tc>
                <w:tcPr>
                  <w:tcW w:w="1350" w:type="dxa"/>
                  <w:tcBorders>
                    <w:top w:val="single" w:color="auto" w:sz="8" w:space="0"/>
                    <w:left w:val="single" w:color="auto" w:sz="4" w:space="0"/>
                    <w:bottom w:val="single" w:color="auto" w:sz="4" w:space="0"/>
                    <w:right w:val="single" w:color="auto" w:sz="4" w:space="0"/>
                  </w:tcBorders>
                  <w:noWrap w:val="0"/>
                  <w:vAlign w:val="center"/>
                </w:tcPr>
                <w:p w14:paraId="3C0B09D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相对厂址方位</w:t>
                  </w:r>
                </w:p>
              </w:tc>
              <w:tc>
                <w:tcPr>
                  <w:tcW w:w="1576" w:type="dxa"/>
                  <w:tcBorders>
                    <w:top w:val="single" w:color="auto" w:sz="8" w:space="0"/>
                    <w:left w:val="single" w:color="auto" w:sz="4" w:space="0"/>
                    <w:bottom w:val="single" w:color="auto" w:sz="4" w:space="0"/>
                  </w:tcBorders>
                  <w:noWrap w:val="0"/>
                  <w:vAlign w:val="center"/>
                </w:tcPr>
                <w:p w14:paraId="41FB656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相对厂界距离/m</w:t>
                  </w:r>
                </w:p>
              </w:tc>
            </w:tr>
            <w:tr w14:paraId="62C464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tcBorders>
                    <w:top w:val="single" w:color="auto" w:sz="4" w:space="0"/>
                    <w:right w:val="single" w:color="auto" w:sz="4" w:space="0"/>
                  </w:tcBorders>
                  <w:noWrap w:val="0"/>
                  <w:vAlign w:val="center"/>
                </w:tcPr>
                <w:p w14:paraId="12B0EB0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厂界下风向100米处</w:t>
                  </w:r>
                </w:p>
              </w:tc>
              <w:tc>
                <w:tcPr>
                  <w:tcW w:w="1582" w:type="dxa"/>
                  <w:tcBorders>
                    <w:top w:val="single" w:color="auto" w:sz="4" w:space="0"/>
                    <w:left w:val="single" w:color="auto" w:sz="4" w:space="0"/>
                    <w:right w:val="single" w:color="auto" w:sz="4" w:space="0"/>
                  </w:tcBorders>
                  <w:noWrap w:val="0"/>
                  <w:vAlign w:val="center"/>
                </w:tcPr>
                <w:p w14:paraId="6ABDB15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131.245819</w:t>
                  </w:r>
                </w:p>
                <w:p w14:paraId="15C2131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45.188003</w:t>
                  </w:r>
                </w:p>
              </w:tc>
              <w:tc>
                <w:tcPr>
                  <w:tcW w:w="1042" w:type="dxa"/>
                  <w:tcBorders>
                    <w:top w:val="single" w:color="auto" w:sz="4" w:space="0"/>
                    <w:left w:val="single" w:color="auto" w:sz="4" w:space="0"/>
                    <w:bottom w:val="single" w:color="auto" w:sz="4" w:space="0"/>
                    <w:right w:val="single" w:color="auto" w:sz="4" w:space="0"/>
                  </w:tcBorders>
                  <w:noWrap w:val="0"/>
                  <w:vAlign w:val="center"/>
                </w:tcPr>
                <w:p w14:paraId="7AD54EE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TSP</w:t>
                  </w:r>
                </w:p>
              </w:tc>
              <w:tc>
                <w:tcPr>
                  <w:tcW w:w="1288" w:type="dxa"/>
                  <w:tcBorders>
                    <w:top w:val="single" w:color="auto" w:sz="4" w:space="0"/>
                    <w:left w:val="single" w:color="auto" w:sz="4" w:space="0"/>
                    <w:bottom w:val="single" w:color="auto" w:sz="4" w:space="0"/>
                    <w:right w:val="single" w:color="auto" w:sz="4" w:space="0"/>
                  </w:tcBorders>
                  <w:noWrap w:val="0"/>
                  <w:vAlign w:val="center"/>
                </w:tcPr>
                <w:p w14:paraId="7783D3C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24</w:t>
                  </w:r>
                  <w:r>
                    <w:rPr>
                      <w:rFonts w:hint="eastAsia" w:cs="Times New Roman"/>
                      <w:color w:val="auto"/>
                      <w:kern w:val="0"/>
                      <w:sz w:val="18"/>
                      <w:szCs w:val="18"/>
                      <w:highlight w:val="none"/>
                      <w:lang w:val="en-US" w:eastAsia="zh-CN"/>
                    </w:rPr>
                    <w:t>h</w:t>
                  </w:r>
                  <w:r>
                    <w:rPr>
                      <w:rFonts w:hint="default" w:ascii="Times New Roman" w:hAnsi="Times New Roman" w:cs="Times New Roman"/>
                      <w:color w:val="auto"/>
                      <w:kern w:val="0"/>
                      <w:sz w:val="18"/>
                      <w:szCs w:val="18"/>
                      <w:highlight w:val="none"/>
                    </w:rPr>
                    <w:t>平均</w:t>
                  </w:r>
                </w:p>
              </w:tc>
              <w:tc>
                <w:tcPr>
                  <w:tcW w:w="1350" w:type="dxa"/>
                  <w:tcBorders>
                    <w:top w:val="single" w:color="auto" w:sz="4" w:space="0"/>
                    <w:left w:val="single" w:color="auto" w:sz="4" w:space="0"/>
                    <w:right w:val="single" w:color="auto" w:sz="4" w:space="0"/>
                  </w:tcBorders>
                  <w:noWrap w:val="0"/>
                  <w:vAlign w:val="center"/>
                </w:tcPr>
                <w:p w14:paraId="17BC409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E</w:t>
                  </w:r>
                </w:p>
              </w:tc>
              <w:tc>
                <w:tcPr>
                  <w:tcW w:w="1576" w:type="dxa"/>
                  <w:tcBorders>
                    <w:top w:val="single" w:color="auto" w:sz="4" w:space="0"/>
                    <w:left w:val="single" w:color="auto" w:sz="4" w:space="0"/>
                  </w:tcBorders>
                  <w:noWrap w:val="0"/>
                  <w:vAlign w:val="center"/>
                </w:tcPr>
                <w:p w14:paraId="65F1A8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r>
          </w:tbl>
          <w:p w14:paraId="5DDE11AB">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color w:val="auto"/>
                <w:highlight w:val="none"/>
              </w:rPr>
            </w:pPr>
          </w:p>
          <w:p w14:paraId="47E6A01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3</w:t>
            </w:r>
            <w:r>
              <w:rPr>
                <w:rFonts w:hint="eastAsia"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监测结果</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915"/>
              <w:gridCol w:w="1170"/>
              <w:gridCol w:w="1588"/>
              <w:gridCol w:w="1325"/>
              <w:gridCol w:w="987"/>
              <w:gridCol w:w="939"/>
            </w:tblGrid>
            <w:tr w14:paraId="74C3F0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noWrap w:val="0"/>
                  <w:vAlign w:val="center"/>
                </w:tcPr>
                <w:p w14:paraId="4DCC0FE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915" w:type="dxa"/>
                  <w:noWrap w:val="0"/>
                  <w:vAlign w:val="center"/>
                </w:tcPr>
                <w:p w14:paraId="176995F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w:t>
                  </w:r>
                </w:p>
              </w:tc>
              <w:tc>
                <w:tcPr>
                  <w:tcW w:w="1170" w:type="dxa"/>
                  <w:noWrap w:val="0"/>
                  <w:vAlign w:val="center"/>
                </w:tcPr>
                <w:p w14:paraId="7FC81A0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评价标准（μg/m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588" w:type="dxa"/>
                  <w:noWrap w:val="0"/>
                  <w:vAlign w:val="center"/>
                </w:tcPr>
                <w:p w14:paraId="58A612F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浓度范围（μg/m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325" w:type="dxa"/>
                  <w:noWrap w:val="0"/>
                  <w:vAlign w:val="center"/>
                </w:tcPr>
                <w:p w14:paraId="13A073E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最大占标率%</w:t>
                  </w:r>
                </w:p>
              </w:tc>
              <w:tc>
                <w:tcPr>
                  <w:tcW w:w="987" w:type="dxa"/>
                  <w:noWrap w:val="0"/>
                  <w:vAlign w:val="center"/>
                </w:tcPr>
                <w:p w14:paraId="41B7A18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超标率%</w:t>
                  </w:r>
                </w:p>
              </w:tc>
              <w:tc>
                <w:tcPr>
                  <w:tcW w:w="939" w:type="dxa"/>
                  <w:noWrap w:val="0"/>
                  <w:vAlign w:val="center"/>
                </w:tcPr>
                <w:p w14:paraId="4837D39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达标情况</w:t>
                  </w:r>
                </w:p>
              </w:tc>
            </w:tr>
            <w:tr w14:paraId="5E83EC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noWrap w:val="0"/>
                  <w:vAlign w:val="center"/>
                </w:tcPr>
                <w:p w14:paraId="657F555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厂界下风向100米处</w:t>
                  </w:r>
                </w:p>
              </w:tc>
              <w:tc>
                <w:tcPr>
                  <w:tcW w:w="915" w:type="dxa"/>
                  <w:noWrap w:val="0"/>
                  <w:vAlign w:val="center"/>
                </w:tcPr>
                <w:p w14:paraId="322680F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w:t>
                  </w:r>
                </w:p>
              </w:tc>
              <w:tc>
                <w:tcPr>
                  <w:tcW w:w="1170" w:type="dxa"/>
                  <w:noWrap w:val="0"/>
                  <w:vAlign w:val="center"/>
                </w:tcPr>
                <w:p w14:paraId="6159716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1588" w:type="dxa"/>
                  <w:noWrap w:val="0"/>
                  <w:vAlign w:val="center"/>
                </w:tcPr>
                <w:p w14:paraId="096A16F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104-110</w:t>
                  </w:r>
                </w:p>
              </w:tc>
              <w:tc>
                <w:tcPr>
                  <w:tcW w:w="1325" w:type="dxa"/>
                  <w:noWrap w:val="0"/>
                  <w:vAlign w:val="center"/>
                </w:tcPr>
                <w:p w14:paraId="6FE9DF8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36.6</w:t>
                  </w:r>
                </w:p>
              </w:tc>
              <w:tc>
                <w:tcPr>
                  <w:tcW w:w="987" w:type="dxa"/>
                  <w:noWrap w:val="0"/>
                  <w:vAlign w:val="center"/>
                </w:tcPr>
                <w:p w14:paraId="664DCD8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p>
              </w:tc>
              <w:tc>
                <w:tcPr>
                  <w:tcW w:w="939" w:type="dxa"/>
                  <w:noWrap w:val="0"/>
                  <w:vAlign w:val="center"/>
                </w:tcPr>
                <w:p w14:paraId="301CCAE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14:paraId="1027A936">
            <w:pPr>
              <w:keepNext w:val="0"/>
              <w:keepLines w:val="0"/>
              <w:suppressLineNumbers w:val="0"/>
              <w:spacing w:before="0" w:beforeAutospacing="0" w:after="0" w:afterAutospacing="0" w:line="360" w:lineRule="auto"/>
              <w:ind w:left="0" w:right="0" w:firstLine="420" w:firstLineChars="200"/>
              <w:rPr>
                <w:rFonts w:hint="default"/>
                <w:color w:val="auto"/>
                <w:highlight w:val="none"/>
              </w:rPr>
            </w:pPr>
            <w:r>
              <w:rPr>
                <w:rFonts w:hint="default" w:ascii="Times New Roman" w:hAnsi="Times New Roman" w:cs="Times New Roman"/>
                <w:color w:val="auto"/>
                <w:highlight w:val="none"/>
              </w:rPr>
              <w:t>由上表可以看出，本项目TSP24</w:t>
            </w:r>
            <w:r>
              <w:rPr>
                <w:rFonts w:hint="eastAsia" w:cs="Times New Roman"/>
                <w:color w:val="auto"/>
                <w:highlight w:val="none"/>
                <w:lang w:val="en-US" w:eastAsia="zh-CN"/>
              </w:rPr>
              <w:t>h</w:t>
            </w:r>
            <w:r>
              <w:rPr>
                <w:rFonts w:hint="default" w:ascii="Times New Roman" w:hAnsi="Times New Roman" w:cs="Times New Roman"/>
                <w:color w:val="auto"/>
                <w:highlight w:val="none"/>
              </w:rPr>
              <w:t>平均浓度值</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《环境空气质量标准》（GB3095-2012）及其修改单二级标准要求，区域环境空气质量</w:t>
            </w:r>
          </w:p>
          <w:p w14:paraId="3EEECAC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7626E4A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color w:val="FF0000"/>
                <w:kern w:val="0"/>
                <w:szCs w:val="21"/>
                <w:highlight w:val="none"/>
              </w:rPr>
            </w:pPr>
            <w:r>
              <w:rPr>
                <w:rFonts w:hint="eastAsia"/>
                <w:color w:val="FF0000"/>
                <w:kern w:val="0"/>
                <w:szCs w:val="21"/>
                <w:highlight w:val="none"/>
              </w:rPr>
              <w:t>本项目最近水体为穆棱河。根据《全国重要江河湖泊水功能区划（2011-2030）》，</w:t>
            </w:r>
            <w:r>
              <w:rPr>
                <w:rFonts w:hint="eastAsia" w:ascii="Times New Roman" w:hAnsi="Times New Roman" w:eastAsia="宋体" w:cs="Times New Roman"/>
                <w:color w:val="FF0000"/>
                <w:sz w:val="21"/>
                <w:szCs w:val="21"/>
                <w:highlight w:val="none"/>
                <w:lang w:val="en-US" w:eastAsia="zh-CN"/>
              </w:rPr>
              <w:t>项目所在水功能区起始断面</w:t>
            </w:r>
            <w:r>
              <w:rPr>
                <w:rFonts w:hint="eastAsia" w:ascii="Times New Roman" w:hAnsi="Times New Roman" w:cs="Times New Roman"/>
                <w:color w:val="FF0000"/>
                <w:kern w:val="0"/>
                <w:sz w:val="21"/>
                <w:szCs w:val="21"/>
                <w:highlight w:val="none"/>
                <w:lang w:val="en-US" w:eastAsia="zh-CN"/>
              </w:rPr>
              <w:t>为</w:t>
            </w:r>
            <w:r>
              <w:rPr>
                <w:rFonts w:hint="eastAsia" w:ascii="Times New Roman" w:hAnsi="Times New Roman" w:eastAsia="宋体" w:cs="Times New Roman"/>
                <w:color w:val="FF0000"/>
                <w:sz w:val="21"/>
                <w:szCs w:val="21"/>
                <w:highlight w:val="none"/>
                <w:lang w:val="en-US" w:eastAsia="zh-CN"/>
              </w:rPr>
              <w:t>鸡古路西100m，终止断面为凯北站，水质标准为Ⅲ类。</w:t>
            </w:r>
            <w:r>
              <w:rPr>
                <w:rFonts w:hint="eastAsia"/>
                <w:color w:val="FF0000"/>
                <w:kern w:val="0"/>
                <w:szCs w:val="21"/>
                <w:highlight w:val="none"/>
              </w:rPr>
              <w:t>根据鸡西市人民政府发布的《2025年1月地表水国控考核断面水质信息公开》穆棱河口内达到Ⅲ类水质类别标准，知一桥断面均达到Ⅱ类水质类别标准。</w:t>
            </w:r>
          </w:p>
          <w:p w14:paraId="39DC7CA5">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6E7AB27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color w:val="FF0000"/>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本次对周围声环境敏感点进行声环境质量现状评价，委托鸡西晟源环境检测有限公司进行监测，监测时间为2024年11月22日，监测点位为东</w:t>
            </w:r>
            <w:r>
              <w:rPr>
                <w:rFonts w:hint="eastAsia" w:cs="Times New Roman"/>
                <w:color w:val="auto"/>
                <w:sz w:val="21"/>
                <w:szCs w:val="21"/>
                <w:highlight w:val="none"/>
                <w:lang w:val="en-US" w:eastAsia="zh-CN"/>
              </w:rPr>
              <w:t>侧</w:t>
            </w:r>
            <w:r>
              <w:rPr>
                <w:rFonts w:hint="eastAsia" w:ascii="Times New Roman" w:hAnsi="Times New Roman" w:eastAsia="宋体" w:cs="Times New Roman"/>
                <w:color w:val="auto"/>
                <w:sz w:val="21"/>
                <w:szCs w:val="21"/>
                <w:highlight w:val="none"/>
                <w:lang w:val="en-US" w:eastAsia="zh-CN"/>
              </w:rPr>
              <w:t>居民区、南侧居民区、西侧居民区。监测频次为监测1天。检测报告见附件。声环境现状检测统计结果见表3-4。</w:t>
            </w:r>
          </w:p>
          <w:p w14:paraId="5FA617A4">
            <w:pPr>
              <w:keepNext w:val="0"/>
              <w:keepLines w:val="0"/>
              <w:suppressLineNumbers w:val="0"/>
              <w:adjustRightInd w:val="0"/>
              <w:spacing w:before="0" w:beforeAutospacing="0" w:after="0" w:afterAutospacing="0"/>
              <w:ind w:left="0" w:right="0"/>
              <w:jc w:val="center"/>
              <w:rPr>
                <w:rFonts w:hint="default"/>
                <w:color w:val="auto"/>
              </w:rPr>
            </w:pPr>
            <w:r>
              <w:rPr>
                <w:rFonts w:hint="eastAsia"/>
                <w:b/>
                <w:bCs/>
                <w:color w:val="auto"/>
                <w:kern w:val="0"/>
                <w:sz w:val="24"/>
              </w:rPr>
              <w:t>表3-4 声环境现状监测统计结果 Leq[dB(A)]</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6"/>
              <w:gridCol w:w="1925"/>
              <w:gridCol w:w="1790"/>
              <w:gridCol w:w="1790"/>
              <w:gridCol w:w="957"/>
              <w:gridCol w:w="984"/>
            </w:tblGrid>
            <w:tr w14:paraId="26B6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359" w:type="pct"/>
                  <w:tcBorders>
                    <w:top w:val="single" w:color="auto" w:sz="12" w:space="0"/>
                  </w:tcBorders>
                  <w:noWrap/>
                  <w:tcMar>
                    <w:top w:w="15" w:type="dxa"/>
                    <w:left w:w="15" w:type="dxa"/>
                    <w:right w:w="15" w:type="dxa"/>
                  </w:tcMar>
                  <w:vAlign w:val="center"/>
                </w:tcPr>
                <w:p w14:paraId="1A4C59CF">
                  <w:pPr>
                    <w:keepNext w:val="0"/>
                    <w:keepLines w:val="0"/>
                    <w:suppressLineNumbers w:val="0"/>
                    <w:spacing w:before="0" w:beforeAutospacing="0" w:after="0" w:afterAutospacing="0"/>
                    <w:ind w:left="0" w:right="0"/>
                    <w:jc w:val="center"/>
                    <w:rPr>
                      <w:rFonts w:hint="default"/>
                      <w:b/>
                      <w:bCs/>
                      <w:color w:val="auto"/>
                      <w:szCs w:val="21"/>
                    </w:rPr>
                  </w:pPr>
                  <w:r>
                    <w:rPr>
                      <w:rFonts w:hint="eastAsia"/>
                      <w:b/>
                      <w:bCs/>
                      <w:color w:val="auto"/>
                      <w:szCs w:val="21"/>
                    </w:rPr>
                    <w:t>序号</w:t>
                  </w:r>
                </w:p>
              </w:tc>
              <w:tc>
                <w:tcPr>
                  <w:tcW w:w="1199" w:type="pct"/>
                  <w:tcBorders>
                    <w:top w:val="single" w:color="auto" w:sz="12" w:space="0"/>
                  </w:tcBorders>
                  <w:noWrap/>
                  <w:tcMar>
                    <w:top w:w="15" w:type="dxa"/>
                    <w:left w:w="15" w:type="dxa"/>
                    <w:right w:w="15" w:type="dxa"/>
                  </w:tcMar>
                  <w:vAlign w:val="center"/>
                </w:tcPr>
                <w:p w14:paraId="619AB8F8">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检测点</w:t>
                  </w:r>
                  <w:r>
                    <w:rPr>
                      <w:rFonts w:hint="eastAsia"/>
                      <w:b/>
                      <w:bCs/>
                      <w:color w:val="auto"/>
                      <w:szCs w:val="21"/>
                    </w:rPr>
                    <w:t>名称</w:t>
                  </w:r>
                </w:p>
              </w:tc>
              <w:tc>
                <w:tcPr>
                  <w:tcW w:w="1115" w:type="pct"/>
                  <w:tcBorders>
                    <w:top w:val="single" w:color="auto" w:sz="12" w:space="0"/>
                  </w:tcBorders>
                  <w:tcMar>
                    <w:top w:w="15" w:type="dxa"/>
                    <w:left w:w="15" w:type="dxa"/>
                    <w:right w:w="15" w:type="dxa"/>
                  </w:tcMar>
                  <w:vAlign w:val="center"/>
                </w:tcPr>
                <w:p w14:paraId="6856E82B">
                  <w:pPr>
                    <w:keepNext w:val="0"/>
                    <w:keepLines w:val="0"/>
                    <w:suppressLineNumbers w:val="0"/>
                    <w:spacing w:before="0" w:beforeAutospacing="0" w:after="0" w:afterAutospacing="0"/>
                    <w:ind w:left="0" w:right="0"/>
                    <w:jc w:val="center"/>
                    <w:rPr>
                      <w:rFonts w:hint="default"/>
                      <w:b/>
                      <w:bCs/>
                      <w:color w:val="auto"/>
                      <w:szCs w:val="21"/>
                    </w:rPr>
                  </w:pPr>
                  <w:r>
                    <w:rPr>
                      <w:rFonts w:hint="eastAsia"/>
                      <w:b/>
                      <w:bCs/>
                      <w:color w:val="auto"/>
                      <w:szCs w:val="21"/>
                    </w:rPr>
                    <w:t>方位距离</w:t>
                  </w:r>
                </w:p>
              </w:tc>
              <w:tc>
                <w:tcPr>
                  <w:tcW w:w="1115" w:type="pct"/>
                  <w:tcBorders>
                    <w:top w:val="single" w:color="auto" w:sz="12" w:space="0"/>
                  </w:tcBorders>
                  <w:tcMar>
                    <w:top w:w="15" w:type="dxa"/>
                    <w:left w:w="15" w:type="dxa"/>
                    <w:right w:w="15" w:type="dxa"/>
                  </w:tcMar>
                  <w:vAlign w:val="center"/>
                </w:tcPr>
                <w:p w14:paraId="279AB5CF">
                  <w:pPr>
                    <w:keepNext w:val="0"/>
                    <w:keepLines w:val="0"/>
                    <w:suppressLineNumbers w:val="0"/>
                    <w:spacing w:before="0" w:beforeAutospacing="0" w:after="0" w:afterAutospacing="0"/>
                    <w:ind w:left="0" w:right="0"/>
                    <w:jc w:val="center"/>
                    <w:rPr>
                      <w:rFonts w:hint="default"/>
                      <w:b/>
                      <w:bCs/>
                      <w:color w:val="auto"/>
                      <w:kern w:val="0"/>
                      <w:szCs w:val="21"/>
                    </w:rPr>
                  </w:pPr>
                  <w:r>
                    <w:rPr>
                      <w:rFonts w:hint="default"/>
                      <w:b/>
                      <w:bCs/>
                      <w:color w:val="auto"/>
                      <w:szCs w:val="21"/>
                    </w:rPr>
                    <w:t>检测时间</w:t>
                  </w:r>
                </w:p>
              </w:tc>
              <w:tc>
                <w:tcPr>
                  <w:tcW w:w="596" w:type="pct"/>
                  <w:tcBorders>
                    <w:top w:val="single" w:color="auto" w:sz="12" w:space="0"/>
                  </w:tcBorders>
                  <w:tcMar>
                    <w:top w:w="15" w:type="dxa"/>
                    <w:left w:w="15" w:type="dxa"/>
                    <w:right w:w="15" w:type="dxa"/>
                  </w:tcMar>
                  <w:vAlign w:val="center"/>
                </w:tcPr>
                <w:p w14:paraId="00BC62FB">
                  <w:pPr>
                    <w:keepNext w:val="0"/>
                    <w:keepLines w:val="0"/>
                    <w:widowControl/>
                    <w:suppressLineNumbers w:val="0"/>
                    <w:spacing w:before="0" w:beforeAutospacing="0" w:after="0" w:afterAutospacing="0"/>
                    <w:ind w:left="0" w:right="0"/>
                    <w:jc w:val="center"/>
                    <w:rPr>
                      <w:rFonts w:hint="default"/>
                      <w:b/>
                      <w:bCs/>
                      <w:color w:val="auto"/>
                      <w:kern w:val="0"/>
                      <w:szCs w:val="21"/>
                    </w:rPr>
                  </w:pPr>
                  <w:r>
                    <w:rPr>
                      <w:rFonts w:hint="default"/>
                      <w:b/>
                      <w:bCs/>
                      <w:color w:val="auto"/>
                      <w:szCs w:val="21"/>
                    </w:rPr>
                    <w:t>昼L</w:t>
                  </w:r>
                  <w:r>
                    <w:rPr>
                      <w:rFonts w:hint="default"/>
                      <w:b/>
                      <w:bCs/>
                      <w:color w:val="auto"/>
                      <w:szCs w:val="21"/>
                      <w:vertAlign w:val="subscript"/>
                    </w:rPr>
                    <w:t>eq</w:t>
                  </w:r>
                </w:p>
              </w:tc>
              <w:tc>
                <w:tcPr>
                  <w:tcW w:w="613" w:type="pct"/>
                  <w:tcBorders>
                    <w:top w:val="single" w:color="auto" w:sz="12" w:space="0"/>
                    <w:right w:val="nil"/>
                  </w:tcBorders>
                  <w:tcMar>
                    <w:top w:w="15" w:type="dxa"/>
                    <w:left w:w="15" w:type="dxa"/>
                    <w:right w:w="15" w:type="dxa"/>
                  </w:tcMar>
                  <w:vAlign w:val="center"/>
                </w:tcPr>
                <w:p w14:paraId="242619E1">
                  <w:pPr>
                    <w:keepNext w:val="0"/>
                    <w:keepLines w:val="0"/>
                    <w:suppressLineNumbers w:val="0"/>
                    <w:spacing w:before="0" w:beforeAutospacing="0" w:after="0" w:afterAutospacing="0"/>
                    <w:ind w:left="0" w:right="0"/>
                    <w:jc w:val="center"/>
                    <w:rPr>
                      <w:rFonts w:hint="default"/>
                      <w:b/>
                      <w:bCs/>
                      <w:color w:val="auto"/>
                      <w:kern w:val="0"/>
                      <w:szCs w:val="21"/>
                    </w:rPr>
                  </w:pPr>
                  <w:r>
                    <w:rPr>
                      <w:rFonts w:hint="default"/>
                      <w:b/>
                      <w:bCs/>
                      <w:color w:val="auto"/>
                      <w:szCs w:val="21"/>
                    </w:rPr>
                    <w:t>夜L</w:t>
                  </w:r>
                  <w:r>
                    <w:rPr>
                      <w:rFonts w:hint="default"/>
                      <w:b/>
                      <w:bCs/>
                      <w:color w:val="auto"/>
                      <w:szCs w:val="21"/>
                      <w:vertAlign w:val="subscript"/>
                    </w:rPr>
                    <w:t>eq</w:t>
                  </w:r>
                </w:p>
              </w:tc>
            </w:tr>
            <w:tr w14:paraId="0A6F6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left w:val="nil"/>
                  </w:tcBorders>
                  <w:noWrap/>
                  <w:tcMar>
                    <w:top w:w="15" w:type="dxa"/>
                    <w:left w:w="15" w:type="dxa"/>
                    <w:right w:w="15" w:type="dxa"/>
                  </w:tcMar>
                  <w:vAlign w:val="center"/>
                </w:tcPr>
                <w:p w14:paraId="53375976">
                  <w:pPr>
                    <w:keepNext w:val="0"/>
                    <w:keepLines w:val="0"/>
                    <w:widowControl/>
                    <w:suppressLineNumbers w:val="0"/>
                    <w:spacing w:before="0" w:beforeAutospacing="0" w:after="0" w:afterAutospacing="0"/>
                    <w:ind w:left="0" w:right="0"/>
                    <w:jc w:val="center"/>
                    <w:textAlignment w:val="center"/>
                    <w:rPr>
                      <w:rFonts w:hint="default"/>
                      <w:color w:val="auto"/>
                      <w:sz w:val="18"/>
                      <w:szCs w:val="18"/>
                      <w:highlight w:val="none"/>
                    </w:rPr>
                  </w:pPr>
                  <w:r>
                    <w:rPr>
                      <w:rFonts w:hint="eastAsia"/>
                      <w:color w:val="auto"/>
                      <w:kern w:val="0"/>
                      <w:sz w:val="18"/>
                      <w:szCs w:val="18"/>
                      <w:highlight w:val="none"/>
                    </w:rPr>
                    <w:t>1</w:t>
                  </w:r>
                </w:p>
              </w:tc>
              <w:tc>
                <w:tcPr>
                  <w:tcW w:w="1199" w:type="pct"/>
                  <w:noWrap/>
                  <w:tcMar>
                    <w:top w:w="15" w:type="dxa"/>
                    <w:left w:w="15" w:type="dxa"/>
                    <w:right w:w="15" w:type="dxa"/>
                  </w:tcMar>
                  <w:vAlign w:val="center"/>
                </w:tcPr>
                <w:p w14:paraId="261A9677">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东侧居民区</w:t>
                  </w:r>
                </w:p>
              </w:tc>
              <w:tc>
                <w:tcPr>
                  <w:tcW w:w="1115" w:type="pct"/>
                  <w:tcMar>
                    <w:top w:w="15" w:type="dxa"/>
                    <w:left w:w="15" w:type="dxa"/>
                    <w:right w:w="15" w:type="dxa"/>
                  </w:tcMar>
                  <w:vAlign w:val="center"/>
                </w:tcPr>
                <w:p w14:paraId="3321722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E</w:t>
                  </w:r>
                  <w:r>
                    <w:rPr>
                      <w:rFonts w:hint="eastAsia"/>
                      <w:color w:val="auto"/>
                      <w:sz w:val="18"/>
                      <w:szCs w:val="18"/>
                      <w:highlight w:val="none"/>
                    </w:rPr>
                    <w:t>/</w:t>
                  </w:r>
                  <w:r>
                    <w:rPr>
                      <w:rFonts w:hint="eastAsia"/>
                      <w:color w:val="auto"/>
                      <w:sz w:val="18"/>
                      <w:szCs w:val="18"/>
                      <w:highlight w:val="none"/>
                      <w:lang w:val="en-US" w:eastAsia="zh-CN"/>
                    </w:rPr>
                    <w:t>18</w:t>
                  </w:r>
                  <w:r>
                    <w:rPr>
                      <w:rFonts w:hint="eastAsia"/>
                      <w:color w:val="auto"/>
                      <w:sz w:val="18"/>
                      <w:szCs w:val="18"/>
                      <w:highlight w:val="none"/>
                    </w:rPr>
                    <w:t>米</w:t>
                  </w:r>
                </w:p>
              </w:tc>
              <w:tc>
                <w:tcPr>
                  <w:tcW w:w="1115" w:type="pct"/>
                  <w:tcMar>
                    <w:top w:w="15" w:type="dxa"/>
                    <w:left w:w="15" w:type="dxa"/>
                    <w:right w:w="15" w:type="dxa"/>
                  </w:tcMar>
                  <w:vAlign w:val="center"/>
                </w:tcPr>
                <w:p w14:paraId="6D0F6A05">
                  <w:pPr>
                    <w:keepNext w:val="0"/>
                    <w:keepLines w:val="0"/>
                    <w:widowControl/>
                    <w:suppressLineNumbers w:val="0"/>
                    <w:spacing w:before="0" w:beforeAutospacing="0" w:after="0" w:afterAutospacing="0"/>
                    <w:ind w:left="0" w:leftChars="0" w:right="0" w:rightChars="0"/>
                    <w:jc w:val="center"/>
                    <w:textAlignment w:val="center"/>
                    <w:rPr>
                      <w:rFonts w:hint="default" w:eastAsia="宋体"/>
                      <w:b/>
                      <w:bCs/>
                      <w:color w:val="auto"/>
                      <w:kern w:val="0"/>
                      <w:sz w:val="18"/>
                      <w:szCs w:val="18"/>
                      <w:highlight w:val="none"/>
                      <w:lang w:val="en-US" w:eastAsia="zh-CN"/>
                    </w:rPr>
                  </w:pPr>
                  <w:r>
                    <w:rPr>
                      <w:rFonts w:hint="eastAsia"/>
                      <w:color w:val="auto"/>
                      <w:kern w:val="0"/>
                      <w:sz w:val="18"/>
                      <w:szCs w:val="18"/>
                      <w:highlight w:val="none"/>
                    </w:rPr>
                    <w:t>202</w:t>
                  </w:r>
                  <w:r>
                    <w:rPr>
                      <w:rFonts w:hint="eastAsia"/>
                      <w:color w:val="auto"/>
                      <w:kern w:val="0"/>
                      <w:sz w:val="18"/>
                      <w:szCs w:val="18"/>
                      <w:highlight w:val="none"/>
                      <w:lang w:val="en-US" w:eastAsia="zh-CN"/>
                    </w:rPr>
                    <w:t>4</w:t>
                  </w:r>
                  <w:r>
                    <w:rPr>
                      <w:rFonts w:hint="eastAsia"/>
                      <w:color w:val="auto"/>
                      <w:kern w:val="0"/>
                      <w:sz w:val="18"/>
                      <w:szCs w:val="18"/>
                      <w:highlight w:val="none"/>
                    </w:rPr>
                    <w:t>.</w:t>
                  </w:r>
                  <w:r>
                    <w:rPr>
                      <w:rFonts w:hint="eastAsia"/>
                      <w:color w:val="auto"/>
                      <w:kern w:val="0"/>
                      <w:sz w:val="18"/>
                      <w:szCs w:val="18"/>
                      <w:highlight w:val="none"/>
                      <w:lang w:val="en-US" w:eastAsia="zh-CN"/>
                    </w:rPr>
                    <w:t>11.22</w:t>
                  </w:r>
                </w:p>
              </w:tc>
              <w:tc>
                <w:tcPr>
                  <w:tcW w:w="596" w:type="pct"/>
                  <w:tcMar>
                    <w:top w:w="15" w:type="dxa"/>
                    <w:left w:w="15" w:type="dxa"/>
                    <w:right w:w="15" w:type="dxa"/>
                  </w:tcMar>
                  <w:vAlign w:val="center"/>
                </w:tcPr>
                <w:p w14:paraId="19421C50">
                  <w:pPr>
                    <w:pStyle w:val="27"/>
                    <w:keepNext w:val="0"/>
                    <w:keepLines w:val="0"/>
                    <w:suppressLineNumbers w:val="0"/>
                    <w:spacing w:before="0" w:beforeAutospacing="0" w:after="0" w:afterAutospacing="0" w:line="240" w:lineRule="exact"/>
                    <w:ind w:left="0" w:right="0"/>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42.8</w:t>
                  </w:r>
                </w:p>
              </w:tc>
              <w:tc>
                <w:tcPr>
                  <w:tcW w:w="613" w:type="pct"/>
                  <w:tcBorders>
                    <w:right w:val="nil"/>
                  </w:tcBorders>
                  <w:tcMar>
                    <w:top w:w="15" w:type="dxa"/>
                    <w:left w:w="15" w:type="dxa"/>
                    <w:right w:w="15" w:type="dxa"/>
                  </w:tcMar>
                  <w:vAlign w:val="center"/>
                </w:tcPr>
                <w:p w14:paraId="1214FBE4">
                  <w:pPr>
                    <w:keepNext w:val="0"/>
                    <w:keepLines w:val="0"/>
                    <w:suppressLineNumbers w:val="0"/>
                    <w:spacing w:before="0" w:beforeAutospacing="0" w:after="0" w:afterAutospacing="0"/>
                    <w:ind w:left="0" w:right="0"/>
                    <w:jc w:val="center"/>
                    <w:rPr>
                      <w:rFonts w:hint="default" w:eastAsia="宋体"/>
                      <w:color w:val="auto"/>
                      <w:kern w:val="0"/>
                      <w:sz w:val="18"/>
                      <w:szCs w:val="18"/>
                      <w:highlight w:val="none"/>
                      <w:lang w:val="en-US" w:eastAsia="zh-CN"/>
                    </w:rPr>
                  </w:pPr>
                  <w:r>
                    <w:rPr>
                      <w:rFonts w:hint="eastAsia" w:eastAsia="宋体"/>
                      <w:color w:val="auto"/>
                      <w:kern w:val="0"/>
                      <w:sz w:val="18"/>
                      <w:szCs w:val="18"/>
                      <w:highlight w:val="none"/>
                      <w:lang w:val="en-US" w:eastAsia="zh-CN"/>
                    </w:rPr>
                    <w:t>35.4</w:t>
                  </w:r>
                </w:p>
              </w:tc>
            </w:tr>
            <w:tr w14:paraId="00E48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left w:val="nil"/>
                  </w:tcBorders>
                  <w:noWrap/>
                  <w:tcMar>
                    <w:top w:w="15" w:type="dxa"/>
                    <w:left w:w="15" w:type="dxa"/>
                    <w:right w:w="15" w:type="dxa"/>
                  </w:tcMar>
                  <w:vAlign w:val="center"/>
                </w:tcPr>
                <w:p w14:paraId="4D48394E">
                  <w:pPr>
                    <w:keepNext w:val="0"/>
                    <w:keepLines w:val="0"/>
                    <w:widowControl/>
                    <w:suppressLineNumbers w:val="0"/>
                    <w:spacing w:before="0" w:beforeAutospacing="0" w:after="0" w:afterAutospacing="0"/>
                    <w:ind w:left="0" w:right="0"/>
                    <w:jc w:val="center"/>
                    <w:textAlignment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1199" w:type="pct"/>
                  <w:noWrap/>
                  <w:tcMar>
                    <w:top w:w="15" w:type="dxa"/>
                    <w:left w:w="15" w:type="dxa"/>
                    <w:right w:w="15" w:type="dxa"/>
                  </w:tcMar>
                  <w:vAlign w:val="center"/>
                </w:tcPr>
                <w:p w14:paraId="61B51BD4">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南侧居民区</w:t>
                  </w:r>
                </w:p>
              </w:tc>
              <w:tc>
                <w:tcPr>
                  <w:tcW w:w="1115" w:type="pct"/>
                  <w:tcMar>
                    <w:top w:w="15" w:type="dxa"/>
                    <w:left w:w="15" w:type="dxa"/>
                    <w:right w:w="15" w:type="dxa"/>
                  </w:tcMar>
                  <w:vAlign w:val="center"/>
                </w:tcPr>
                <w:p w14:paraId="7B5D6B0A">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S/11米</w:t>
                  </w:r>
                </w:p>
              </w:tc>
              <w:tc>
                <w:tcPr>
                  <w:tcW w:w="1115" w:type="pct"/>
                  <w:shd w:val="clear" w:color="auto" w:fill="auto"/>
                  <w:tcMar>
                    <w:top w:w="15" w:type="dxa"/>
                    <w:left w:w="15" w:type="dxa"/>
                    <w:right w:w="15" w:type="dxa"/>
                  </w:tcMar>
                  <w:vAlign w:val="center"/>
                </w:tcPr>
                <w:p w14:paraId="55A99E5E">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kern w:val="0"/>
                      <w:sz w:val="18"/>
                      <w:szCs w:val="18"/>
                      <w:highlight w:val="none"/>
                      <w:lang w:val="en-US" w:eastAsia="zh-CN" w:bidi="ar-SA"/>
                    </w:rPr>
                  </w:pPr>
                  <w:r>
                    <w:rPr>
                      <w:rFonts w:hint="eastAsia"/>
                      <w:color w:val="auto"/>
                      <w:kern w:val="0"/>
                      <w:sz w:val="18"/>
                      <w:szCs w:val="18"/>
                      <w:highlight w:val="none"/>
                    </w:rPr>
                    <w:t>202</w:t>
                  </w:r>
                  <w:r>
                    <w:rPr>
                      <w:rFonts w:hint="eastAsia"/>
                      <w:color w:val="auto"/>
                      <w:kern w:val="0"/>
                      <w:sz w:val="18"/>
                      <w:szCs w:val="18"/>
                      <w:highlight w:val="none"/>
                      <w:lang w:val="en-US" w:eastAsia="zh-CN"/>
                    </w:rPr>
                    <w:t>4</w:t>
                  </w:r>
                  <w:r>
                    <w:rPr>
                      <w:rFonts w:hint="eastAsia"/>
                      <w:color w:val="auto"/>
                      <w:kern w:val="0"/>
                      <w:sz w:val="18"/>
                      <w:szCs w:val="18"/>
                      <w:highlight w:val="none"/>
                    </w:rPr>
                    <w:t>.</w:t>
                  </w:r>
                  <w:r>
                    <w:rPr>
                      <w:rFonts w:hint="eastAsia"/>
                      <w:color w:val="auto"/>
                      <w:kern w:val="0"/>
                      <w:sz w:val="18"/>
                      <w:szCs w:val="18"/>
                      <w:highlight w:val="none"/>
                      <w:lang w:val="en-US" w:eastAsia="zh-CN"/>
                    </w:rPr>
                    <w:t>11.22</w:t>
                  </w:r>
                </w:p>
              </w:tc>
              <w:tc>
                <w:tcPr>
                  <w:tcW w:w="596" w:type="pct"/>
                  <w:tcMar>
                    <w:top w:w="15" w:type="dxa"/>
                    <w:left w:w="15" w:type="dxa"/>
                    <w:right w:w="15" w:type="dxa"/>
                  </w:tcMar>
                  <w:vAlign w:val="center"/>
                </w:tcPr>
                <w:p w14:paraId="7680F7D5">
                  <w:pPr>
                    <w:pStyle w:val="27"/>
                    <w:keepNext w:val="0"/>
                    <w:keepLines w:val="0"/>
                    <w:suppressLineNumbers w:val="0"/>
                    <w:spacing w:before="0" w:beforeAutospacing="0" w:after="0" w:afterAutospacing="0" w:line="240" w:lineRule="exact"/>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42.5</w:t>
                  </w:r>
                </w:p>
              </w:tc>
              <w:tc>
                <w:tcPr>
                  <w:tcW w:w="613" w:type="pct"/>
                  <w:tcBorders>
                    <w:right w:val="nil"/>
                  </w:tcBorders>
                  <w:tcMar>
                    <w:top w:w="15" w:type="dxa"/>
                    <w:left w:w="15" w:type="dxa"/>
                    <w:right w:w="15" w:type="dxa"/>
                  </w:tcMar>
                  <w:vAlign w:val="center"/>
                </w:tcPr>
                <w:p w14:paraId="47DE49A6">
                  <w:pPr>
                    <w:keepNext w:val="0"/>
                    <w:keepLines w:val="0"/>
                    <w:suppressLineNumbers w:val="0"/>
                    <w:spacing w:before="0" w:beforeAutospacing="0" w:after="0" w:afterAutospacing="0"/>
                    <w:ind w:left="0" w:right="0"/>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34.9</w:t>
                  </w:r>
                </w:p>
              </w:tc>
            </w:tr>
            <w:tr w14:paraId="56541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left w:val="nil"/>
                  </w:tcBorders>
                  <w:noWrap/>
                  <w:tcMar>
                    <w:top w:w="15" w:type="dxa"/>
                    <w:left w:w="15" w:type="dxa"/>
                    <w:right w:w="15" w:type="dxa"/>
                  </w:tcMar>
                  <w:vAlign w:val="center"/>
                </w:tcPr>
                <w:p w14:paraId="1AC61B05">
                  <w:pPr>
                    <w:keepNext w:val="0"/>
                    <w:keepLines w:val="0"/>
                    <w:widowControl/>
                    <w:suppressLineNumbers w:val="0"/>
                    <w:spacing w:before="0" w:beforeAutospacing="0" w:after="0" w:afterAutospacing="0"/>
                    <w:ind w:left="0" w:right="0"/>
                    <w:jc w:val="center"/>
                    <w:textAlignment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3</w:t>
                  </w:r>
                </w:p>
              </w:tc>
              <w:tc>
                <w:tcPr>
                  <w:tcW w:w="1199" w:type="pct"/>
                  <w:noWrap/>
                  <w:tcMar>
                    <w:top w:w="15" w:type="dxa"/>
                    <w:left w:w="15" w:type="dxa"/>
                    <w:right w:w="15" w:type="dxa"/>
                  </w:tcMar>
                  <w:vAlign w:val="center"/>
                </w:tcPr>
                <w:p w14:paraId="6367BA55">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西侧居民区</w:t>
                  </w:r>
                </w:p>
              </w:tc>
              <w:tc>
                <w:tcPr>
                  <w:tcW w:w="1115" w:type="pct"/>
                  <w:tcMar>
                    <w:top w:w="15" w:type="dxa"/>
                    <w:left w:w="15" w:type="dxa"/>
                    <w:right w:w="15" w:type="dxa"/>
                  </w:tcMar>
                  <w:vAlign w:val="center"/>
                </w:tcPr>
                <w:p w14:paraId="28A5F6ED">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W/19米</w:t>
                  </w:r>
                </w:p>
              </w:tc>
              <w:tc>
                <w:tcPr>
                  <w:tcW w:w="1115" w:type="pct"/>
                  <w:shd w:val="clear" w:color="auto" w:fill="auto"/>
                  <w:tcMar>
                    <w:top w:w="15" w:type="dxa"/>
                    <w:left w:w="15" w:type="dxa"/>
                    <w:right w:w="15" w:type="dxa"/>
                  </w:tcMar>
                  <w:vAlign w:val="center"/>
                </w:tcPr>
                <w:p w14:paraId="4C1D607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kern w:val="0"/>
                      <w:sz w:val="18"/>
                      <w:szCs w:val="18"/>
                      <w:highlight w:val="none"/>
                      <w:lang w:val="en-US" w:eastAsia="zh-CN" w:bidi="ar-SA"/>
                    </w:rPr>
                  </w:pPr>
                  <w:r>
                    <w:rPr>
                      <w:rFonts w:hint="eastAsia"/>
                      <w:color w:val="auto"/>
                      <w:kern w:val="0"/>
                      <w:sz w:val="18"/>
                      <w:szCs w:val="18"/>
                      <w:highlight w:val="none"/>
                    </w:rPr>
                    <w:t>202</w:t>
                  </w:r>
                  <w:r>
                    <w:rPr>
                      <w:rFonts w:hint="eastAsia"/>
                      <w:color w:val="auto"/>
                      <w:kern w:val="0"/>
                      <w:sz w:val="18"/>
                      <w:szCs w:val="18"/>
                      <w:highlight w:val="none"/>
                      <w:lang w:val="en-US" w:eastAsia="zh-CN"/>
                    </w:rPr>
                    <w:t>4</w:t>
                  </w:r>
                  <w:r>
                    <w:rPr>
                      <w:rFonts w:hint="eastAsia"/>
                      <w:color w:val="auto"/>
                      <w:kern w:val="0"/>
                      <w:sz w:val="18"/>
                      <w:szCs w:val="18"/>
                      <w:highlight w:val="none"/>
                    </w:rPr>
                    <w:t>.</w:t>
                  </w:r>
                  <w:r>
                    <w:rPr>
                      <w:rFonts w:hint="eastAsia"/>
                      <w:color w:val="auto"/>
                      <w:kern w:val="0"/>
                      <w:sz w:val="18"/>
                      <w:szCs w:val="18"/>
                      <w:highlight w:val="none"/>
                      <w:lang w:val="en-US" w:eastAsia="zh-CN"/>
                    </w:rPr>
                    <w:t>11.22</w:t>
                  </w:r>
                </w:p>
              </w:tc>
              <w:tc>
                <w:tcPr>
                  <w:tcW w:w="596" w:type="pct"/>
                  <w:tcMar>
                    <w:top w:w="15" w:type="dxa"/>
                    <w:left w:w="15" w:type="dxa"/>
                    <w:right w:w="15" w:type="dxa"/>
                  </w:tcMar>
                  <w:vAlign w:val="center"/>
                </w:tcPr>
                <w:p w14:paraId="538FA958">
                  <w:pPr>
                    <w:pStyle w:val="27"/>
                    <w:keepNext w:val="0"/>
                    <w:keepLines w:val="0"/>
                    <w:suppressLineNumbers w:val="0"/>
                    <w:spacing w:before="0" w:beforeAutospacing="0" w:after="0" w:afterAutospacing="0" w:line="240" w:lineRule="exact"/>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43.6</w:t>
                  </w:r>
                </w:p>
              </w:tc>
              <w:tc>
                <w:tcPr>
                  <w:tcW w:w="613" w:type="pct"/>
                  <w:tcBorders>
                    <w:right w:val="nil"/>
                  </w:tcBorders>
                  <w:tcMar>
                    <w:top w:w="15" w:type="dxa"/>
                    <w:left w:w="15" w:type="dxa"/>
                    <w:right w:w="15" w:type="dxa"/>
                  </w:tcMar>
                  <w:vAlign w:val="center"/>
                </w:tcPr>
                <w:p w14:paraId="227360CF">
                  <w:pPr>
                    <w:keepNext w:val="0"/>
                    <w:keepLines w:val="0"/>
                    <w:suppressLineNumbers w:val="0"/>
                    <w:spacing w:before="0" w:beforeAutospacing="0" w:after="0" w:afterAutospacing="0"/>
                    <w:ind w:left="0" w:right="0"/>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38.0</w:t>
                  </w:r>
                </w:p>
              </w:tc>
            </w:tr>
          </w:tbl>
          <w:p w14:paraId="41E0C31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default"/>
                <w:b/>
                <w:color w:val="auto"/>
                <w:sz w:val="21"/>
                <w:szCs w:val="21"/>
                <w:highlight w:val="none"/>
              </w:rPr>
            </w:pPr>
            <w:r>
              <w:rPr>
                <w:rFonts w:hint="eastAsia" w:ascii="Times New Roman" w:hAnsi="Times New Roman" w:eastAsia="宋体" w:cs="Times New Roman"/>
                <w:color w:val="auto"/>
                <w:sz w:val="21"/>
                <w:szCs w:val="21"/>
                <w:highlight w:val="none"/>
                <w:lang w:val="en-US" w:eastAsia="zh-CN"/>
              </w:rPr>
              <w:t>由表3-4监测结果得知，本项目所在区域环境噪声现状情况较好，敏感点昼间、夜间噪声均能满足《声环境质量标准》（GB3096-2008）中2类标准。</w:t>
            </w:r>
          </w:p>
          <w:p w14:paraId="395FAE37">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22" w:firstLineChars="200"/>
              <w:jc w:val="both"/>
              <w:textAlignment w:val="auto"/>
              <w:rPr>
                <w:rFonts w:hint="default"/>
                <w:b/>
                <w:color w:val="auto"/>
                <w:sz w:val="21"/>
                <w:szCs w:val="21"/>
                <w:highlight w:val="none"/>
              </w:rPr>
            </w:pPr>
            <w:r>
              <w:rPr>
                <w:rFonts w:hint="default"/>
                <w:b/>
                <w:color w:val="auto"/>
                <w:sz w:val="21"/>
                <w:szCs w:val="21"/>
                <w:highlight w:val="none"/>
              </w:rPr>
              <w:t>4、生态环境</w:t>
            </w:r>
          </w:p>
          <w:p w14:paraId="07830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kern w:val="0"/>
                <w:szCs w:val="21"/>
                <w:highlight w:val="none"/>
              </w:rPr>
            </w:pPr>
            <w:r>
              <w:rPr>
                <w:rFonts w:hint="default"/>
                <w:color w:val="auto"/>
                <w:kern w:val="0"/>
                <w:szCs w:val="21"/>
                <w:highlight w:val="none"/>
              </w:rPr>
              <w:t>本项目用地范围内无生态环境保护目标，因此不进行生态现状调查。</w:t>
            </w:r>
          </w:p>
          <w:p w14:paraId="3D526567">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b/>
                <w:color w:val="auto"/>
                <w:sz w:val="21"/>
                <w:szCs w:val="21"/>
                <w:highlight w:val="none"/>
              </w:rPr>
            </w:pPr>
            <w:r>
              <w:rPr>
                <w:rFonts w:hint="default"/>
                <w:b/>
                <w:color w:val="auto"/>
                <w:sz w:val="21"/>
                <w:szCs w:val="21"/>
                <w:highlight w:val="none"/>
              </w:rPr>
              <w:t>5、地下水、土壤环境</w:t>
            </w:r>
          </w:p>
          <w:p w14:paraId="3D14E8B3">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rPr>
            </w:pPr>
            <w:r>
              <w:rPr>
                <w:rFonts w:hint="default"/>
                <w:color w:val="auto"/>
                <w:kern w:val="0"/>
                <w:sz w:val="21"/>
                <w:szCs w:val="21"/>
                <w:highlight w:val="none"/>
              </w:rPr>
              <w:t>本项目属于</w:t>
            </w:r>
            <w:r>
              <w:rPr>
                <w:rFonts w:hint="eastAsia"/>
                <w:color w:val="auto"/>
                <w:kern w:val="0"/>
                <w:sz w:val="21"/>
                <w:szCs w:val="21"/>
                <w:highlight w:val="none"/>
                <w:lang w:val="en-US" w:eastAsia="zh-CN"/>
              </w:rPr>
              <w:t>农产品初加工</w:t>
            </w:r>
            <w:r>
              <w:rPr>
                <w:rFonts w:hint="default"/>
                <w:color w:val="auto"/>
                <w:kern w:val="0"/>
                <w:sz w:val="21"/>
                <w:szCs w:val="21"/>
                <w:highlight w:val="none"/>
              </w:rPr>
              <w:t>项目，不存在土壤、地下水污染途径，因此，不进行土壤、地下水环境质量现状监测。</w:t>
            </w:r>
          </w:p>
        </w:tc>
      </w:tr>
      <w:tr w14:paraId="44C65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17" w:hRule="atLeast"/>
          <w:jc w:val="center"/>
        </w:trPr>
        <w:tc>
          <w:tcPr>
            <w:tcW w:w="452" w:type="pct"/>
            <w:vAlign w:val="center"/>
          </w:tcPr>
          <w:p w14:paraId="066F788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4938E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olor w:val="auto"/>
                <w:lang w:eastAsia="zh-CN"/>
              </w:rPr>
            </w:pPr>
            <w:r>
              <w:rPr>
                <w:rFonts w:hint="eastAsia"/>
                <w:color w:val="auto"/>
                <w:kern w:val="0"/>
                <w:szCs w:val="21"/>
                <w:highlight w:val="none"/>
                <w:lang w:val="en-US" w:eastAsia="zh-CN"/>
              </w:rPr>
              <w:t>本项目位于黑龙江省鸡西市鸡东县平阳镇平阳村</w:t>
            </w:r>
            <w:r>
              <w:rPr>
                <w:rFonts w:hint="eastAsia" w:cs="Times New Roman"/>
                <w:bCs/>
                <w:color w:val="auto"/>
                <w:szCs w:val="21"/>
                <w:highlight w:val="none"/>
                <w:lang w:val="en-US" w:eastAsia="zh-CN"/>
              </w:rPr>
              <w:t>，距离本项目最近的饮用水水源位于厂界西南780米处，地理坐标（131°14'25.3997",45°11'09.3311"），</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本项目</w:t>
            </w:r>
            <w:r>
              <w:rPr>
                <w:rFonts w:hint="eastAsia"/>
                <w:color w:val="auto"/>
                <w:highlight w:val="none"/>
                <w:lang w:val="en-US" w:eastAsia="zh-CN"/>
              </w:rPr>
              <w:t>厂界外</w:t>
            </w:r>
            <w:r>
              <w:rPr>
                <w:rFonts w:hint="default" w:ascii="Times New Roman" w:hAnsi="Times New Roman" w:eastAsia="宋体" w:cs="Times New Roman"/>
                <w:bCs/>
                <w:color w:val="auto"/>
                <w:szCs w:val="21"/>
                <w:highlight w:val="none"/>
              </w:rPr>
              <w:t>50米范围内声环境保护目标；500米范围内大气环境保护目标</w:t>
            </w:r>
            <w:r>
              <w:rPr>
                <w:rFonts w:hint="default"/>
                <w:color w:val="auto"/>
              </w:rPr>
              <w:t>，详见</w:t>
            </w:r>
            <w:r>
              <w:rPr>
                <w:rFonts w:hint="eastAsia"/>
                <w:color w:val="auto"/>
                <w:lang w:val="en-US" w:eastAsia="zh-CN"/>
              </w:rPr>
              <w:t>下</w:t>
            </w:r>
            <w:r>
              <w:rPr>
                <w:rFonts w:hint="default"/>
                <w:color w:val="auto"/>
              </w:rPr>
              <w:t>表</w:t>
            </w:r>
            <w:r>
              <w:rPr>
                <w:rFonts w:hint="eastAsia"/>
                <w:color w:val="auto"/>
                <w:lang w:eastAsia="zh-CN"/>
              </w:rPr>
              <w:t>。</w:t>
            </w:r>
          </w:p>
          <w:p w14:paraId="3D824D3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 xml:space="preserve">5 </w:t>
            </w:r>
            <w:r>
              <w:rPr>
                <w:rFonts w:hint="default" w:ascii="Times New Roman" w:hAnsi="Times New Roman" w:cs="Times New Roman"/>
                <w:b/>
                <w:bCs/>
                <w:color w:val="auto"/>
                <w:szCs w:val="21"/>
                <w:highlight w:val="none"/>
              </w:rPr>
              <w:t>环境保护目标一览表</w:t>
            </w:r>
          </w:p>
          <w:tbl>
            <w:tblPr>
              <w:tblStyle w:val="34"/>
              <w:tblW w:w="500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0"/>
              <w:gridCol w:w="991"/>
              <w:gridCol w:w="1351"/>
              <w:gridCol w:w="1215"/>
              <w:gridCol w:w="957"/>
              <w:gridCol w:w="602"/>
              <w:gridCol w:w="774"/>
              <w:gridCol w:w="774"/>
              <w:gridCol w:w="773"/>
            </w:tblGrid>
            <w:tr w14:paraId="2E0379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03B1B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616" w:type="pct"/>
                  <w:vMerge w:val="restart"/>
                  <w:tcBorders>
                    <w:tl2br w:val="nil"/>
                    <w:tr2bl w:val="nil"/>
                  </w:tcBorders>
                  <w:noWrap w:val="0"/>
                  <w:vAlign w:val="center"/>
                </w:tcPr>
                <w:p w14:paraId="7A555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4AC87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596" w:type="pct"/>
                  <w:gridSpan w:val="2"/>
                  <w:tcBorders>
                    <w:tl2br w:val="nil"/>
                    <w:tr2bl w:val="nil"/>
                  </w:tcBorders>
                  <w:noWrap w:val="0"/>
                  <w:vAlign w:val="center"/>
                </w:tcPr>
                <w:p w14:paraId="4766C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595" w:type="pct"/>
                  <w:vMerge w:val="restart"/>
                  <w:tcBorders>
                    <w:tl2br w:val="nil"/>
                    <w:tr2bl w:val="nil"/>
                  </w:tcBorders>
                  <w:noWrap w:val="0"/>
                  <w:vAlign w:val="center"/>
                </w:tcPr>
                <w:p w14:paraId="4529D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74" w:type="pct"/>
                  <w:vMerge w:val="restart"/>
                  <w:tcBorders>
                    <w:tl2br w:val="nil"/>
                    <w:tr2bl w:val="nil"/>
                  </w:tcBorders>
                  <w:noWrap w:val="0"/>
                  <w:vAlign w:val="center"/>
                </w:tcPr>
                <w:p w14:paraId="4B0A3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481" w:type="pct"/>
                  <w:vMerge w:val="restart"/>
                  <w:tcBorders>
                    <w:tl2br w:val="nil"/>
                    <w:tr2bl w:val="nil"/>
                  </w:tcBorders>
                  <w:noWrap w:val="0"/>
                  <w:vAlign w:val="center"/>
                </w:tcPr>
                <w:p w14:paraId="210B3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7CD2C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481" w:type="pct"/>
                  <w:vMerge w:val="restart"/>
                  <w:tcBorders>
                    <w:tl2br w:val="nil"/>
                    <w:tr2bl w:val="nil"/>
                  </w:tcBorders>
                  <w:noWrap w:val="0"/>
                  <w:vAlign w:val="center"/>
                </w:tcPr>
                <w:p w14:paraId="703C1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480" w:type="pct"/>
                  <w:vMerge w:val="restart"/>
                  <w:tcBorders>
                    <w:tl2br w:val="nil"/>
                    <w:tr2bl w:val="nil"/>
                  </w:tcBorders>
                  <w:noWrap w:val="0"/>
                  <w:vAlign w:val="center"/>
                </w:tcPr>
                <w:p w14:paraId="687D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3F204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06267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616" w:type="pct"/>
                  <w:vMerge w:val="continue"/>
                  <w:tcBorders>
                    <w:tl2br w:val="nil"/>
                    <w:tr2bl w:val="nil"/>
                  </w:tcBorders>
                  <w:noWrap w:val="0"/>
                  <w:vAlign w:val="center"/>
                </w:tcPr>
                <w:p w14:paraId="540A4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840" w:type="pct"/>
                  <w:tcBorders>
                    <w:tl2br w:val="nil"/>
                    <w:tr2bl w:val="nil"/>
                  </w:tcBorders>
                  <w:noWrap w:val="0"/>
                  <w:vAlign w:val="center"/>
                </w:tcPr>
                <w:p w14:paraId="7380F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755" w:type="pct"/>
                  <w:tcBorders>
                    <w:tl2br w:val="nil"/>
                    <w:tr2bl w:val="nil"/>
                  </w:tcBorders>
                  <w:noWrap w:val="0"/>
                  <w:vAlign w:val="center"/>
                </w:tcPr>
                <w:p w14:paraId="6BD80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595" w:type="pct"/>
                  <w:vMerge w:val="continue"/>
                  <w:tcBorders>
                    <w:tl2br w:val="nil"/>
                    <w:tr2bl w:val="nil"/>
                  </w:tcBorders>
                  <w:noWrap w:val="0"/>
                  <w:vAlign w:val="center"/>
                </w:tcPr>
                <w:p w14:paraId="51D6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74" w:type="pct"/>
                  <w:vMerge w:val="continue"/>
                  <w:tcBorders>
                    <w:tl2br w:val="nil"/>
                    <w:tr2bl w:val="nil"/>
                  </w:tcBorders>
                  <w:noWrap w:val="0"/>
                  <w:vAlign w:val="center"/>
                </w:tcPr>
                <w:p w14:paraId="3AD0C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tcBorders>
                    <w:tl2br w:val="nil"/>
                    <w:tr2bl w:val="nil"/>
                  </w:tcBorders>
                  <w:noWrap w:val="0"/>
                  <w:vAlign w:val="center"/>
                </w:tcPr>
                <w:p w14:paraId="5A6A1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tcBorders>
                    <w:tl2br w:val="nil"/>
                    <w:tr2bl w:val="nil"/>
                  </w:tcBorders>
                  <w:noWrap w:val="0"/>
                  <w:vAlign w:val="center"/>
                </w:tcPr>
                <w:p w14:paraId="39EAA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0" w:type="pct"/>
                  <w:vMerge w:val="continue"/>
                  <w:tcBorders>
                    <w:tl2br w:val="nil"/>
                    <w:tr2bl w:val="nil"/>
                  </w:tcBorders>
                  <w:noWrap w:val="0"/>
                  <w:vAlign w:val="center"/>
                </w:tcPr>
                <w:p w14:paraId="512DB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05304D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66360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tc>
              <w:tc>
                <w:tcPr>
                  <w:tcW w:w="616" w:type="pct"/>
                  <w:tcBorders>
                    <w:tl2br w:val="nil"/>
                    <w:tr2bl w:val="nil"/>
                  </w:tcBorders>
                  <w:noWrap w:val="0"/>
                  <w:vAlign w:val="center"/>
                </w:tcPr>
                <w:p w14:paraId="007A6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平阳村</w:t>
                  </w:r>
                </w:p>
              </w:tc>
              <w:tc>
                <w:tcPr>
                  <w:tcW w:w="840" w:type="pct"/>
                  <w:tcBorders>
                    <w:tl2br w:val="nil"/>
                    <w:tr2bl w:val="nil"/>
                  </w:tcBorders>
                  <w:noWrap w:val="0"/>
                  <w:vAlign w:val="center"/>
                </w:tcPr>
                <w:p w14:paraId="5105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eastAsia" w:ascii="Times New Roman" w:hAnsi="Times New Roman" w:eastAsia="宋体" w:cs="Times New Roman"/>
                      <w:color w:val="auto"/>
                      <w:sz w:val="18"/>
                      <w:szCs w:val="18"/>
                      <w:lang w:eastAsia="zh-CN"/>
                    </w:rPr>
                    <w:t>131.245594</w:t>
                  </w:r>
                </w:p>
              </w:tc>
              <w:tc>
                <w:tcPr>
                  <w:tcW w:w="755" w:type="pct"/>
                  <w:tcBorders>
                    <w:tl2br w:val="nil"/>
                    <w:tr2bl w:val="nil"/>
                  </w:tcBorders>
                  <w:noWrap w:val="0"/>
                  <w:vAlign w:val="center"/>
                </w:tcPr>
                <w:p w14:paraId="7F504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eastAsia" w:ascii="Times New Roman" w:hAnsi="Times New Roman" w:eastAsia="宋体" w:cs="Times New Roman"/>
                      <w:color w:val="auto"/>
                      <w:sz w:val="18"/>
                      <w:szCs w:val="18"/>
                      <w:lang w:eastAsia="zh-CN"/>
                    </w:rPr>
                    <w:t>45.188358</w:t>
                  </w:r>
                </w:p>
              </w:tc>
              <w:tc>
                <w:tcPr>
                  <w:tcW w:w="595" w:type="pct"/>
                  <w:tcBorders>
                    <w:tl2br w:val="nil"/>
                    <w:tr2bl w:val="nil"/>
                  </w:tcBorders>
                  <w:noWrap w:val="0"/>
                  <w:vAlign w:val="center"/>
                </w:tcPr>
                <w:p w14:paraId="7AA5EC90">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noWrap w:val="0"/>
                  <w:vAlign w:val="center"/>
                </w:tcPr>
                <w:p w14:paraId="4928A7D3">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481" w:type="pct"/>
                  <w:tcBorders>
                    <w:tl2br w:val="nil"/>
                    <w:tr2bl w:val="nil"/>
                  </w:tcBorders>
                  <w:noWrap w:val="0"/>
                  <w:vAlign w:val="center"/>
                </w:tcPr>
                <w:p w14:paraId="6C771E53">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481" w:type="pct"/>
                  <w:tcBorders>
                    <w:tl2br w:val="nil"/>
                    <w:tr2bl w:val="nil"/>
                  </w:tcBorders>
                  <w:noWrap w:val="0"/>
                  <w:vAlign w:val="center"/>
                </w:tcPr>
                <w:p w14:paraId="7D923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E</w:t>
                  </w:r>
                </w:p>
              </w:tc>
              <w:tc>
                <w:tcPr>
                  <w:tcW w:w="773" w:type="dxa"/>
                  <w:tcBorders>
                    <w:tl2br w:val="nil"/>
                    <w:tr2bl w:val="nil"/>
                  </w:tcBorders>
                  <w:noWrap w:val="0"/>
                  <w:vAlign w:val="center"/>
                </w:tcPr>
                <w:p w14:paraId="4867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18m</w:t>
                  </w:r>
                </w:p>
              </w:tc>
            </w:tr>
            <w:tr w14:paraId="6F462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4E840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616" w:type="pct"/>
                  <w:tcBorders>
                    <w:tl2br w:val="nil"/>
                    <w:tr2bl w:val="nil"/>
                  </w:tcBorders>
                  <w:shd w:val="clear" w:color="auto" w:fill="auto"/>
                  <w:noWrap w:val="0"/>
                  <w:vAlign w:val="center"/>
                </w:tcPr>
                <w:p w14:paraId="44347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平阳村</w:t>
                  </w:r>
                </w:p>
              </w:tc>
              <w:tc>
                <w:tcPr>
                  <w:tcW w:w="840" w:type="pct"/>
                  <w:tcBorders>
                    <w:tl2br w:val="nil"/>
                    <w:tr2bl w:val="nil"/>
                  </w:tcBorders>
                  <w:shd w:val="clear" w:color="auto" w:fill="auto"/>
                  <w:noWrap w:val="0"/>
                  <w:vAlign w:val="center"/>
                </w:tcPr>
                <w:p w14:paraId="709818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131.245722</w:t>
                  </w:r>
                </w:p>
              </w:tc>
              <w:tc>
                <w:tcPr>
                  <w:tcW w:w="755" w:type="pct"/>
                  <w:tcBorders>
                    <w:tl2br w:val="nil"/>
                    <w:tr2bl w:val="nil"/>
                  </w:tcBorders>
                  <w:shd w:val="clear" w:color="auto" w:fill="auto"/>
                  <w:noWrap w:val="0"/>
                  <w:vAlign w:val="center"/>
                </w:tcPr>
                <w:p w14:paraId="147E6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 xml:space="preserve"> 45.184759</w:t>
                  </w:r>
                </w:p>
              </w:tc>
              <w:tc>
                <w:tcPr>
                  <w:tcW w:w="595" w:type="pct"/>
                  <w:tcBorders>
                    <w:tl2br w:val="nil"/>
                    <w:tr2bl w:val="nil"/>
                  </w:tcBorders>
                  <w:shd w:val="clear" w:color="auto" w:fill="auto"/>
                  <w:noWrap w:val="0"/>
                  <w:vAlign w:val="center"/>
                </w:tcPr>
                <w:p w14:paraId="01187198">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shd w:val="clear" w:color="auto" w:fill="auto"/>
                  <w:noWrap w:val="0"/>
                  <w:vAlign w:val="center"/>
                </w:tcPr>
                <w:p w14:paraId="52F7FD8D">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7D109128">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环境空气二类区</w:t>
                  </w:r>
                </w:p>
              </w:tc>
              <w:tc>
                <w:tcPr>
                  <w:tcW w:w="481" w:type="pct"/>
                  <w:tcBorders>
                    <w:tl2br w:val="nil"/>
                    <w:tr2bl w:val="nil"/>
                  </w:tcBorders>
                  <w:shd w:val="clear" w:color="auto" w:fill="auto"/>
                  <w:noWrap w:val="0"/>
                  <w:vAlign w:val="center"/>
                </w:tcPr>
                <w:p w14:paraId="5BC31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S</w:t>
                  </w:r>
                </w:p>
              </w:tc>
              <w:tc>
                <w:tcPr>
                  <w:tcW w:w="773" w:type="dxa"/>
                  <w:tcBorders>
                    <w:tl2br w:val="nil"/>
                    <w:tr2bl w:val="nil"/>
                  </w:tcBorders>
                  <w:noWrap w:val="0"/>
                  <w:vAlign w:val="center"/>
                </w:tcPr>
                <w:p w14:paraId="1EDBE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11m</w:t>
                  </w:r>
                </w:p>
              </w:tc>
            </w:tr>
            <w:tr w14:paraId="4EC0C0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02EE4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616" w:type="pct"/>
                  <w:tcBorders>
                    <w:tl2br w:val="nil"/>
                    <w:tr2bl w:val="nil"/>
                  </w:tcBorders>
                  <w:shd w:val="clear" w:color="auto" w:fill="auto"/>
                  <w:noWrap w:val="0"/>
                  <w:vAlign w:val="center"/>
                </w:tcPr>
                <w:p w14:paraId="37FA06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平阳村</w:t>
                  </w:r>
                </w:p>
              </w:tc>
              <w:tc>
                <w:tcPr>
                  <w:tcW w:w="840" w:type="pct"/>
                  <w:tcBorders>
                    <w:tl2br w:val="nil"/>
                    <w:tr2bl w:val="nil"/>
                  </w:tcBorders>
                  <w:shd w:val="clear" w:color="auto" w:fill="auto"/>
                  <w:noWrap w:val="0"/>
                  <w:vAlign w:val="center"/>
                </w:tcPr>
                <w:p w14:paraId="1B574F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eastAsia="zh-CN"/>
                    </w:rPr>
                    <w:t>131.240551</w:t>
                  </w:r>
                </w:p>
              </w:tc>
              <w:tc>
                <w:tcPr>
                  <w:tcW w:w="755" w:type="pct"/>
                  <w:tcBorders>
                    <w:tl2br w:val="nil"/>
                    <w:tr2bl w:val="nil"/>
                  </w:tcBorders>
                  <w:shd w:val="clear" w:color="auto" w:fill="auto"/>
                  <w:noWrap w:val="0"/>
                  <w:vAlign w:val="center"/>
                </w:tcPr>
                <w:p w14:paraId="6DD56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45.185167</w:t>
                  </w:r>
                </w:p>
              </w:tc>
              <w:tc>
                <w:tcPr>
                  <w:tcW w:w="595" w:type="pct"/>
                  <w:tcBorders>
                    <w:tl2br w:val="nil"/>
                    <w:tr2bl w:val="nil"/>
                  </w:tcBorders>
                  <w:shd w:val="clear" w:color="auto" w:fill="auto"/>
                  <w:noWrap w:val="0"/>
                  <w:vAlign w:val="center"/>
                </w:tcPr>
                <w:p w14:paraId="0827DD35">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shd w:val="clear" w:color="auto" w:fill="auto"/>
                  <w:noWrap w:val="0"/>
                  <w:vAlign w:val="center"/>
                </w:tcPr>
                <w:p w14:paraId="6B2B531A">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5E6FA3DB">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环境空气二类区</w:t>
                  </w:r>
                </w:p>
              </w:tc>
              <w:tc>
                <w:tcPr>
                  <w:tcW w:w="481" w:type="pct"/>
                  <w:tcBorders>
                    <w:tl2br w:val="nil"/>
                    <w:tr2bl w:val="nil"/>
                  </w:tcBorders>
                  <w:shd w:val="clear" w:color="auto" w:fill="auto"/>
                  <w:noWrap w:val="0"/>
                  <w:vAlign w:val="center"/>
                </w:tcPr>
                <w:p w14:paraId="77325F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w:t>
                  </w:r>
                </w:p>
              </w:tc>
              <w:tc>
                <w:tcPr>
                  <w:tcW w:w="773" w:type="dxa"/>
                  <w:tcBorders>
                    <w:tl2br w:val="nil"/>
                    <w:tr2bl w:val="nil"/>
                  </w:tcBorders>
                  <w:shd w:val="clear" w:color="auto" w:fill="auto"/>
                  <w:noWrap w:val="0"/>
                  <w:vAlign w:val="center"/>
                </w:tcPr>
                <w:p w14:paraId="34A526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19m</w:t>
                  </w:r>
                </w:p>
              </w:tc>
            </w:tr>
            <w:tr w14:paraId="7196F8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2DE0F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声环境</w:t>
                  </w:r>
                </w:p>
              </w:tc>
              <w:tc>
                <w:tcPr>
                  <w:tcW w:w="616" w:type="pct"/>
                  <w:tcBorders>
                    <w:tl2br w:val="nil"/>
                    <w:tr2bl w:val="nil"/>
                  </w:tcBorders>
                  <w:noWrap w:val="0"/>
                  <w:vAlign w:val="center"/>
                </w:tcPr>
                <w:p w14:paraId="6DC61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厂区东侧居民区</w:t>
                  </w:r>
                </w:p>
              </w:tc>
              <w:tc>
                <w:tcPr>
                  <w:tcW w:w="840" w:type="pct"/>
                  <w:tcBorders>
                    <w:tl2br w:val="nil"/>
                    <w:tr2bl w:val="nil"/>
                  </w:tcBorders>
                  <w:noWrap w:val="0"/>
                  <w:vAlign w:val="center"/>
                </w:tcPr>
                <w:p w14:paraId="72F96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131.243759</w:t>
                  </w:r>
                </w:p>
              </w:tc>
              <w:tc>
                <w:tcPr>
                  <w:tcW w:w="755" w:type="pct"/>
                  <w:tcBorders>
                    <w:tl2br w:val="nil"/>
                    <w:tr2bl w:val="nil"/>
                  </w:tcBorders>
                  <w:noWrap w:val="0"/>
                  <w:vAlign w:val="center"/>
                </w:tcPr>
                <w:p w14:paraId="20591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45.188192</w:t>
                  </w:r>
                </w:p>
              </w:tc>
              <w:tc>
                <w:tcPr>
                  <w:tcW w:w="595" w:type="pct"/>
                  <w:tcBorders>
                    <w:tl2br w:val="nil"/>
                    <w:tr2bl w:val="nil"/>
                  </w:tcBorders>
                  <w:noWrap w:val="0"/>
                  <w:vAlign w:val="center"/>
                </w:tcPr>
                <w:p w14:paraId="3B617EB1">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noWrap w:val="0"/>
                  <w:vAlign w:val="center"/>
                </w:tcPr>
                <w:p w14:paraId="3B595CB1">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人群</w:t>
                  </w:r>
                </w:p>
              </w:tc>
              <w:tc>
                <w:tcPr>
                  <w:tcW w:w="481" w:type="pct"/>
                  <w:tcBorders>
                    <w:tl2br w:val="nil"/>
                    <w:tr2bl w:val="nil"/>
                  </w:tcBorders>
                  <w:noWrap w:val="0"/>
                  <w:vAlign w:val="center"/>
                </w:tcPr>
                <w:p w14:paraId="23CD420F">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声环境2类区</w:t>
                  </w:r>
                </w:p>
              </w:tc>
              <w:tc>
                <w:tcPr>
                  <w:tcW w:w="481" w:type="pct"/>
                  <w:tcBorders>
                    <w:tl2br w:val="nil"/>
                    <w:tr2bl w:val="nil"/>
                  </w:tcBorders>
                  <w:noWrap w:val="0"/>
                  <w:vAlign w:val="center"/>
                </w:tcPr>
                <w:p w14:paraId="3C0E6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E</w:t>
                  </w:r>
                </w:p>
              </w:tc>
              <w:tc>
                <w:tcPr>
                  <w:tcW w:w="480" w:type="pct"/>
                  <w:tcBorders>
                    <w:tl2br w:val="nil"/>
                    <w:tr2bl w:val="nil"/>
                  </w:tcBorders>
                  <w:noWrap w:val="0"/>
                  <w:vAlign w:val="center"/>
                </w:tcPr>
                <w:p w14:paraId="4ACB87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18m</w:t>
                  </w:r>
                </w:p>
              </w:tc>
            </w:tr>
            <w:tr w14:paraId="61D3C6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097FC8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616" w:type="pct"/>
                  <w:tcBorders>
                    <w:tl2br w:val="nil"/>
                    <w:tr2bl w:val="nil"/>
                  </w:tcBorders>
                  <w:shd w:val="clear" w:color="auto" w:fill="auto"/>
                  <w:noWrap w:val="0"/>
                  <w:vAlign w:val="center"/>
                </w:tcPr>
                <w:p w14:paraId="57DEB3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厂区南侧居民区</w:t>
                  </w:r>
                </w:p>
              </w:tc>
              <w:tc>
                <w:tcPr>
                  <w:tcW w:w="840" w:type="pct"/>
                  <w:tcBorders>
                    <w:tl2br w:val="nil"/>
                    <w:tr2bl w:val="nil"/>
                  </w:tcBorders>
                  <w:shd w:val="clear" w:color="auto" w:fill="auto"/>
                  <w:noWrap w:val="0"/>
                  <w:vAlign w:val="center"/>
                </w:tcPr>
                <w:p w14:paraId="15748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131.240937</w:t>
                  </w:r>
                </w:p>
              </w:tc>
              <w:tc>
                <w:tcPr>
                  <w:tcW w:w="755" w:type="pct"/>
                  <w:tcBorders>
                    <w:tl2br w:val="nil"/>
                    <w:tr2bl w:val="nil"/>
                  </w:tcBorders>
                  <w:shd w:val="clear" w:color="auto" w:fill="auto"/>
                  <w:noWrap w:val="0"/>
                  <w:vAlign w:val="center"/>
                </w:tcPr>
                <w:p w14:paraId="5FD05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45.187012</w:t>
                  </w:r>
                </w:p>
              </w:tc>
              <w:tc>
                <w:tcPr>
                  <w:tcW w:w="595" w:type="pct"/>
                  <w:tcBorders>
                    <w:tl2br w:val="nil"/>
                    <w:tr2bl w:val="nil"/>
                  </w:tcBorders>
                  <w:noWrap w:val="0"/>
                  <w:vAlign w:val="center"/>
                </w:tcPr>
                <w:p w14:paraId="53895519">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shd w:val="clear" w:color="auto" w:fill="auto"/>
                  <w:noWrap w:val="0"/>
                  <w:vAlign w:val="center"/>
                </w:tcPr>
                <w:p w14:paraId="3D2EB5F8">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43525DE4">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声环境2类区</w:t>
                  </w:r>
                </w:p>
              </w:tc>
              <w:tc>
                <w:tcPr>
                  <w:tcW w:w="481" w:type="pct"/>
                  <w:tcBorders>
                    <w:tl2br w:val="nil"/>
                    <w:tr2bl w:val="nil"/>
                  </w:tcBorders>
                  <w:noWrap w:val="0"/>
                  <w:vAlign w:val="center"/>
                </w:tcPr>
                <w:p w14:paraId="7D2B8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w:t>
                  </w:r>
                </w:p>
              </w:tc>
              <w:tc>
                <w:tcPr>
                  <w:tcW w:w="480" w:type="pct"/>
                  <w:tcBorders>
                    <w:tl2br w:val="nil"/>
                    <w:tr2bl w:val="nil"/>
                  </w:tcBorders>
                  <w:noWrap w:val="0"/>
                  <w:vAlign w:val="center"/>
                </w:tcPr>
                <w:p w14:paraId="0D63C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11m</w:t>
                  </w:r>
                </w:p>
              </w:tc>
            </w:tr>
            <w:tr w14:paraId="170292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739A7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616" w:type="pct"/>
                  <w:tcBorders>
                    <w:tl2br w:val="nil"/>
                    <w:tr2bl w:val="nil"/>
                  </w:tcBorders>
                  <w:shd w:val="clear" w:color="auto" w:fill="auto"/>
                  <w:noWrap w:val="0"/>
                  <w:vAlign w:val="center"/>
                </w:tcPr>
                <w:p w14:paraId="16854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厂区西侧居民区</w:t>
                  </w:r>
                </w:p>
              </w:tc>
              <w:tc>
                <w:tcPr>
                  <w:tcW w:w="840" w:type="pct"/>
                  <w:tcBorders>
                    <w:tl2br w:val="nil"/>
                    <w:tr2bl w:val="nil"/>
                  </w:tcBorders>
                  <w:noWrap w:val="0"/>
                  <w:vAlign w:val="center"/>
                </w:tcPr>
                <w:p w14:paraId="14BE9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131.244113</w:t>
                  </w:r>
                </w:p>
              </w:tc>
              <w:tc>
                <w:tcPr>
                  <w:tcW w:w="755" w:type="pct"/>
                  <w:tcBorders>
                    <w:tl2br w:val="nil"/>
                    <w:tr2bl w:val="nil"/>
                  </w:tcBorders>
                  <w:noWrap w:val="0"/>
                  <w:vAlign w:val="center"/>
                </w:tcPr>
                <w:p w14:paraId="2896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45.185901</w:t>
                  </w:r>
                </w:p>
              </w:tc>
              <w:tc>
                <w:tcPr>
                  <w:tcW w:w="595" w:type="pct"/>
                  <w:tcBorders>
                    <w:tl2br w:val="nil"/>
                    <w:tr2bl w:val="nil"/>
                  </w:tcBorders>
                  <w:noWrap w:val="0"/>
                  <w:vAlign w:val="center"/>
                </w:tcPr>
                <w:p w14:paraId="481B41B5">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shd w:val="clear" w:color="auto" w:fill="auto"/>
                  <w:noWrap w:val="0"/>
                  <w:vAlign w:val="center"/>
                </w:tcPr>
                <w:p w14:paraId="49288576">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4078F30D">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声环境2类区</w:t>
                  </w:r>
                </w:p>
              </w:tc>
              <w:tc>
                <w:tcPr>
                  <w:tcW w:w="481" w:type="pct"/>
                  <w:tcBorders>
                    <w:tl2br w:val="nil"/>
                    <w:tr2bl w:val="nil"/>
                  </w:tcBorders>
                  <w:noWrap w:val="0"/>
                  <w:vAlign w:val="center"/>
                </w:tcPr>
                <w:p w14:paraId="6C01A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w:t>
                  </w:r>
                </w:p>
              </w:tc>
              <w:tc>
                <w:tcPr>
                  <w:tcW w:w="480" w:type="pct"/>
                  <w:tcBorders>
                    <w:tl2br w:val="nil"/>
                    <w:tr2bl w:val="nil"/>
                  </w:tcBorders>
                  <w:noWrap w:val="0"/>
                  <w:vAlign w:val="center"/>
                </w:tcPr>
                <w:p w14:paraId="7BD3E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19m</w:t>
                  </w:r>
                </w:p>
              </w:tc>
            </w:tr>
          </w:tbl>
          <w:p w14:paraId="084E5217">
            <w:pPr>
              <w:keepNext w:val="0"/>
              <w:keepLines w:val="0"/>
              <w:suppressLineNumbers w:val="0"/>
              <w:spacing w:before="0" w:beforeAutospacing="0" w:after="0" w:afterAutospacing="0"/>
              <w:ind w:left="0" w:right="0"/>
              <w:rPr>
                <w:rFonts w:hint="default"/>
                <w:color w:val="auto"/>
              </w:rPr>
            </w:pPr>
            <w:r>
              <w:rPr>
                <w:rFonts w:hint="default"/>
                <w:color w:val="auto"/>
                <w:sz w:val="21"/>
              </w:rPr>
              <mc:AlternateContent>
                <mc:Choice Requires="wps">
                  <w:drawing>
                    <wp:anchor distT="0" distB="0" distL="114300" distR="114300" simplePos="0" relativeHeight="251685888" behindDoc="0" locked="0" layoutInCell="1" allowOverlap="1">
                      <wp:simplePos x="0" y="0"/>
                      <wp:positionH relativeFrom="column">
                        <wp:posOffset>3981450</wp:posOffset>
                      </wp:positionH>
                      <wp:positionV relativeFrom="paragraph">
                        <wp:posOffset>1991360</wp:posOffset>
                      </wp:positionV>
                      <wp:extent cx="1143635" cy="914400"/>
                      <wp:effectExtent l="0" t="0" r="18415" b="0"/>
                      <wp:wrapNone/>
                      <wp:docPr id="95" name="文本框 95"/>
                      <wp:cNvGraphicFramePr/>
                      <a:graphic xmlns:a="http://schemas.openxmlformats.org/drawingml/2006/main">
                        <a:graphicData uri="http://schemas.microsoft.com/office/word/2010/wordprocessingShape">
                          <wps:wsp>
                            <wps:cNvSpPr txBox="1"/>
                            <wps:spPr>
                              <a:xfrm>
                                <a:off x="5405755" y="8286750"/>
                                <a:ext cx="1143635" cy="9144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26FE543">
                                  <w:pPr>
                                    <w:jc w:val="center"/>
                                    <w:rPr>
                                      <w:rFonts w:hint="eastAsia"/>
                                      <w:lang w:eastAsia="zh-CN"/>
                                    </w:rPr>
                                  </w:pPr>
                                  <w:r>
                                    <w:rPr>
                                      <w:rFonts w:hint="eastAsia"/>
                                      <w:lang w:eastAsia="zh-CN"/>
                                    </w:rPr>
                                    <w:t>图例</w:t>
                                  </w:r>
                                </w:p>
                                <w:p w14:paraId="0C55EF84">
                                  <w:pPr>
                                    <w:pStyle w:val="43"/>
                                    <w:rPr>
                                      <w:rFonts w:hint="eastAsia"/>
                                      <w:lang w:val="en-US" w:eastAsia="zh-CN"/>
                                    </w:rPr>
                                  </w:pPr>
                                  <w:r>
                                    <w:rPr>
                                      <w:rFonts w:hint="eastAsia"/>
                                      <w:lang w:val="en-US" w:eastAsia="zh-CN"/>
                                    </w:rPr>
                                    <w:t xml:space="preserve">    水源井位置</w:t>
                                  </w:r>
                                </w:p>
                                <w:p w14:paraId="29566338">
                                  <w:pPr>
                                    <w:pStyle w:val="43"/>
                                    <w:ind w:firstLine="420" w:firstLineChars="200"/>
                                    <w:rPr>
                                      <w:rFonts w:hint="default"/>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5pt;margin-top:156.8pt;height:72pt;width:90.05pt;z-index:251685888;mso-width-relative:page;mso-height-relative:page;" fillcolor="#FFFFFF [3212]" filled="t" stroked="f" coordsize="21600,21600" o:gfxdata="UEsDBAoAAAAAAIdO4kAAAAAAAAAAAAAAAAAEAAAAZHJzL1BLAwQUAAAACACHTuJAmV5w4dcAAAAL&#10;AQAADwAAAGRycy9kb3ducmV2LnhtbE2PzU7DMBCE70i8g7VI3KjttiRViNMDElck2tKzGy9xhL2O&#10;bPf36TEnOI5mNPNNu754x04Y0xhIgZwJYEh9MCMNCnbbt6cVsJQ1Ge0CoYIrJlh393etbkw40wee&#10;NnlgpYRSoxXYnKeG89Rb9DrNwoRUvK8Qvc5FxoGbqM+l3Ds+F6LiXo9UFqye8NVi/705egX7wd/2&#10;n3KK1ni3pPfbdbsLo1KPD1K8AMt4yX9h+MUv6NAVpkM4kknMKajmdfmSFSzkogJWEitRS2AHBcvn&#10;ugLetfz/h+4HUEsDBBQAAAAIAIdO4kDlykN7XAIAAJ0EAAAOAAAAZHJzL2Uyb0RvYy54bWytVEtu&#10;2zAQ3RfoHQjuG8munY8ROXATuCgQNAHSomuaoiwBFIclacvpAdobdNVN9z1XztFHSk7StIss6oU8&#10;5Dy9mXkzo9OzXavZVjnfkCn46CDnTBlJZWPWBf/4YfnqmDMfhCmFJqMKfqs8P5u/fHHa2ZkaU026&#10;VI6BxPhZZwteh2BnWeZlrVrhD8gqA2dFrhUBR7fOSic6sLc6G+f5YdaRK60jqbzH7UXv5AOjew4h&#10;VVUj1QXJTatM6Fmd0iKgJF831vN5yraqlAxXVeVVYLrgqDSkJ4LAXsVnNj8Vs7UTtm7kkIJ4TgpP&#10;ampFYxD0nupCBME2rvmLqm2kI09VOJDUZn0hSRFUMcqfaHNTC6tSLZDa23vR/f+jle+31441ZcFP&#10;ppwZ0aLjd9+/3f34dffzK8MdBOqsnwF3Y4EMuze0w9js7z0uY927yrXxHxUx+KeTfHo0BeNtwY/H&#10;x4dH00FqtQtMRoLR5PXhawAkECejySRPgOyByTof3ipqWTQK7tDKpLDYXvqArADdQ2JgT7opl43W&#10;6eDWq3Pt2Fag7cv0iwnjlT9g2rCu4EgjT8yG4vs9ThvAY+F9gdEKu9VuUGNF5S3EcNTPk7dy2SDL&#10;S+HDtXAYIIwXVixc4VFpQhAaLM5qcl/+dR/x6Cu8nHUYyIL7zxvhFGf6nUHHk0iY4HSYTI/GiOEe&#10;e1aPPWbTnhOKH2GZrUxmxAe9NytH7Sds4iJGhUsYidgFD3vzPPRrgk2WarFIIMysFeHS3FgZqaPU&#10;hhabQFWTWhJl6rUZ1MPUJtmHDYtr8ficUA9flfl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mV5w&#10;4dcAAAALAQAADwAAAAAAAAABACAAAAAiAAAAZHJzL2Rvd25yZXYueG1sUEsBAhQAFAAAAAgAh07i&#10;QOXKQ3tcAgAAnQQAAA4AAAAAAAAAAQAgAAAAJgEAAGRycy9lMm9Eb2MueG1sUEsFBgAAAAAGAAYA&#10;WQEAAPQFAAAAAA==&#10;">
                      <v:fill on="t" focussize="0,0"/>
                      <v:stroke on="f" weight="0.5pt"/>
                      <v:imagedata o:title=""/>
                      <o:lock v:ext="edit" aspectratio="f"/>
                      <v:textbox>
                        <w:txbxContent>
                          <w:p w14:paraId="026FE543">
                            <w:pPr>
                              <w:jc w:val="center"/>
                              <w:rPr>
                                <w:rFonts w:hint="eastAsia"/>
                                <w:lang w:eastAsia="zh-CN"/>
                              </w:rPr>
                            </w:pPr>
                            <w:r>
                              <w:rPr>
                                <w:rFonts w:hint="eastAsia"/>
                                <w:lang w:eastAsia="zh-CN"/>
                              </w:rPr>
                              <w:t>图例</w:t>
                            </w:r>
                          </w:p>
                          <w:p w14:paraId="0C55EF84">
                            <w:pPr>
                              <w:pStyle w:val="43"/>
                              <w:rPr>
                                <w:rFonts w:hint="eastAsia"/>
                                <w:lang w:val="en-US" w:eastAsia="zh-CN"/>
                              </w:rPr>
                            </w:pPr>
                            <w:r>
                              <w:rPr>
                                <w:rFonts w:hint="eastAsia"/>
                                <w:lang w:val="en-US" w:eastAsia="zh-CN"/>
                              </w:rPr>
                              <w:t xml:space="preserve">    水源井位置</w:t>
                            </w:r>
                          </w:p>
                          <w:p w14:paraId="29566338">
                            <w:pPr>
                              <w:pStyle w:val="43"/>
                              <w:ind w:firstLine="420" w:firstLineChars="200"/>
                              <w:rPr>
                                <w:rFonts w:hint="default"/>
                                <w:lang w:val="en-US" w:eastAsia="zh-CN"/>
                              </w:rPr>
                            </w:pPr>
                            <w:r>
                              <w:rPr>
                                <w:rFonts w:hint="eastAsia"/>
                                <w:lang w:val="en-US" w:eastAsia="zh-CN"/>
                              </w:rPr>
                              <w:t>项目位置</w:t>
                            </w:r>
                          </w:p>
                        </w:txbxContent>
                      </v:textbox>
                    </v:shape>
                  </w:pict>
                </mc:Fallback>
              </mc:AlternateContent>
            </w:r>
            <w:r>
              <w:rPr>
                <w:rFonts w:hint="default"/>
                <w:color w:val="auto"/>
                <w:sz w:val="21"/>
              </w:rPr>
              <mc:AlternateContent>
                <mc:Choice Requires="wps">
                  <w:drawing>
                    <wp:anchor distT="0" distB="0" distL="114300" distR="114300" simplePos="0" relativeHeight="251688960" behindDoc="0" locked="0" layoutInCell="1" allowOverlap="1">
                      <wp:simplePos x="0" y="0"/>
                      <wp:positionH relativeFrom="column">
                        <wp:posOffset>4096385</wp:posOffset>
                      </wp:positionH>
                      <wp:positionV relativeFrom="paragraph">
                        <wp:posOffset>2519680</wp:posOffset>
                      </wp:positionV>
                      <wp:extent cx="152400" cy="95250"/>
                      <wp:effectExtent l="12700" t="12700" r="25400" b="25400"/>
                      <wp:wrapNone/>
                      <wp:docPr id="102" name="矩形 102"/>
                      <wp:cNvGraphicFramePr/>
                      <a:graphic xmlns:a="http://schemas.openxmlformats.org/drawingml/2006/main">
                        <a:graphicData uri="http://schemas.microsoft.com/office/word/2010/wordprocessingShape">
                          <wps:wsp>
                            <wps:cNvSpPr/>
                            <wps:spPr>
                              <a:xfrm>
                                <a:off x="5567680" y="8786495"/>
                                <a:ext cx="152400" cy="95250"/>
                              </a:xfrm>
                              <a:prstGeom prst="rect">
                                <a:avLst/>
                              </a:prstGeom>
                              <a:ln>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55pt;margin-top:198.4pt;height:7.5pt;width:12pt;z-index:251688960;v-text-anchor:middle;mso-width-relative:page;mso-height-relative:page;" filled="f" stroked="t" coordsize="21600,21600" o:gfxdata="UEsDBAoAAAAAAIdO4kAAAAAAAAAAAAAAAAAEAAAAZHJzL1BLAwQUAAAACACHTuJAyQJj+toAAAAL&#10;AQAADwAAAGRycy9kb3ducmV2LnhtbE2PsU7DMBCGdyTewTokFkQd02KlIU4lKtGBAamFpZsTX5Oo&#10;sR3ZTlPenmOC8e5+fff95eZqB3bBEHvvFIhFBgxd403vWgVfn2+PObCYtDN68A4VfGOETXV7U+rC&#10;+Nnt8XJILSOIi4VW0KU0FpzHpkOr48KP6Oh28sHqRGNouQl6Jrgd+FOWSW517+hDp0fcdticD5NV&#10;UO+OYZu/LndpepCEPrfv+DErdX8nshdgCa/pLwy/+qQOFTnVfnImskGBXD0LiipYriV1oISUa9rU&#10;ClZC5MCrkv/vUP0AUEsDBBQAAAAIAIdO4kBysPMEawIAAMIEAAAOAAAAZHJzL2Uyb0RvYy54bWyt&#10;VEtu2zAQ3RfoHQjuG8mC5ThG5MCI4aJA0ARIi65pirIE8FeStpxepkB3PUSPU/QafaSUT9MusqgX&#10;9Izm6Q3nzYzOL45KkoNwvjO6opOTnBKhuak7vavoxw+bN3NKfGC6ZtJoUdE74enF8vWr894uRGFa&#10;I2vhCEi0X/S2om0IdpFlnrdCMX9irNAINsYpFuC6XVY71oNdyazI81nWG1dbZ7jwHk/XQ5COjO4l&#10;hKZpOi7Whu+V0GFgdUKygJJ821lPl+m2TSN4uG4aLwKRFUWlIZ1IAnsbz2x5zhY7x2zb8fEK7CVX&#10;eFaTYp1G0geqNQuM7F33F5XquDPeNOGEG5UNhSRFUMUkf6bNbcusSLVAam8fRPf/j5a/P9w40tWY&#10;hLygRDOFlv/6+v3nj28kPoE+vfULwG7tjRs9DzMWe2yciv8ogxwrWpaz09kcyt5VdH46n03PykFf&#10;cQyEAzApi2mOOAfgrCzKJH/2yGOdD2+FUSQaFXXoXhKVHa58QG5A7yExrTabTsrUQalJX9GiHOgZ&#10;xrLBOCCTsijN6x0lTO4w7zy4ROmN7Or4eiTybre9lI4cGKZks8nxixdHuj9gMfea+XbApdAIkxro&#10;qNOgTLS2pr6Dss4MI+ct33R4/4r5cMMcZgw6YAvDNY5GGtzejBYlrXFf/vU84tF6RCnpMbOo7POe&#10;OUGJfKcxFGeT6RS0ITnT8rSA455Gtk8jeq8uDQqeYN8tT2bEB3lvNs6oT1jWVcyKENMcuQcNR+cy&#10;DLuEdeditUowDLZl4UrfWh7Jh06t9sE0XWriozqjaBjtJPa4hnF3nvoJ9fjpW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QJj+toAAAALAQAADwAAAAAAAAABACAAAAAiAAAAZHJzL2Rvd25yZXYu&#10;eG1sUEsBAhQAFAAAAAgAh07iQHKw8wRrAgAAwgQAAA4AAAAAAAAAAQAgAAAAKQEAAGRycy9lMm9E&#10;b2MueG1sUEsFBgAAAAAGAAYAWQEAAAYGAAAAAA==&#10;">
                      <v:fill on="f" focussize="0,0"/>
                      <v:stroke weight="2pt" color="#FF0000 [3204]" joinstyle="round"/>
                      <v:imagedata o:title=""/>
                      <o:lock v:ext="edit" aspectratio="f"/>
                    </v:rect>
                  </w:pict>
                </mc:Fallback>
              </mc:AlternateContent>
            </w:r>
            <w:r>
              <w:rPr>
                <w:rFonts w:hint="default"/>
                <w:color w:val="auto"/>
              </w:rPr>
              <w:drawing>
                <wp:anchor distT="0" distB="0" distL="114300" distR="114300" simplePos="0" relativeHeight="251687936" behindDoc="0" locked="0" layoutInCell="1" allowOverlap="1">
                  <wp:simplePos x="0" y="0"/>
                  <wp:positionH relativeFrom="column">
                    <wp:posOffset>4086225</wp:posOffset>
                  </wp:positionH>
                  <wp:positionV relativeFrom="paragraph">
                    <wp:posOffset>2259330</wp:posOffset>
                  </wp:positionV>
                  <wp:extent cx="153670" cy="191135"/>
                  <wp:effectExtent l="0" t="0" r="17780" b="18415"/>
                  <wp:wrapNone/>
                  <wp:docPr id="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
                          <pic:cNvPicPr>
                            <a:picLocks noChangeAspect="1"/>
                          </pic:cNvPicPr>
                        </pic:nvPicPr>
                        <pic:blipFill>
                          <a:blip r:embed="rId15"/>
                          <a:stretch>
                            <a:fillRect/>
                          </a:stretch>
                        </pic:blipFill>
                        <pic:spPr>
                          <a:xfrm>
                            <a:off x="0" y="0"/>
                            <a:ext cx="153670" cy="191135"/>
                          </a:xfrm>
                          <a:prstGeom prst="rect">
                            <a:avLst/>
                          </a:prstGeom>
                          <a:noFill/>
                          <a:ln>
                            <a:noFill/>
                          </a:ln>
                        </pic:spPr>
                      </pic:pic>
                    </a:graphicData>
                  </a:graphic>
                </wp:anchor>
              </w:drawing>
            </w:r>
            <w:r>
              <w:rPr>
                <w:rFonts w:hint="default"/>
                <w:color w:val="auto"/>
              </w:rPr>
              <w:drawing>
                <wp:anchor distT="0" distB="0" distL="114300" distR="114300" simplePos="0" relativeHeight="251686912" behindDoc="0" locked="0" layoutInCell="1" allowOverlap="1">
                  <wp:simplePos x="0" y="0"/>
                  <wp:positionH relativeFrom="column">
                    <wp:posOffset>1257300</wp:posOffset>
                  </wp:positionH>
                  <wp:positionV relativeFrom="paragraph">
                    <wp:posOffset>2164080</wp:posOffset>
                  </wp:positionV>
                  <wp:extent cx="106680" cy="132715"/>
                  <wp:effectExtent l="0" t="0" r="7620" b="635"/>
                  <wp:wrapNone/>
                  <wp:docPr id="1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
                          <pic:cNvPicPr>
                            <a:picLocks noChangeAspect="1"/>
                          </pic:cNvPicPr>
                        </pic:nvPicPr>
                        <pic:blipFill>
                          <a:blip r:embed="rId15"/>
                          <a:stretch>
                            <a:fillRect/>
                          </a:stretch>
                        </pic:blipFill>
                        <pic:spPr>
                          <a:xfrm>
                            <a:off x="0" y="0"/>
                            <a:ext cx="106680" cy="132715"/>
                          </a:xfrm>
                          <a:prstGeom prst="rect">
                            <a:avLst/>
                          </a:prstGeom>
                          <a:noFill/>
                          <a:ln>
                            <a:noFill/>
                          </a:ln>
                        </pic:spPr>
                      </pic:pic>
                    </a:graphicData>
                  </a:graphic>
                </wp:anchor>
              </w:drawing>
            </w:r>
            <w:r>
              <w:rPr>
                <w:rFonts w:hint="default"/>
                <w:color w:val="auto"/>
                <w:sz w:val="21"/>
              </w:rPr>
              <mc:AlternateContent>
                <mc:Choice Requires="wps">
                  <w:drawing>
                    <wp:anchor distT="0" distB="0" distL="114300" distR="114300" simplePos="0" relativeHeight="251684864" behindDoc="0" locked="0" layoutInCell="1" allowOverlap="1">
                      <wp:simplePos x="0" y="0"/>
                      <wp:positionH relativeFrom="column">
                        <wp:posOffset>2924810</wp:posOffset>
                      </wp:positionH>
                      <wp:positionV relativeFrom="paragraph">
                        <wp:posOffset>133985</wp:posOffset>
                      </wp:positionV>
                      <wp:extent cx="1524000" cy="1495425"/>
                      <wp:effectExtent l="6350" t="6350" r="12700" b="22225"/>
                      <wp:wrapNone/>
                      <wp:docPr id="90" name="任意多边形 90"/>
                      <wp:cNvGraphicFramePr/>
                      <a:graphic xmlns:a="http://schemas.openxmlformats.org/drawingml/2006/main">
                        <a:graphicData uri="http://schemas.microsoft.com/office/word/2010/wordprocessingShape">
                          <wps:wsp>
                            <wps:cNvSpPr/>
                            <wps:spPr>
                              <a:xfrm>
                                <a:off x="4396105" y="6400800"/>
                                <a:ext cx="1524000" cy="1495425"/>
                              </a:xfrm>
                              <a:custGeom>
                                <a:avLst/>
                                <a:gdLst>
                                  <a:gd name="connisteX0" fmla="*/ 0 w 1524000"/>
                                  <a:gd name="connsiteY0" fmla="*/ 400050 h 1495425"/>
                                  <a:gd name="connisteX1" fmla="*/ 609600 w 1524000"/>
                                  <a:gd name="connsiteY1" fmla="*/ 0 h 1495425"/>
                                  <a:gd name="connisteX2" fmla="*/ 1133475 w 1524000"/>
                                  <a:gd name="connsiteY2" fmla="*/ 647700 h 1495425"/>
                                  <a:gd name="connisteX3" fmla="*/ 1104900 w 1524000"/>
                                  <a:gd name="connsiteY3" fmla="*/ 723900 h 1495425"/>
                                  <a:gd name="connisteX4" fmla="*/ 1466850 w 1524000"/>
                                  <a:gd name="connsiteY4" fmla="*/ 1085850 h 1495425"/>
                                  <a:gd name="connisteX5" fmla="*/ 1524000 w 1524000"/>
                                  <a:gd name="connsiteY5" fmla="*/ 1190625 h 1495425"/>
                                  <a:gd name="connisteX6" fmla="*/ 1114425 w 1524000"/>
                                  <a:gd name="connsiteY6" fmla="*/ 1495425 h 1495425"/>
                                  <a:gd name="connisteX7" fmla="*/ 895350 w 1524000"/>
                                  <a:gd name="connsiteY7" fmla="*/ 1295400 h 1495425"/>
                                  <a:gd name="connisteX8" fmla="*/ 762000 w 1524000"/>
                                  <a:gd name="connsiteY8" fmla="*/ 1333500 h 1495425"/>
                                  <a:gd name="connisteX9" fmla="*/ 0 w 1524000"/>
                                  <a:gd name="connsiteY9" fmla="*/ 400050 h 1495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524000" h="1495425">
                                    <a:moveTo>
                                      <a:pt x="0" y="400050"/>
                                    </a:moveTo>
                                    <a:lnTo>
                                      <a:pt x="609600" y="0"/>
                                    </a:lnTo>
                                    <a:lnTo>
                                      <a:pt x="1133475" y="647700"/>
                                    </a:lnTo>
                                    <a:lnTo>
                                      <a:pt x="1104900" y="723900"/>
                                    </a:lnTo>
                                    <a:lnTo>
                                      <a:pt x="1466850" y="1085850"/>
                                    </a:lnTo>
                                    <a:lnTo>
                                      <a:pt x="1524000" y="1190625"/>
                                    </a:lnTo>
                                    <a:lnTo>
                                      <a:pt x="1114425" y="1495425"/>
                                    </a:lnTo>
                                    <a:lnTo>
                                      <a:pt x="895350" y="1295400"/>
                                    </a:lnTo>
                                    <a:lnTo>
                                      <a:pt x="762000" y="1333500"/>
                                    </a:lnTo>
                                    <a:lnTo>
                                      <a:pt x="0" y="400050"/>
                                    </a:lnTo>
                                    <a:close/>
                                  </a:path>
                                </a:pathLst>
                              </a:custGeom>
                              <a:ln w="1270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100" style="position:absolute;left:0pt;margin-left:230.3pt;margin-top:10.55pt;height:117.75pt;width:120pt;z-index:251684864;mso-width-relative:page;mso-height-relative:page;" filled="f" stroked="t" coordsize="1524000,1495425" o:gfxdata="UEsDBAoAAAAAAIdO4kAAAAAAAAAAAAAAAAAEAAAAZHJzL1BLAwQUAAAACACHTuJASTf1utkAAAAK&#10;AQAADwAAAGRycy9kb3ducmV2LnhtbE2PwU7DMAyG70i8Q2QkbizJNArqmu4AggMSIDYmtFvWmLZa&#10;41RN1nVvjznB0fan//9crCbfiRGH2AYyoGcKBFIVXEu1gc/N0809iJgsOdsFQgNnjLAqLy8Km7tw&#10;og8c16kWHEIxtwaalPpcylg16G2chR6Jb99h8DbxONTSDfbE4b6Tc6Uy6W1L3NDYHh8arA7rozdQ&#10;H/R7Grdf0/Zl96qm5/Pb4nGDxlxfabUEkXBKfzD86rM6lOy0D0dyUXQGFpnKGDUw1xoEA3dcB2LP&#10;i9ssA1kW8v8L5Q9QSwMEFAAAAAgAh07iQDXnoPnNAwAAeAwAAA4AAABkcnMvZTJvRG9jLnhtbK1X&#10;TY/bNhC9B+h/IHQs0NWHJdky1ptDFumlaAMkAdIjV6IsAZIokFzbe+899xyL/IkiaH5NEuRn9JGU&#10;vHQSWDLQy4qy5s2bGQ4fZ6+fHtqG7JiQNe82XngVeIR1OS/qbrvxXr96/svKI1LRrqAN79jGe2DS&#10;e3rz05Prfb9mEa94UzBB4KST632/8Sql+rXvy7xiLZVXvGcdPpZctFThVWz9QtA9vLeNHwVB6u+5&#10;KHrBcyYlfr21H73Bo5jjkJdlnbNbnt+3rFPWq2ANVUhJVnUvvRsTbVmyXP1RlpIp0mw8ZKrMX5Bg&#10;faf/+jfXdL0VtK/qfAiBzgnhm5xaWncgPbq6pYqSe1F/56qtc8ElL9VVzlvfJmIqgizC4JvavKxo&#10;z0wuKLXsj0WX/5/b/PfdC0HqYuNlKElHW+z4pw8fvvz19vP7d18//vP5378JvqBM+16uYf2yfyGG&#10;N4mlzvlQilY/kQ05bLx4kaVhkHjkYeOlcRCsgqHM7KBIDoMwifAz6HJYhHGWxFGiGfxHV/m9VL8y&#10;btzS3W9S2X0qsDJVLoZQc951tVTsDbyVbYOt+9knAdmTkWPAOeayVuxP11zHkgSkIk4o2MjvKEKH&#10;Ig2yNJjB42JmUEQORRguFvEymc7FBaXxcom4JnNZnBAFcTYnGRe0jBYaM0kUu0Rxmq5Q6cndOQEF&#10;q0SDJpnQcMcOGHZ/mukEFGZBGiXTTKnLFIYx2nea6QRke36aaekwrbJkMad4LiaMcLjmbBM0/1i8&#10;ZQqZnrFLLga9iuBm7FLmEM3gcM1/dE4hGdtRFGg16kR+6AahwIpQfbEFRp17LrVCuaoBCdKvgypY&#10;FQJKq8wEGGfbBYeDhM0D49C64OgiMA6iC15cBMbhcsHxRWCr6seCjbI9L2ccAZc5vYgZbe2ClxeB&#10;0aoueHURGD3ogjMXjP5D7kOzCUwbes5ozJyhPII5Q5g5405j6LqnSvfouCR75y6sHq9C/b3lO/aK&#10;G0ulWxYXFoKwR2AI4NGk6VxTezcZe3PxIsbRYHz2xudwwxhLe3EMnkez8Tmam3vCmFv5P29u1d6Y&#10;h1bEz9uPUwHyDK0Un7e3ymv9nwwRY9jj04Zv9dOaW1k8696qoDW34nbW/Af7M9LnDZfMCotuADPn&#10;HDtBN5Az63T8ed00plmazvRHhPsckxLFpF1iwsWy7TGtyW7rEdpsMcLnShhxk7ypCw3XXSPF9u5Z&#10;I8iOoiGfQc/tEAa6E7NeSHVLZWXtzKdjmghUz3x2ytOrO148mOHP/I6B1KQyDM964nXfDfrxH4ab&#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gAAW0NvbnRlbnRfVHlwZXNdLnhtbFBLAQIUAAoAAAAAAIdO4kAAAAAAAAAAAAAAAAAGAAAAAAAA&#10;AAAAEAAAACEFAABfcmVscy9QSwECFAAUAAAACACHTuJAihRmPNEAAACUAQAACwAAAAAAAAABACAA&#10;AABFBQAAX3JlbHMvLnJlbHNQSwECFAAKAAAAAACHTuJAAAAAAAAAAAAAAAAABAAAAAAAAAAAABAA&#10;AAAAAAAAZHJzL1BLAQIUABQAAAAIAIdO4kBJN/W62QAAAAoBAAAPAAAAAAAAAAEAIAAAACIAAABk&#10;cnMvZG93bnJldi54bWxQSwECFAAUAAAACACHTuJANeeg+c0DAAB4DAAADgAAAAAAAAABACAAAAAo&#10;AQAAZHJzL2Uyb0RvYy54bWxQSwUGAAAAAAYABgBZAQAAZwcAAAAA&#10;" path="m0,400050l609600,0,1133475,647700,1104900,723900,1466850,1085850,1524000,1190625,1114425,1495425,895350,1295400,762000,1333500,0,400050xe">
                      <v:path o:connectlocs="0,400050;609600,0;1133475,647700;1104900,723900;1466850,1085850;1524000,1190625;1114425,1495425;895350,1295400;762000,1333500;0,400050" o:connectangles="0,0,0,0,0,0,0,0,0,0"/>
                      <v:fill on="f" focussize="0,0"/>
                      <v:stroke weight="1pt" color="#C00000 [3204]" joinstyle="round"/>
                      <v:imagedata o:title=""/>
                      <o:lock v:ext="edit" aspectratio="f"/>
                    </v:shape>
                  </w:pict>
                </mc:Fallback>
              </mc:AlternateContent>
            </w:r>
            <w:r>
              <w:rPr>
                <w:rFonts w:hint="default"/>
                <w:color w:val="auto"/>
              </w:rPr>
              <w:drawing>
                <wp:inline distT="0" distB="0" distL="114300" distR="114300">
                  <wp:extent cx="5126355" cy="2861945"/>
                  <wp:effectExtent l="0" t="0" r="17145" b="14605"/>
                  <wp:docPr id="88" name="图片 9"/>
                  <wp:cNvGraphicFramePr/>
                  <a:graphic xmlns:a="http://schemas.openxmlformats.org/drawingml/2006/main">
                    <a:graphicData uri="http://schemas.openxmlformats.org/drawingml/2006/picture">
                      <pic:pic xmlns:pic="http://schemas.openxmlformats.org/drawingml/2006/picture">
                        <pic:nvPicPr>
                          <pic:cNvPr id="88" name="图片 9"/>
                          <pic:cNvPicPr/>
                        </pic:nvPicPr>
                        <pic:blipFill>
                          <a:blip r:embed="rId16"/>
                          <a:stretch>
                            <a:fillRect/>
                          </a:stretch>
                        </pic:blipFill>
                        <pic:spPr>
                          <a:xfrm>
                            <a:off x="0" y="0"/>
                            <a:ext cx="5126355" cy="2861945"/>
                          </a:xfrm>
                          <a:prstGeom prst="rect">
                            <a:avLst/>
                          </a:prstGeom>
                          <a:noFill/>
                          <a:ln>
                            <a:noFill/>
                          </a:ln>
                        </pic:spPr>
                      </pic:pic>
                    </a:graphicData>
                  </a:graphic>
                </wp:inline>
              </w:drawing>
            </w:r>
          </w:p>
          <w:p w14:paraId="344A4FBB">
            <w:pPr>
              <w:pStyle w:val="43"/>
              <w:keepNext w:val="0"/>
              <w:keepLines w:val="0"/>
              <w:suppressLineNumbers w:val="0"/>
              <w:spacing w:before="0" w:beforeAutospacing="0" w:after="0" w:afterAutospacing="0"/>
              <w:ind w:left="0" w:right="0"/>
              <w:jc w:val="center"/>
              <w:rPr>
                <w:rFonts w:hint="default" w:eastAsia="宋体"/>
                <w:color w:val="auto"/>
                <w:lang w:val="en-US" w:eastAsia="zh-CN"/>
              </w:rPr>
            </w:pPr>
            <w:r>
              <w:rPr>
                <w:rFonts w:hint="default" w:ascii="Times New Roman" w:hAnsi="Times New Roman" w:cs="Times New Roman"/>
                <w:b/>
                <w:color w:val="auto"/>
                <w:kern w:val="0"/>
                <w:highlight w:val="none"/>
              </w:rPr>
              <w:t>图3-</w:t>
            </w:r>
            <w:r>
              <w:rPr>
                <w:rFonts w:hint="eastAsia" w:ascii="Times New Roman" w:hAnsi="Times New Roman" w:cs="Times New Roman"/>
                <w:b/>
                <w:color w:val="auto"/>
                <w:kern w:val="0"/>
                <w:highlight w:val="none"/>
                <w:lang w:val="en-US" w:eastAsia="zh-CN"/>
              </w:rPr>
              <w:t>2 饮用水水源地与本项目位置关系图</w:t>
            </w:r>
          </w:p>
        </w:tc>
      </w:tr>
      <w:tr w14:paraId="587859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452" w:type="pct"/>
            <w:vAlign w:val="center"/>
          </w:tcPr>
          <w:p w14:paraId="3A56436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210A10A4">
            <w:pPr>
              <w:pStyle w:val="95"/>
              <w:keepNext w:val="0"/>
              <w:keepLines w:val="0"/>
              <w:numPr>
                <w:ilvl w:val="0"/>
                <w:numId w:val="3"/>
              </w:numPr>
              <w:suppressLineNumbers w:val="0"/>
              <w:spacing w:before="0" w:beforeAutospacing="0" w:after="0" w:afterAutospacing="0" w:line="360" w:lineRule="auto"/>
              <w:ind w:left="0" w:right="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w:t>
            </w:r>
          </w:p>
          <w:p w14:paraId="294792A6">
            <w:pPr>
              <w:keepNext w:val="0"/>
              <w:keepLines w:val="0"/>
              <w:suppressLineNumbers w:val="0"/>
              <w:spacing w:before="0" w:beforeAutospacing="0" w:after="0" w:afterAutospacing="0" w:line="360" w:lineRule="auto"/>
              <w:ind w:left="0" w:right="0" w:firstLine="420" w:firstLineChars="200"/>
              <w:rPr>
                <w:rFonts w:hint="eastAsia"/>
                <w:color w:val="auto"/>
                <w:kern w:val="0"/>
                <w:sz w:val="24"/>
                <w:szCs w:val="20"/>
                <w:highlight w:val="none"/>
              </w:rPr>
            </w:pPr>
            <w:r>
              <w:rPr>
                <w:rFonts w:hint="eastAsia"/>
                <w:color w:val="auto"/>
                <w:kern w:val="0"/>
                <w:szCs w:val="21"/>
                <w:highlight w:val="none"/>
              </w:rPr>
              <w:t>施工期</w:t>
            </w:r>
            <w:r>
              <w:rPr>
                <w:rFonts w:hint="eastAsia"/>
                <w:color w:val="auto"/>
                <w:kern w:val="0"/>
                <w:szCs w:val="21"/>
                <w:highlight w:val="none"/>
                <w:lang w:eastAsia="zh-CN"/>
              </w:rPr>
              <w:t>：</w:t>
            </w:r>
            <w:r>
              <w:rPr>
                <w:rFonts w:hint="eastAsia"/>
                <w:color w:val="auto"/>
                <w:kern w:val="0"/>
                <w:szCs w:val="21"/>
                <w:highlight w:val="none"/>
                <w:lang w:val="en-US" w:eastAsia="zh-CN"/>
              </w:rPr>
              <w:t>废气</w:t>
            </w:r>
            <w:r>
              <w:rPr>
                <w:rFonts w:hint="eastAsia"/>
                <w:color w:val="auto"/>
                <w:kern w:val="0"/>
                <w:szCs w:val="21"/>
                <w:highlight w:val="none"/>
              </w:rPr>
              <w:t>执行《大气污染物综合排放标准》（GB16297-1996）表2中无组织排放浓度限值要求，见表3-</w:t>
            </w:r>
            <w:r>
              <w:rPr>
                <w:rFonts w:hint="eastAsia"/>
                <w:color w:val="auto"/>
                <w:kern w:val="0"/>
                <w:szCs w:val="21"/>
                <w:highlight w:val="none"/>
                <w:lang w:val="en-US" w:eastAsia="zh-CN"/>
              </w:rPr>
              <w:t>6</w:t>
            </w:r>
            <w:r>
              <w:rPr>
                <w:rFonts w:hint="eastAsia"/>
                <w:color w:val="auto"/>
                <w:kern w:val="0"/>
                <w:szCs w:val="21"/>
                <w:highlight w:val="none"/>
              </w:rPr>
              <w:t>。</w:t>
            </w:r>
          </w:p>
          <w:p w14:paraId="1545539B">
            <w:pPr>
              <w:keepNext w:val="0"/>
              <w:keepLines w:val="0"/>
              <w:widowControl/>
              <w:suppressLineNumbers w:val="0"/>
              <w:spacing w:before="0" w:beforeAutospacing="0" w:after="0" w:afterAutospacing="0"/>
              <w:ind w:left="0" w:right="0"/>
              <w:jc w:val="center"/>
              <w:rPr>
                <w:rFonts w:hint="default"/>
                <w:b/>
                <w:bCs/>
                <w:color w:val="auto"/>
                <w:szCs w:val="21"/>
                <w:highlight w:val="none"/>
              </w:rPr>
            </w:pPr>
            <w:r>
              <w:rPr>
                <w:rFonts w:hint="eastAsia" w:ascii="宋体" w:hAnsi="宋体" w:cs="宋体"/>
                <w:b/>
                <w:bCs/>
                <w:color w:val="auto"/>
                <w:kern w:val="0"/>
                <w:szCs w:val="21"/>
                <w:highlight w:val="none"/>
                <w:lang w:bidi="ar"/>
              </w:rPr>
              <w:t>表</w:t>
            </w:r>
            <w:r>
              <w:rPr>
                <w:rFonts w:hint="default"/>
                <w:b/>
                <w:bCs/>
                <w:color w:val="auto"/>
                <w:kern w:val="0"/>
                <w:szCs w:val="21"/>
                <w:highlight w:val="none"/>
                <w:lang w:bidi="ar"/>
              </w:rPr>
              <w:t>3-</w:t>
            </w:r>
            <w:r>
              <w:rPr>
                <w:rFonts w:hint="eastAsia"/>
                <w:b/>
                <w:bCs/>
                <w:color w:val="auto"/>
                <w:kern w:val="0"/>
                <w:szCs w:val="21"/>
                <w:highlight w:val="none"/>
                <w:lang w:val="en-US" w:eastAsia="zh-CN" w:bidi="ar"/>
              </w:rPr>
              <w:t>6</w:t>
            </w:r>
            <w:r>
              <w:rPr>
                <w:rFonts w:hint="default"/>
                <w:b/>
                <w:bCs/>
                <w:color w:val="auto"/>
                <w:kern w:val="0"/>
                <w:szCs w:val="21"/>
                <w:highlight w:val="none"/>
                <w:lang w:bidi="ar"/>
              </w:rPr>
              <w:t xml:space="preserve"> </w:t>
            </w:r>
            <w:r>
              <w:rPr>
                <w:rFonts w:hint="eastAsia" w:ascii="宋体" w:hAnsi="宋体" w:cs="宋体"/>
                <w:b/>
                <w:bCs/>
                <w:color w:val="auto"/>
                <w:kern w:val="0"/>
                <w:szCs w:val="21"/>
                <w:highlight w:val="none"/>
                <w:lang w:bidi="ar"/>
              </w:rPr>
              <w:t>颗粒物排放标准（单位：</w:t>
            </w:r>
            <w:r>
              <w:rPr>
                <w:rFonts w:hint="default"/>
                <w:b/>
                <w:bCs/>
                <w:color w:val="auto"/>
                <w:kern w:val="0"/>
                <w:szCs w:val="21"/>
                <w:highlight w:val="none"/>
                <w:lang w:bidi="ar"/>
              </w:rPr>
              <w:t>mg/m</w:t>
            </w:r>
            <w:r>
              <w:rPr>
                <w:rFonts w:hint="default"/>
                <w:b/>
                <w:bCs/>
                <w:color w:val="auto"/>
                <w:kern w:val="0"/>
                <w:szCs w:val="21"/>
                <w:highlight w:val="none"/>
                <w:vertAlign w:val="superscript"/>
                <w:lang w:bidi="ar"/>
              </w:rPr>
              <w:t>3</w:t>
            </w:r>
            <w:r>
              <w:rPr>
                <w:rFonts w:hint="eastAsia" w:ascii="宋体" w:hAnsi="宋体" w:cs="宋体"/>
                <w:b/>
                <w:bCs/>
                <w:color w:val="auto"/>
                <w:kern w:val="0"/>
                <w:szCs w:val="21"/>
                <w:highlight w:val="none"/>
                <w:lang w:bidi="ar"/>
              </w:rPr>
              <w:t>）</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3249"/>
              <w:gridCol w:w="2546"/>
            </w:tblGrid>
            <w:tr w14:paraId="623EAC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7EACC336">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l2br w:val="nil"/>
                    <w:tr2bl w:val="nil"/>
                  </w:tcBorders>
                  <w:noWrap w:val="0"/>
                  <w:vAlign w:val="center"/>
                </w:tcPr>
                <w:p w14:paraId="120D4B8A">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l2br w:val="nil"/>
                    <w:tr2bl w:val="nil"/>
                  </w:tcBorders>
                  <w:noWrap w:val="0"/>
                  <w:vAlign w:val="center"/>
                </w:tcPr>
                <w:p w14:paraId="38C3A97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49C5056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7630AD49">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tl2br w:val="nil"/>
                    <w:tr2bl w:val="nil"/>
                  </w:tcBorders>
                  <w:noWrap w:val="0"/>
                  <w:vAlign w:val="center"/>
                </w:tcPr>
                <w:p w14:paraId="170C7431">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tl2br w:val="nil"/>
                    <w:tr2bl w:val="nil"/>
                  </w:tcBorders>
                  <w:noWrap w:val="0"/>
                  <w:vAlign w:val="center"/>
                </w:tcPr>
                <w:p w14:paraId="6C64D4B5">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674ECA93">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eastAsia" w:cs="Times New Roman"/>
                <w:b w:val="0"/>
                <w:bCs w:val="0"/>
                <w:color w:val="auto"/>
                <w:sz w:val="21"/>
                <w:szCs w:val="21"/>
                <w:highlight w:val="none"/>
                <w:lang w:val="en-US" w:eastAsia="zh-CN"/>
              </w:rPr>
              <w:t>运营期：</w:t>
            </w:r>
            <w:r>
              <w:rPr>
                <w:rFonts w:hint="default" w:ascii="Times New Roman" w:hAnsi="Times New Roman" w:eastAsia="宋体" w:cs="Times New Roman"/>
                <w:color w:val="auto"/>
                <w:kern w:val="0"/>
                <w:sz w:val="21"/>
                <w:szCs w:val="21"/>
                <w:highlight w:val="none"/>
                <w:lang w:val="en-US" w:eastAsia="zh-CN"/>
              </w:rPr>
              <w:t>热风炉废气：</w:t>
            </w: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排放浓度执行《工业炉窑大气污染物排放标准》（GB9078-1996）中的表4中的二级标准，</w:t>
            </w:r>
            <w:r>
              <w:rPr>
                <w:rFonts w:hint="eastAsia" w:cs="Times New Roman"/>
                <w:color w:val="auto"/>
                <w:kern w:val="0"/>
                <w:sz w:val="21"/>
                <w:szCs w:val="21"/>
                <w:highlight w:val="none"/>
                <w:lang w:eastAsia="zh-CN"/>
              </w:rPr>
              <w:t>颗粒物</w:t>
            </w:r>
            <w:r>
              <w:rPr>
                <w:rFonts w:hint="default" w:ascii="Times New Roman" w:hAnsi="Times New Roman" w:eastAsia="宋体" w:cs="Times New Roman"/>
                <w:color w:val="auto"/>
                <w:kern w:val="0"/>
                <w:sz w:val="21"/>
                <w:szCs w:val="21"/>
                <w:highlight w:val="none"/>
                <w:lang w:eastAsia="zh-CN"/>
              </w:rPr>
              <w:t>排放浓度及烟气黑度</w:t>
            </w:r>
            <w:r>
              <w:rPr>
                <w:rFonts w:hint="default" w:ascii="Times New Roman" w:hAnsi="Times New Roman" w:eastAsia="宋体" w:cs="Times New Roman"/>
                <w:color w:val="auto"/>
                <w:kern w:val="0"/>
                <w:sz w:val="21"/>
                <w:szCs w:val="21"/>
                <w:highlight w:val="none"/>
              </w:rPr>
              <w:t>执行《工业炉窑大气污染物排放标准》（GB9078-1996）中的表2中的二级标准</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热风炉周边无组织排放烟尘浓度执行</w:t>
            </w:r>
            <w:r>
              <w:rPr>
                <w:rFonts w:hint="default" w:ascii="Times New Roman" w:hAnsi="Times New Roman" w:eastAsia="宋体" w:cs="Times New Roman"/>
                <w:color w:val="auto"/>
                <w:kern w:val="0"/>
                <w:sz w:val="21"/>
                <w:szCs w:val="21"/>
                <w:highlight w:val="none"/>
              </w:rPr>
              <w:t>《工业炉窑大气污染物排放标准》（GB9078-1996）中的表</w:t>
            </w:r>
            <w:r>
              <w:rPr>
                <w:rFonts w:hint="eastAsia"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标准。</w:t>
            </w:r>
          </w:p>
          <w:p w14:paraId="0F9A2F1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rPr>
              <w:t>表3-</w:t>
            </w:r>
            <w:r>
              <w:rPr>
                <w:rFonts w:hint="eastAsia" w:cs="Times New Roman"/>
                <w:b/>
                <w:bCs/>
                <w:color w:val="auto"/>
                <w:kern w:val="0"/>
                <w:szCs w:val="21"/>
                <w:highlight w:val="none"/>
                <w:lang w:val="en-US" w:eastAsia="zh-CN"/>
              </w:rPr>
              <w:t>7</w:t>
            </w:r>
            <w:r>
              <w:rPr>
                <w:rFonts w:hint="eastAsia" w:ascii="Times New Roman" w:hAnsi="Times New Roman" w:eastAsia="宋体" w:cs="Times New Roman"/>
                <w:b/>
                <w:bCs/>
                <w:color w:val="auto"/>
                <w:kern w:val="0"/>
                <w:szCs w:val="21"/>
                <w:highlight w:val="none"/>
                <w:lang w:val="en-US" w:eastAsia="zh-CN"/>
              </w:rPr>
              <w:t xml:space="preserve"> </w:t>
            </w:r>
            <w:r>
              <w:rPr>
                <w:rFonts w:hint="default" w:ascii="Times New Roman" w:hAnsi="Times New Roman" w:eastAsia="宋体" w:cs="Times New Roman"/>
                <w:b/>
                <w:bCs/>
                <w:color w:val="auto"/>
                <w:kern w:val="0"/>
                <w:szCs w:val="21"/>
                <w:highlight w:val="none"/>
              </w:rPr>
              <w:t>工业炉窑大气污染物排放标准</w:t>
            </w:r>
          </w:p>
          <w:tbl>
            <w:tblPr>
              <w:tblStyle w:val="3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568"/>
              <w:gridCol w:w="2230"/>
              <w:gridCol w:w="2666"/>
            </w:tblGrid>
            <w:tr w14:paraId="3F640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10EDB269">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污染物项目</w:t>
                  </w:r>
                </w:p>
              </w:tc>
              <w:tc>
                <w:tcPr>
                  <w:tcW w:w="1388" w:type="pct"/>
                  <w:noWrap w:val="0"/>
                  <w:vAlign w:val="center"/>
                </w:tcPr>
                <w:p w14:paraId="04895F2D">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二级</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p>
              </w:tc>
              <w:tc>
                <w:tcPr>
                  <w:tcW w:w="1659" w:type="pct"/>
                  <w:noWrap w:val="0"/>
                  <w:vAlign w:val="center"/>
                </w:tcPr>
                <w:p w14:paraId="35987BE8">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污染物排放监控位置</w:t>
                  </w:r>
                </w:p>
              </w:tc>
            </w:tr>
            <w:tr w14:paraId="7B327E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09B4970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颗粒物</w:t>
                  </w:r>
                </w:p>
              </w:tc>
              <w:tc>
                <w:tcPr>
                  <w:tcW w:w="1388" w:type="pct"/>
                  <w:noWrap w:val="0"/>
                  <w:vAlign w:val="center"/>
                </w:tcPr>
                <w:p w14:paraId="6536358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200</w:t>
                  </w:r>
                </w:p>
              </w:tc>
              <w:tc>
                <w:tcPr>
                  <w:tcW w:w="1659" w:type="pct"/>
                  <w:vMerge w:val="restart"/>
                  <w:noWrap w:val="0"/>
                  <w:vAlign w:val="center"/>
                </w:tcPr>
                <w:p w14:paraId="6BC37FD4">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eastAsia="zh-CN"/>
                    </w:rPr>
                  </w:pPr>
                  <w:r>
                    <w:rPr>
                      <w:rFonts w:hint="eastAsia" w:cs="Times New Roman"/>
                      <w:color w:val="auto"/>
                      <w:sz w:val="18"/>
                      <w:szCs w:val="18"/>
                      <w:highlight w:val="none"/>
                      <w:lang w:eastAsia="zh-CN"/>
                    </w:rPr>
                    <w:t>烟囱</w:t>
                  </w:r>
                </w:p>
              </w:tc>
            </w:tr>
            <w:tr w14:paraId="271B4E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1B765845">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二氧化硫</w:t>
                  </w:r>
                </w:p>
              </w:tc>
              <w:tc>
                <w:tcPr>
                  <w:tcW w:w="1388" w:type="pct"/>
                  <w:noWrap w:val="0"/>
                  <w:vAlign w:val="center"/>
                </w:tcPr>
                <w:p w14:paraId="6CDFCAA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850</w:t>
                  </w:r>
                </w:p>
              </w:tc>
              <w:tc>
                <w:tcPr>
                  <w:tcW w:w="1659" w:type="pct"/>
                  <w:vMerge w:val="continue"/>
                  <w:noWrap w:val="0"/>
                  <w:vAlign w:val="center"/>
                </w:tcPr>
                <w:p w14:paraId="3C82BCD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00D7C9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7CA4F877">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eastAsia="zh-CN"/>
                    </w:rPr>
                  </w:pPr>
                  <w:r>
                    <w:rPr>
                      <w:rFonts w:hint="default" w:ascii="Times New Roman" w:hAnsi="Times New Roman" w:eastAsia="宋体" w:cs="Times New Roman"/>
                      <w:bCs/>
                      <w:color w:val="auto"/>
                      <w:kern w:val="0"/>
                      <w:sz w:val="18"/>
                      <w:szCs w:val="18"/>
                      <w:highlight w:val="none"/>
                      <w:lang w:eastAsia="zh-CN"/>
                    </w:rPr>
                    <w:t>氮氧化物</w:t>
                  </w:r>
                </w:p>
              </w:tc>
              <w:tc>
                <w:tcPr>
                  <w:tcW w:w="1388" w:type="pct"/>
                  <w:noWrap w:val="0"/>
                  <w:vAlign w:val="center"/>
                </w:tcPr>
                <w:p w14:paraId="121D363F">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lang w:val="en-US" w:eastAsia="zh-CN"/>
                    </w:rPr>
                    <w:t>-</w:t>
                  </w:r>
                </w:p>
              </w:tc>
              <w:tc>
                <w:tcPr>
                  <w:tcW w:w="1659" w:type="pct"/>
                  <w:vMerge w:val="continue"/>
                  <w:noWrap w:val="0"/>
                  <w:vAlign w:val="center"/>
                </w:tcPr>
                <w:p w14:paraId="5587921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23A3BD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69EF958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烟气黑度（</w:t>
                  </w:r>
                  <w:r>
                    <w:rPr>
                      <w:rFonts w:hint="eastAsia" w:ascii="Times New Roman" w:hAnsi="Times New Roman" w:eastAsia="宋体" w:cs="Times New Roman"/>
                      <w:bCs/>
                      <w:color w:val="auto"/>
                      <w:kern w:val="0"/>
                      <w:sz w:val="18"/>
                      <w:szCs w:val="18"/>
                      <w:highlight w:val="none"/>
                      <w:lang w:eastAsia="zh-CN"/>
                    </w:rPr>
                    <w:t>林格曼黑度</w:t>
                  </w:r>
                  <w:r>
                    <w:rPr>
                      <w:rFonts w:hint="default" w:ascii="Times New Roman" w:hAnsi="Times New Roman" w:eastAsia="宋体" w:cs="Times New Roman"/>
                      <w:bCs/>
                      <w:color w:val="auto"/>
                      <w:kern w:val="0"/>
                      <w:sz w:val="18"/>
                      <w:szCs w:val="18"/>
                      <w:highlight w:val="none"/>
                    </w:rPr>
                    <w:t>，级）</w:t>
                  </w:r>
                </w:p>
              </w:tc>
              <w:tc>
                <w:tcPr>
                  <w:tcW w:w="1388" w:type="pct"/>
                  <w:noWrap w:val="0"/>
                  <w:vAlign w:val="center"/>
                </w:tcPr>
                <w:p w14:paraId="279301D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≤1</w:t>
                  </w:r>
                </w:p>
              </w:tc>
              <w:tc>
                <w:tcPr>
                  <w:tcW w:w="1659" w:type="pct"/>
                  <w:noWrap w:val="0"/>
                  <w:vAlign w:val="center"/>
                </w:tcPr>
                <w:p w14:paraId="2934340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color w:val="auto"/>
                      <w:sz w:val="18"/>
                      <w:szCs w:val="18"/>
                      <w:highlight w:val="none"/>
                      <w:lang w:eastAsia="zh-CN"/>
                    </w:rPr>
                    <w:t>烟囱</w:t>
                  </w:r>
                  <w:r>
                    <w:rPr>
                      <w:rFonts w:hint="default" w:ascii="Times New Roman" w:hAnsi="Times New Roman" w:eastAsia="宋体" w:cs="Times New Roman"/>
                      <w:bCs/>
                      <w:color w:val="auto"/>
                      <w:kern w:val="0"/>
                      <w:sz w:val="18"/>
                      <w:szCs w:val="18"/>
                      <w:highlight w:val="none"/>
                    </w:rPr>
                    <w:t>排放口</w:t>
                  </w:r>
                </w:p>
              </w:tc>
            </w:tr>
            <w:tr w14:paraId="7CC1EB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pct"/>
                  <w:vMerge w:val="restart"/>
                  <w:shd w:val="clear" w:color="auto" w:fill="auto"/>
                  <w:noWrap w:val="0"/>
                  <w:vAlign w:val="center"/>
                </w:tcPr>
                <w:p w14:paraId="6D554494">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工业炉窑无组织排放烟尘</w:t>
                  </w:r>
                </w:p>
                <w:p w14:paraId="2940AE86">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eastAsia="zh-CN"/>
                    </w:rPr>
                  </w:pPr>
                </w:p>
              </w:tc>
              <w:tc>
                <w:tcPr>
                  <w:tcW w:w="976" w:type="pct"/>
                  <w:shd w:val="clear" w:color="auto" w:fill="auto"/>
                  <w:noWrap w:val="0"/>
                  <w:vAlign w:val="center"/>
                </w:tcPr>
                <w:p w14:paraId="4406800D">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设置方式</w:t>
                  </w:r>
                </w:p>
              </w:tc>
              <w:tc>
                <w:tcPr>
                  <w:tcW w:w="1388" w:type="pct"/>
                  <w:shd w:val="clear" w:color="auto" w:fill="auto"/>
                  <w:noWrap w:val="0"/>
                  <w:vAlign w:val="center"/>
                </w:tcPr>
                <w:p w14:paraId="74867D5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炉窑类别</w:t>
                  </w:r>
                </w:p>
              </w:tc>
              <w:tc>
                <w:tcPr>
                  <w:tcW w:w="1659" w:type="pct"/>
                  <w:shd w:val="clear" w:color="auto" w:fill="auto"/>
                  <w:noWrap w:val="0"/>
                  <w:vAlign w:val="center"/>
                </w:tcPr>
                <w:p w14:paraId="44AC7301">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无组织排放烟尘最高允许浓度</w:t>
                  </w:r>
                  <w:r>
                    <w:rPr>
                      <w:rFonts w:hint="default" w:ascii="Times New Roman" w:hAnsi="Times New Roman" w:eastAsia="宋体" w:cs="Times New Roman"/>
                      <w:bCs/>
                      <w:color w:val="auto"/>
                      <w:kern w:val="0"/>
                      <w:sz w:val="18"/>
                      <w:szCs w:val="18"/>
                      <w:highlight w:val="none"/>
                      <w:lang w:eastAsia="zh-CN"/>
                    </w:rPr>
                    <w:t>（mg/m</w:t>
                  </w:r>
                  <w:r>
                    <w:rPr>
                      <w:rFonts w:hint="default" w:ascii="Times New Roman" w:hAnsi="Times New Roman" w:eastAsia="宋体" w:cs="Times New Roman"/>
                      <w:bCs/>
                      <w:color w:val="auto"/>
                      <w:kern w:val="0"/>
                      <w:sz w:val="18"/>
                      <w:szCs w:val="18"/>
                      <w:highlight w:val="none"/>
                      <w:vertAlign w:val="superscript"/>
                      <w:lang w:eastAsia="zh-CN"/>
                    </w:rPr>
                    <w:t>3</w:t>
                  </w:r>
                  <w:r>
                    <w:rPr>
                      <w:rFonts w:hint="default" w:ascii="Times New Roman" w:hAnsi="Times New Roman" w:eastAsia="宋体" w:cs="Times New Roman"/>
                      <w:bCs/>
                      <w:color w:val="auto"/>
                      <w:kern w:val="0"/>
                      <w:sz w:val="18"/>
                      <w:szCs w:val="18"/>
                      <w:highlight w:val="none"/>
                      <w:lang w:eastAsia="zh-CN"/>
                    </w:rPr>
                    <w:t>）</w:t>
                  </w:r>
                </w:p>
              </w:tc>
            </w:tr>
            <w:tr w14:paraId="08B54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pct"/>
                  <w:vMerge w:val="continue"/>
                  <w:noWrap w:val="0"/>
                  <w:vAlign w:val="center"/>
                </w:tcPr>
                <w:p w14:paraId="10A02D6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eastAsia="zh-CN"/>
                    </w:rPr>
                  </w:pPr>
                </w:p>
              </w:tc>
              <w:tc>
                <w:tcPr>
                  <w:tcW w:w="976" w:type="pct"/>
                  <w:shd w:val="clear" w:color="auto" w:fill="auto"/>
                  <w:noWrap w:val="0"/>
                  <w:vAlign w:val="center"/>
                </w:tcPr>
                <w:p w14:paraId="5821EA91">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有车间厂房</w:t>
                  </w:r>
                </w:p>
              </w:tc>
              <w:tc>
                <w:tcPr>
                  <w:tcW w:w="1388" w:type="pct"/>
                  <w:shd w:val="clear" w:color="auto" w:fill="auto"/>
                  <w:noWrap w:val="0"/>
                  <w:vAlign w:val="center"/>
                </w:tcPr>
                <w:p w14:paraId="416028F0">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其他炉窑</w:t>
                  </w:r>
                </w:p>
              </w:tc>
              <w:tc>
                <w:tcPr>
                  <w:tcW w:w="1659" w:type="pct"/>
                  <w:shd w:val="clear" w:color="auto" w:fill="auto"/>
                  <w:noWrap w:val="0"/>
                  <w:vAlign w:val="center"/>
                </w:tcPr>
                <w:p w14:paraId="4D696CB8">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val="en-US" w:eastAsia="zh-CN"/>
                    </w:rPr>
                  </w:pPr>
                  <w:r>
                    <w:rPr>
                      <w:rFonts w:hint="eastAsia" w:ascii="Times New Roman" w:hAnsi="Times New Roman" w:eastAsia="宋体" w:cs="Times New Roman"/>
                      <w:bCs/>
                      <w:color w:val="auto"/>
                      <w:kern w:val="0"/>
                      <w:sz w:val="18"/>
                      <w:szCs w:val="18"/>
                      <w:highlight w:val="none"/>
                      <w:lang w:val="en-US" w:eastAsia="zh-CN"/>
                    </w:rPr>
                    <w:t>5</w:t>
                  </w:r>
                </w:p>
              </w:tc>
            </w:tr>
          </w:tbl>
          <w:p w14:paraId="0709B85A">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auto"/>
              <w:rPr>
                <w:rStyle w:val="153"/>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本项目</w:t>
            </w:r>
            <w:r>
              <w:rPr>
                <w:rFonts w:hint="default" w:ascii="Times New Roman" w:hAnsi="Times New Roman" w:cs="Times New Roman"/>
                <w:color w:val="auto"/>
                <w:spacing w:val="0"/>
                <w:kern w:val="0"/>
                <w:sz w:val="21"/>
                <w:szCs w:val="21"/>
                <w:highlight w:val="none"/>
              </w:rPr>
              <w:t>厂界无组织颗粒物执行《大气污染物综合排放标准》（GB16297-1996）表2中无组织排放监控浓度限值</w:t>
            </w:r>
            <w:r>
              <w:rPr>
                <w:rFonts w:hint="default" w:ascii="Times New Roman" w:hAnsi="Times New Roman" w:cs="Times New Roman"/>
                <w:bCs/>
                <w:color w:val="auto"/>
                <w:spacing w:val="0"/>
                <w:sz w:val="21"/>
                <w:szCs w:val="21"/>
                <w:highlight w:val="none"/>
              </w:rPr>
              <w:t>。</w:t>
            </w:r>
          </w:p>
          <w:p w14:paraId="3C29C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表</w:t>
            </w:r>
            <w:r>
              <w:rPr>
                <w:rFonts w:hint="default" w:ascii="Times New Roman" w:hAnsi="Times New Roman" w:eastAsia="宋体" w:cs="Times New Roman"/>
                <w:b/>
                <w:bCs/>
                <w:color w:val="auto"/>
                <w:kern w:val="0"/>
                <w:highlight w:val="none"/>
                <w:lang w:val="en-US" w:eastAsia="zh-CN"/>
              </w:rPr>
              <w:t>3</w:t>
            </w:r>
            <w:r>
              <w:rPr>
                <w:rFonts w:hint="default" w:ascii="Times New Roman" w:hAnsi="Times New Roman" w:eastAsia="宋体" w:cs="Times New Roman"/>
                <w:b/>
                <w:bCs/>
                <w:color w:val="auto"/>
                <w:kern w:val="0"/>
                <w:highlight w:val="none"/>
              </w:rPr>
              <w:t>-</w:t>
            </w:r>
            <w:r>
              <w:rPr>
                <w:rFonts w:hint="eastAsia" w:cs="Times New Roman"/>
                <w:b/>
                <w:bCs/>
                <w:color w:val="auto"/>
                <w:kern w:val="0"/>
                <w:highlight w:val="none"/>
                <w:lang w:val="en-US" w:eastAsia="zh-CN"/>
              </w:rPr>
              <w:t>8</w:t>
            </w:r>
            <w:r>
              <w:rPr>
                <w:rFonts w:hint="default" w:ascii="Times New Roman" w:hAnsi="Times New Roman" w:eastAsia="宋体" w:cs="Times New Roman"/>
                <w:b/>
                <w:bCs/>
                <w:color w:val="auto"/>
                <w:kern w:val="0"/>
                <w:highlight w:val="none"/>
              </w:rPr>
              <w:t>大气污染物综合排放标准</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3249"/>
              <w:gridCol w:w="2546"/>
            </w:tblGrid>
            <w:tr w14:paraId="7EAAF7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4186BC09">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l2br w:val="nil"/>
                    <w:tr2bl w:val="nil"/>
                  </w:tcBorders>
                  <w:noWrap w:val="0"/>
                  <w:vAlign w:val="center"/>
                </w:tcPr>
                <w:p w14:paraId="0F45586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l2br w:val="nil"/>
                    <w:tr2bl w:val="nil"/>
                  </w:tcBorders>
                  <w:noWrap w:val="0"/>
                  <w:vAlign w:val="center"/>
                </w:tcPr>
                <w:p w14:paraId="2188FE84">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1E02D8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04FCB433">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tl2br w:val="nil"/>
                    <w:tr2bl w:val="nil"/>
                  </w:tcBorders>
                  <w:noWrap w:val="0"/>
                  <w:vAlign w:val="center"/>
                </w:tcPr>
                <w:p w14:paraId="1926D090">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tl2br w:val="nil"/>
                    <w:tr2bl w:val="nil"/>
                  </w:tcBorders>
                  <w:noWrap w:val="0"/>
                  <w:vAlign w:val="center"/>
                </w:tcPr>
                <w:p w14:paraId="6779B8BA">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0C124D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14:paraId="6794B823">
            <w:pPr>
              <w:pStyle w:val="43"/>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rPr>
                <w:rFonts w:hint="default"/>
                <w:color w:val="auto"/>
                <w:lang w:val="en-US" w:eastAsia="zh-CN"/>
              </w:rPr>
            </w:pPr>
            <w:r>
              <w:rPr>
                <w:rFonts w:hint="eastAsia" w:ascii="Times New Roman" w:hAnsi="Times New Roman" w:cs="Times New Roman"/>
                <w:color w:val="auto"/>
                <w:szCs w:val="21"/>
                <w:highlight w:val="none"/>
                <w:lang w:val="en-US" w:eastAsia="zh-CN"/>
              </w:rPr>
              <w:t>本项目生活用水量为2.2t/d，502t/a。</w:t>
            </w:r>
          </w:p>
          <w:p w14:paraId="194D11C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80%计，则本项目生活污水排水量为1.76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401.6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14:paraId="7F9B063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本项目无生产废水，废水主要为生活污水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61716948">
            <w:pPr>
              <w:keepNext w:val="0"/>
              <w:keepLines w:val="0"/>
              <w:numPr>
                <w:ilvl w:val="0"/>
                <w:numId w:val="0"/>
              </w:numPr>
              <w:suppressLineNumbers w:val="0"/>
              <w:spacing w:before="0" w:beforeAutospacing="0" w:after="0" w:afterAutospacing="0" w:line="360" w:lineRule="auto"/>
              <w:ind w:left="0" w:right="0" w:rightChars="0" w:firstLine="422" w:firstLineChars="200"/>
              <w:rPr>
                <w:rFonts w:hint="default"/>
                <w:color w:val="auto"/>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14:paraId="4C30AFF5">
            <w:pPr>
              <w:keepNext w:val="0"/>
              <w:keepLines w:val="0"/>
              <w:suppressLineNumbers w:val="0"/>
              <w:spacing w:before="0" w:beforeAutospacing="0" w:after="0" w:afterAutospacing="0" w:line="360" w:lineRule="auto"/>
              <w:ind w:left="0" w:right="0" w:firstLine="420" w:firstLineChars="200"/>
              <w:rPr>
                <w:rFonts w:hint="default"/>
                <w:b/>
                <w:color w:val="auto"/>
                <w:szCs w:val="21"/>
                <w:highlight w:val="none"/>
              </w:rPr>
            </w:pPr>
            <w:r>
              <w:rPr>
                <w:rFonts w:hint="default"/>
                <w:color w:val="auto"/>
                <w:szCs w:val="21"/>
                <w:highlight w:val="none"/>
              </w:rPr>
              <w:t>施工期</w:t>
            </w:r>
            <w:r>
              <w:rPr>
                <w:rFonts w:hint="eastAsia"/>
                <w:color w:val="auto"/>
                <w:szCs w:val="21"/>
                <w:highlight w:val="none"/>
                <w:lang w:eastAsia="zh-CN"/>
              </w:rPr>
              <w:t>：</w:t>
            </w:r>
            <w:r>
              <w:rPr>
                <w:rFonts w:hint="default"/>
                <w:color w:val="auto"/>
                <w:szCs w:val="21"/>
                <w:highlight w:val="none"/>
              </w:rPr>
              <w:t>噪声执行《建筑施工场界环境噪声排放标准》（GB12523-2011）中噪声排放限值，具体标准见表3-</w:t>
            </w:r>
            <w:r>
              <w:rPr>
                <w:rFonts w:hint="eastAsia"/>
                <w:color w:val="auto"/>
                <w:szCs w:val="21"/>
                <w:highlight w:val="none"/>
                <w:lang w:val="en-US" w:eastAsia="zh-CN"/>
              </w:rPr>
              <w:t>9</w:t>
            </w:r>
            <w:r>
              <w:rPr>
                <w:rFonts w:hint="default"/>
                <w:color w:val="auto"/>
                <w:szCs w:val="21"/>
                <w:highlight w:val="none"/>
              </w:rPr>
              <w:t>。</w:t>
            </w:r>
          </w:p>
          <w:p w14:paraId="4E4AF8C1">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 xml:space="preserve">9 </w:t>
            </w:r>
            <w:r>
              <w:rPr>
                <w:rFonts w:hint="default"/>
                <w:b/>
                <w:color w:val="auto"/>
                <w:szCs w:val="21"/>
                <w:highlight w:val="none"/>
              </w:rPr>
              <w:t>建筑施工场界环境噪声排放标准 单位：dB(A)</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3"/>
              <w:gridCol w:w="3992"/>
            </w:tblGrid>
            <w:tr w14:paraId="025EBE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751164F2">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l2br w:val="nil"/>
                    <w:tr2bl w:val="nil"/>
                  </w:tcBorders>
                  <w:vAlign w:val="center"/>
                </w:tcPr>
                <w:p w14:paraId="4EA93F90">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14:paraId="0B309C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4B9D16C4">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tl2br w:val="nil"/>
                    <w:tr2bl w:val="nil"/>
                  </w:tcBorders>
                  <w:vAlign w:val="center"/>
                </w:tcPr>
                <w:p w14:paraId="3733D7B9">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14:paraId="6E8A80F9">
            <w:pPr>
              <w:pStyle w:val="106"/>
              <w:keepNext w:val="0"/>
              <w:keepLines w:val="0"/>
              <w:suppressLineNumbers w:val="0"/>
              <w:spacing w:before="0" w:beforeAutospacing="0" w:after="0" w:afterAutospacing="0"/>
              <w:ind w:left="0" w:leftChars="0" w:right="0" w:firstLine="420" w:firstLineChars="200"/>
              <w:jc w:val="both"/>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运营期：</w:t>
            </w:r>
            <w:r>
              <w:rPr>
                <w:rFonts w:hint="eastAsia" w:cs="Times New Roman"/>
                <w:color w:val="auto"/>
                <w:kern w:val="0"/>
                <w:szCs w:val="21"/>
                <w:highlight w:val="none"/>
                <w:lang w:val="en-US" w:eastAsia="zh-CN"/>
              </w:rPr>
              <w:t>本项目位于鸡东县平阳镇平阳村，厂界南侧临近114县道，项目周边为商业、居住、工业功能区。根据</w:t>
            </w:r>
            <w:r>
              <w:rPr>
                <w:rFonts w:hint="eastAsia" w:ascii="Times New Roman" w:hAnsi="Times New Roman" w:eastAsia="宋体" w:cs="Times New Roman"/>
                <w:color w:val="auto"/>
                <w:kern w:val="0"/>
                <w:szCs w:val="21"/>
                <w:highlight w:val="none"/>
                <w:lang w:val="en-US" w:eastAsia="zh-CN"/>
              </w:rPr>
              <w:t>《声环境质量标准》（GB3096-2008）执行</w:t>
            </w:r>
            <w:r>
              <w:rPr>
                <w:rFonts w:hint="eastAsia" w:cs="Times New Roman"/>
                <w:color w:val="auto"/>
                <w:kern w:val="0"/>
                <w:szCs w:val="21"/>
                <w:highlight w:val="none"/>
                <w:lang w:val="en-US" w:eastAsia="zh-CN"/>
              </w:rPr>
              <w:t>2</w:t>
            </w:r>
            <w:r>
              <w:rPr>
                <w:rFonts w:hint="eastAsia" w:ascii="Times New Roman" w:hAnsi="Times New Roman" w:eastAsia="宋体" w:cs="Times New Roman"/>
                <w:color w:val="auto"/>
                <w:kern w:val="0"/>
                <w:szCs w:val="21"/>
                <w:highlight w:val="none"/>
                <w:lang w:val="en-US" w:eastAsia="zh-CN"/>
              </w:rPr>
              <w:t>类声环境功能区要求， 故本项目</w:t>
            </w:r>
            <w:r>
              <w:rPr>
                <w:rFonts w:hint="default" w:ascii="Times New Roman" w:hAnsi="Times New Roman" w:eastAsia="宋体" w:cs="Times New Roman"/>
                <w:color w:val="auto"/>
                <w:kern w:val="0"/>
                <w:szCs w:val="21"/>
                <w:highlight w:val="none"/>
                <w:lang w:val="en-US" w:eastAsia="zh-CN"/>
              </w:rPr>
              <w:t>厂界噪声执行《工业企业厂界环境噪声排放标准》(GB12348-2008)表1中</w:t>
            </w:r>
            <w:r>
              <w:rPr>
                <w:rFonts w:hint="eastAsia" w:cs="Times New Roman"/>
                <w:color w:val="auto"/>
                <w:kern w:val="0"/>
                <w:szCs w:val="21"/>
                <w:highlight w:val="none"/>
                <w:lang w:val="en-US" w:eastAsia="zh-CN"/>
              </w:rPr>
              <w:t>2</w:t>
            </w:r>
            <w:r>
              <w:rPr>
                <w:rFonts w:hint="eastAsia" w:ascii="Times New Roman" w:hAnsi="Times New Roman" w:eastAsia="宋体" w:cs="Times New Roman"/>
                <w:color w:val="auto"/>
                <w:kern w:val="0"/>
                <w:szCs w:val="21"/>
                <w:highlight w:val="none"/>
                <w:lang w:val="en-US" w:eastAsia="zh-CN"/>
              </w:rPr>
              <w:t>类</w:t>
            </w:r>
            <w:r>
              <w:rPr>
                <w:rFonts w:hint="default" w:ascii="Times New Roman" w:hAnsi="Times New Roman" w:eastAsia="宋体" w:cs="Times New Roman"/>
                <w:color w:val="auto"/>
                <w:kern w:val="0"/>
                <w:szCs w:val="21"/>
                <w:highlight w:val="none"/>
                <w:lang w:val="en-US" w:eastAsia="zh-CN"/>
              </w:rPr>
              <w:t>标准</w:t>
            </w:r>
            <w:r>
              <w:rPr>
                <w:rFonts w:hint="eastAsia" w:ascii="Times New Roman" w:hAnsi="Times New Roman" w:eastAsia="宋体" w:cs="Times New Roman"/>
                <w:color w:val="auto"/>
                <w:kern w:val="0"/>
                <w:szCs w:val="21"/>
                <w:highlight w:val="none"/>
                <w:lang w:val="en-US" w:eastAsia="zh-CN"/>
              </w:rPr>
              <w:t>。</w:t>
            </w:r>
          </w:p>
          <w:p w14:paraId="30385FB5">
            <w:pPr>
              <w:pStyle w:val="71"/>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 xml:space="preserve">10 </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9"/>
              <w:gridCol w:w="2802"/>
              <w:gridCol w:w="2841"/>
            </w:tblGrid>
            <w:tr w14:paraId="508459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14:paraId="25D99EE3">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l2br w:val="nil"/>
                    <w:tr2bl w:val="nil"/>
                  </w:tcBorders>
                  <w:vAlign w:val="center"/>
                </w:tcPr>
                <w:p w14:paraId="171A61FC">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044C10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14:paraId="4DA629C7">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tcBorders>
                    <w:tl2br w:val="nil"/>
                    <w:tr2bl w:val="nil"/>
                  </w:tcBorders>
                  <w:vAlign w:val="center"/>
                </w:tcPr>
                <w:p w14:paraId="2065CC9C">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tcBorders>
                    <w:tl2br w:val="nil"/>
                    <w:tr2bl w:val="nil"/>
                  </w:tcBorders>
                  <w:vAlign w:val="center"/>
                </w:tcPr>
                <w:p w14:paraId="64057251">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79750A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14:paraId="19769BC3">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2</w:t>
                  </w:r>
                  <w:r>
                    <w:rPr>
                      <w:rFonts w:hint="default" w:ascii="Times New Roman" w:hAnsi="Times New Roman" w:cs="Times New Roman" w:eastAsiaTheme="minorEastAsia"/>
                      <w:color w:val="auto"/>
                      <w:sz w:val="18"/>
                      <w:szCs w:val="18"/>
                      <w:highlight w:val="none"/>
                    </w:rPr>
                    <w:t>类</w:t>
                  </w:r>
                </w:p>
              </w:tc>
              <w:tc>
                <w:tcPr>
                  <w:tcW w:w="1744" w:type="pct"/>
                  <w:tcBorders>
                    <w:tl2br w:val="nil"/>
                    <w:tr2bl w:val="nil"/>
                  </w:tcBorders>
                  <w:vAlign w:val="center"/>
                </w:tcPr>
                <w:p w14:paraId="2647DEA6">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60</w:t>
                  </w:r>
                </w:p>
              </w:tc>
              <w:tc>
                <w:tcPr>
                  <w:tcW w:w="1768" w:type="pct"/>
                  <w:tcBorders>
                    <w:tl2br w:val="nil"/>
                    <w:tr2bl w:val="nil"/>
                  </w:tcBorders>
                  <w:vAlign w:val="center"/>
                </w:tcPr>
                <w:p w14:paraId="11F4C0B2">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50</w:t>
                  </w:r>
                </w:p>
              </w:tc>
            </w:tr>
          </w:tbl>
          <w:p w14:paraId="52B87C25">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14:paraId="0EA0F3EB">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ascii="Times New Roman" w:hAnsi="Times New Roman" w:eastAsia="宋体" w:cs="Times New Roman"/>
                <w:b w:val="0"/>
                <w:bCs w:val="0"/>
                <w:color w:val="auto"/>
                <w:sz w:val="21"/>
                <w:szCs w:val="21"/>
                <w:highlight w:val="none"/>
                <w:lang w:val="en-US"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default" w:ascii="Times New Roman" w:hAnsi="Times New Roman" w:cs="Times New Roman"/>
                <w:color w:val="auto"/>
                <w:kern w:val="21"/>
                <w:szCs w:val="21"/>
                <w:highlight w:val="none"/>
              </w:rPr>
              <w:t>。</w:t>
            </w:r>
          </w:p>
        </w:tc>
      </w:tr>
      <w:tr w14:paraId="6FC7EA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452" w:type="pct"/>
            <w:tcBorders>
              <w:bottom w:val="single" w:color="auto" w:sz="4" w:space="0"/>
            </w:tcBorders>
            <w:vAlign w:val="center"/>
          </w:tcPr>
          <w:p w14:paraId="72ADBB2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2E6E768E">
            <w:pPr>
              <w:keepNext w:val="0"/>
              <w:keepLines w:val="0"/>
              <w:suppressLineNumbers w:val="0"/>
              <w:tabs>
                <w:tab w:val="left" w:pos="5046"/>
              </w:tabs>
              <w:spacing w:before="0" w:beforeAutospacing="0" w:after="0" w:afterAutospacing="0"/>
              <w:ind w:left="0" w:right="0" w:firstLine="420" w:firstLineChars="200"/>
              <w:jc w:val="both"/>
              <w:rPr>
                <w:rFonts w:hint="eastAsia"/>
                <w:b w:val="0"/>
                <w:bCs/>
                <w:color w:val="auto"/>
                <w:szCs w:val="21"/>
                <w:highlight w:val="none"/>
                <w:lang w:val="en-US" w:eastAsia="zh-CN"/>
              </w:rPr>
            </w:pPr>
            <w:r>
              <w:rPr>
                <w:rFonts w:hint="eastAsia"/>
                <w:b w:val="0"/>
                <w:bCs/>
                <w:color w:val="auto"/>
                <w:szCs w:val="21"/>
                <w:highlight w:val="none"/>
                <w:lang w:val="en-US" w:eastAsia="zh-CN"/>
              </w:rPr>
              <w:t>根据现有工程环境影响评价要求，现有工程总量控制指标为：SO</w:t>
            </w:r>
            <w:r>
              <w:rPr>
                <w:rFonts w:hint="eastAsia"/>
                <w:b w:val="0"/>
                <w:bCs/>
                <w:color w:val="auto"/>
                <w:szCs w:val="21"/>
                <w:highlight w:val="none"/>
                <w:vertAlign w:val="subscript"/>
                <w:lang w:val="en-US" w:eastAsia="zh-CN"/>
              </w:rPr>
              <w:t>2</w:t>
            </w:r>
            <w:r>
              <w:rPr>
                <w:rFonts w:hint="eastAsia"/>
                <w:b w:val="0"/>
                <w:bCs/>
                <w:color w:val="auto"/>
                <w:szCs w:val="21"/>
                <w:highlight w:val="none"/>
                <w:lang w:val="en-US" w:eastAsia="zh-CN"/>
              </w:rPr>
              <w:t xml:space="preserve"> 7.75t/a，NOx 4.47t/a。</w:t>
            </w:r>
          </w:p>
          <w:p w14:paraId="6EBAEED1">
            <w:pPr>
              <w:keepNext w:val="0"/>
              <w:keepLines w:val="0"/>
              <w:suppressLineNumbers w:val="0"/>
              <w:tabs>
                <w:tab w:val="left" w:pos="5046"/>
              </w:tabs>
              <w:spacing w:before="0" w:beforeAutospacing="0" w:after="0" w:afterAutospacing="0"/>
              <w:ind w:left="0" w:right="0" w:firstLine="420" w:firstLineChars="200"/>
              <w:jc w:val="both"/>
              <w:rPr>
                <w:rFonts w:hint="default" w:eastAsia="宋体"/>
                <w:b w:val="0"/>
                <w:bCs/>
                <w:color w:val="auto"/>
                <w:szCs w:val="21"/>
                <w:highlight w:val="none"/>
                <w:lang w:val="en-US" w:eastAsia="zh-CN"/>
              </w:rPr>
            </w:pPr>
            <w:r>
              <w:rPr>
                <w:rFonts w:hint="eastAsia"/>
                <w:b w:val="0"/>
                <w:bCs/>
                <w:color w:val="auto"/>
                <w:szCs w:val="21"/>
                <w:highlight w:val="none"/>
                <w:lang w:val="en-US" w:eastAsia="zh-CN"/>
              </w:rPr>
              <w:t>本次改扩建后污染物排放情况见下表。</w:t>
            </w:r>
          </w:p>
          <w:p w14:paraId="55C880F0">
            <w:pPr>
              <w:keepNext w:val="0"/>
              <w:keepLines w:val="0"/>
              <w:suppressLineNumbers w:val="0"/>
              <w:tabs>
                <w:tab w:val="left" w:pos="5046"/>
              </w:tabs>
              <w:spacing w:before="0" w:beforeAutospacing="0" w:after="0" w:afterAutospacing="0"/>
              <w:ind w:left="0" w:right="0"/>
              <w:jc w:val="center"/>
              <w:rPr>
                <w:rFonts w:hint="eastAsia" w:cs="Times New Roman"/>
                <w:color w:val="auto"/>
                <w:kern w:val="0"/>
                <w:szCs w:val="21"/>
                <w:highlight w:val="none"/>
                <w:lang w:val="en-US"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-11污染物预测排放量及“三本帐”一览</w:t>
            </w:r>
            <w:r>
              <w:rPr>
                <w:rFonts w:hint="eastAsia"/>
                <w:b/>
                <w:color w:val="auto"/>
                <w:szCs w:val="21"/>
                <w:highlight w:val="none"/>
              </w:rPr>
              <w:t>表</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335"/>
              <w:gridCol w:w="1140"/>
              <w:gridCol w:w="1275"/>
              <w:gridCol w:w="1560"/>
              <w:gridCol w:w="1556"/>
            </w:tblGrid>
            <w:tr w14:paraId="7210A4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dxa"/>
                  <w:noWrap w:val="0"/>
                  <w:vAlign w:val="center"/>
                </w:tcPr>
                <w:p w14:paraId="66CC3559">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bCs/>
                      <w:color w:val="auto"/>
                      <w:sz w:val="18"/>
                      <w:szCs w:val="18"/>
                      <w:highlight w:val="none"/>
                    </w:rPr>
                    <w:t>名称</w:t>
                  </w:r>
                </w:p>
              </w:tc>
              <w:tc>
                <w:tcPr>
                  <w:tcW w:w="1335" w:type="dxa"/>
                  <w:noWrap w:val="0"/>
                  <w:vAlign w:val="center"/>
                </w:tcPr>
                <w:p w14:paraId="15B4640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现有工程</w:t>
                  </w:r>
                  <w:r>
                    <w:rPr>
                      <w:rFonts w:hint="eastAsia"/>
                      <w:color w:val="auto"/>
                      <w:sz w:val="18"/>
                      <w:szCs w:val="18"/>
                      <w:highlight w:val="none"/>
                    </w:rPr>
                    <w:t>实际排放量</w:t>
                  </w:r>
                  <w:r>
                    <w:rPr>
                      <w:rFonts w:hint="default"/>
                      <w:color w:val="auto"/>
                      <w:sz w:val="18"/>
                      <w:szCs w:val="18"/>
                      <w:highlight w:val="none"/>
                    </w:rPr>
                    <w:t>（t/a）</w:t>
                  </w:r>
                </w:p>
              </w:tc>
              <w:tc>
                <w:tcPr>
                  <w:tcW w:w="1140" w:type="dxa"/>
                  <w:noWrap w:val="0"/>
                  <w:vAlign w:val="center"/>
                </w:tcPr>
                <w:p w14:paraId="0B962D7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本工程预测排放量（t/a）</w:t>
                  </w:r>
                </w:p>
              </w:tc>
              <w:tc>
                <w:tcPr>
                  <w:tcW w:w="1275" w:type="dxa"/>
                  <w:noWrap w:val="0"/>
                  <w:vAlign w:val="center"/>
                </w:tcPr>
                <w:p w14:paraId="7497071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sz w:val="18"/>
                      <w:szCs w:val="18"/>
                      <w:highlight w:val="none"/>
                    </w:rPr>
                    <w:t>“以新带老”</w:t>
                  </w:r>
                  <w:r>
                    <w:rPr>
                      <w:rFonts w:hint="default"/>
                      <w:color w:val="auto"/>
                      <w:sz w:val="18"/>
                      <w:szCs w:val="18"/>
                      <w:highlight w:val="none"/>
                    </w:rPr>
                    <w:t>削减量（t/a）</w:t>
                  </w:r>
                </w:p>
              </w:tc>
              <w:tc>
                <w:tcPr>
                  <w:tcW w:w="1560" w:type="dxa"/>
                  <w:noWrap w:val="0"/>
                  <w:vAlign w:val="center"/>
                </w:tcPr>
                <w:p w14:paraId="1F2683B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总体工程预测排放总量（t/a）</w:t>
                  </w:r>
                </w:p>
              </w:tc>
              <w:tc>
                <w:tcPr>
                  <w:tcW w:w="1556" w:type="dxa"/>
                  <w:tcBorders>
                    <w:right w:val="nil"/>
                  </w:tcBorders>
                  <w:noWrap w:val="0"/>
                  <w:vAlign w:val="center"/>
                </w:tcPr>
                <w:p w14:paraId="4148973A">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总体工程排放增减量（t/a）</w:t>
                  </w:r>
                </w:p>
              </w:tc>
            </w:tr>
            <w:tr w14:paraId="6B1E6C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69" w:type="dxa"/>
                  <w:noWrap w:val="0"/>
                  <w:vAlign w:val="center"/>
                </w:tcPr>
                <w:p w14:paraId="0C2F994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kern w:val="0"/>
                      <w:sz w:val="18"/>
                      <w:szCs w:val="18"/>
                      <w:highlight w:val="none"/>
                    </w:rPr>
                    <w:t>颗粒物</w:t>
                  </w:r>
                </w:p>
              </w:tc>
              <w:tc>
                <w:tcPr>
                  <w:tcW w:w="1335" w:type="dxa"/>
                  <w:noWrap w:val="0"/>
                  <w:vAlign w:val="center"/>
                </w:tcPr>
                <w:p w14:paraId="7F27B8AA">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3.247</w:t>
                  </w:r>
                </w:p>
              </w:tc>
              <w:tc>
                <w:tcPr>
                  <w:tcW w:w="1140" w:type="dxa"/>
                  <w:noWrap w:val="0"/>
                  <w:vAlign w:val="center"/>
                </w:tcPr>
                <w:p w14:paraId="6BBC33CA">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color w:val="auto"/>
                      <w:kern w:val="0"/>
                      <w:sz w:val="18"/>
                      <w:szCs w:val="18"/>
                      <w:highlight w:val="none"/>
                      <w:lang w:val="en-US"/>
                    </w:rPr>
                  </w:pPr>
                  <w:r>
                    <w:rPr>
                      <w:rFonts w:hint="eastAsia"/>
                      <w:color w:val="auto"/>
                      <w:kern w:val="2"/>
                      <w:sz w:val="18"/>
                      <w:szCs w:val="18"/>
                      <w:highlight w:val="none"/>
                      <w:lang w:val="en-US" w:eastAsia="zh-CN" w:bidi="zh-CN"/>
                    </w:rPr>
                    <w:t>1.991</w:t>
                  </w:r>
                </w:p>
              </w:tc>
              <w:tc>
                <w:tcPr>
                  <w:tcW w:w="1275" w:type="dxa"/>
                  <w:noWrap w:val="0"/>
                  <w:vAlign w:val="center"/>
                </w:tcPr>
                <w:p w14:paraId="4A5FDEB3">
                  <w:pPr>
                    <w:keepNext w:val="0"/>
                    <w:keepLines w:val="0"/>
                    <w:suppressLineNumbers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kern w:val="0"/>
                      <w:sz w:val="18"/>
                      <w:szCs w:val="18"/>
                      <w:highlight w:val="none"/>
                      <w:lang w:val="en-US" w:eastAsia="zh-CN" w:bidi="ar-SA"/>
                    </w:rPr>
                    <w:t>3.247</w:t>
                  </w:r>
                </w:p>
              </w:tc>
              <w:tc>
                <w:tcPr>
                  <w:tcW w:w="1560" w:type="dxa"/>
                  <w:noWrap w:val="0"/>
                  <w:vAlign w:val="center"/>
                </w:tcPr>
                <w:p w14:paraId="762E7FC6">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eastAsia="宋体"/>
                      <w:color w:val="auto"/>
                      <w:sz w:val="18"/>
                      <w:szCs w:val="18"/>
                      <w:highlight w:val="none"/>
                      <w:lang w:val="en-US" w:eastAsia="zh-CN"/>
                    </w:rPr>
                  </w:pPr>
                  <w:r>
                    <w:rPr>
                      <w:rFonts w:hint="eastAsia"/>
                      <w:color w:val="auto"/>
                      <w:kern w:val="2"/>
                      <w:sz w:val="18"/>
                      <w:szCs w:val="18"/>
                      <w:highlight w:val="none"/>
                      <w:lang w:val="en-US" w:eastAsia="zh-CN" w:bidi="zh-CN"/>
                    </w:rPr>
                    <w:t>1.991</w:t>
                  </w:r>
                </w:p>
              </w:tc>
              <w:tc>
                <w:tcPr>
                  <w:tcW w:w="1556" w:type="dxa"/>
                  <w:noWrap w:val="0"/>
                  <w:vAlign w:val="center"/>
                </w:tcPr>
                <w:p w14:paraId="36327ED4">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color w:val="auto"/>
                      <w:sz w:val="18"/>
                      <w:szCs w:val="18"/>
                      <w:highlight w:val="none"/>
                      <w:lang w:val="en-US"/>
                    </w:rPr>
                  </w:pPr>
                  <w:r>
                    <w:rPr>
                      <w:rFonts w:hint="eastAsia"/>
                      <w:color w:val="auto"/>
                      <w:kern w:val="2"/>
                      <w:sz w:val="18"/>
                      <w:szCs w:val="18"/>
                      <w:highlight w:val="none"/>
                      <w:lang w:val="en-US" w:eastAsia="zh-CN" w:bidi="zh-CN"/>
                    </w:rPr>
                    <w:t>-1.256</w:t>
                  </w:r>
                </w:p>
              </w:tc>
            </w:tr>
            <w:tr w14:paraId="5EDA70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9" w:type="dxa"/>
                  <w:noWrap w:val="0"/>
                  <w:vAlign w:val="center"/>
                </w:tcPr>
                <w:p w14:paraId="3A902D5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335" w:type="dxa"/>
                  <w:noWrap w:val="0"/>
                  <w:vAlign w:val="center"/>
                </w:tcPr>
                <w:p w14:paraId="0CD0B27F">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0.554</w:t>
                  </w:r>
                </w:p>
              </w:tc>
              <w:tc>
                <w:tcPr>
                  <w:tcW w:w="1140" w:type="dxa"/>
                  <w:noWrap w:val="0"/>
                  <w:vAlign w:val="center"/>
                </w:tcPr>
                <w:p w14:paraId="7FE9A6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2.434</w:t>
                  </w:r>
                </w:p>
              </w:tc>
              <w:tc>
                <w:tcPr>
                  <w:tcW w:w="1275" w:type="dxa"/>
                  <w:noWrap w:val="0"/>
                  <w:vAlign w:val="center"/>
                </w:tcPr>
                <w:p w14:paraId="040B26A5">
                  <w:pPr>
                    <w:keepNext w:val="0"/>
                    <w:keepLines w:val="0"/>
                    <w:suppressLineNumbers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kern w:val="0"/>
                      <w:sz w:val="18"/>
                      <w:szCs w:val="18"/>
                      <w:highlight w:val="none"/>
                      <w:lang w:val="en-US" w:eastAsia="zh-CN" w:bidi="ar-SA"/>
                    </w:rPr>
                    <w:t>0.554</w:t>
                  </w:r>
                </w:p>
              </w:tc>
              <w:tc>
                <w:tcPr>
                  <w:tcW w:w="1560" w:type="dxa"/>
                  <w:noWrap w:val="0"/>
                  <w:vAlign w:val="center"/>
                </w:tcPr>
                <w:p w14:paraId="44921D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2.434</w:t>
                  </w:r>
                </w:p>
              </w:tc>
              <w:tc>
                <w:tcPr>
                  <w:tcW w:w="1556" w:type="dxa"/>
                  <w:noWrap w:val="0"/>
                  <w:vAlign w:val="center"/>
                </w:tcPr>
                <w:p w14:paraId="41D9A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s="Times New Roman"/>
                      <w:color w:val="auto"/>
                      <w:kern w:val="0"/>
                      <w:sz w:val="18"/>
                      <w:szCs w:val="18"/>
                      <w:highlight w:val="none"/>
                      <w:lang w:val="en-US" w:eastAsia="zh-CN" w:bidi="ar"/>
                    </w:rPr>
                  </w:pPr>
                  <w:r>
                    <w:rPr>
                      <w:rFonts w:hint="eastAsia" w:cs="Times New Roman"/>
                      <w:color w:val="auto"/>
                      <w:spacing w:val="0"/>
                      <w:kern w:val="0"/>
                      <w:position w:val="0"/>
                      <w:sz w:val="18"/>
                      <w:szCs w:val="18"/>
                      <w:highlight w:val="none"/>
                      <w:lang w:val="en-US" w:eastAsia="zh-CN"/>
                    </w:rPr>
                    <w:t>+1.88</w:t>
                  </w:r>
                </w:p>
              </w:tc>
            </w:tr>
            <w:tr w14:paraId="7B6209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9" w:type="dxa"/>
                  <w:noWrap w:val="0"/>
                  <w:vAlign w:val="center"/>
                </w:tcPr>
                <w:p w14:paraId="5311239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335" w:type="dxa"/>
                  <w:noWrap w:val="0"/>
                  <w:vAlign w:val="center"/>
                </w:tcPr>
                <w:p w14:paraId="2ADFD2E5">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0.254</w:t>
                  </w:r>
                </w:p>
              </w:tc>
              <w:tc>
                <w:tcPr>
                  <w:tcW w:w="1140" w:type="dxa"/>
                  <w:noWrap w:val="0"/>
                  <w:vAlign w:val="center"/>
                </w:tcPr>
                <w:p w14:paraId="2EB9E0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10.472</w:t>
                  </w:r>
                </w:p>
              </w:tc>
              <w:tc>
                <w:tcPr>
                  <w:tcW w:w="1275" w:type="dxa"/>
                  <w:noWrap w:val="0"/>
                  <w:vAlign w:val="center"/>
                </w:tcPr>
                <w:p w14:paraId="14517600">
                  <w:pPr>
                    <w:keepNext w:val="0"/>
                    <w:keepLines w:val="0"/>
                    <w:suppressLineNumbers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kern w:val="0"/>
                      <w:sz w:val="18"/>
                      <w:szCs w:val="18"/>
                      <w:highlight w:val="none"/>
                      <w:lang w:val="en-US" w:eastAsia="zh-CN" w:bidi="ar-SA"/>
                    </w:rPr>
                    <w:t>0.254</w:t>
                  </w:r>
                </w:p>
              </w:tc>
              <w:tc>
                <w:tcPr>
                  <w:tcW w:w="1560" w:type="dxa"/>
                  <w:noWrap w:val="0"/>
                  <w:vAlign w:val="center"/>
                </w:tcPr>
                <w:p w14:paraId="2CAADE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10.472</w:t>
                  </w:r>
                </w:p>
              </w:tc>
              <w:tc>
                <w:tcPr>
                  <w:tcW w:w="1556" w:type="dxa"/>
                  <w:noWrap w:val="0"/>
                  <w:vAlign w:val="center"/>
                </w:tcPr>
                <w:p w14:paraId="2D72E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s="Times New Roman"/>
                      <w:color w:val="auto"/>
                      <w:kern w:val="0"/>
                      <w:sz w:val="18"/>
                      <w:szCs w:val="18"/>
                      <w:highlight w:val="none"/>
                      <w:lang w:val="en-US" w:eastAsia="zh-CN" w:bidi="ar"/>
                    </w:rPr>
                  </w:pPr>
                  <w:r>
                    <w:rPr>
                      <w:rFonts w:hint="eastAsia" w:cs="Times New Roman"/>
                      <w:color w:val="auto"/>
                      <w:spacing w:val="0"/>
                      <w:kern w:val="0"/>
                      <w:position w:val="0"/>
                      <w:sz w:val="18"/>
                      <w:szCs w:val="18"/>
                      <w:highlight w:val="none"/>
                      <w:lang w:val="en-US" w:eastAsia="zh-CN"/>
                    </w:rPr>
                    <w:t>+10.218</w:t>
                  </w:r>
                </w:p>
              </w:tc>
            </w:tr>
            <w:tr w14:paraId="3B570A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9" w:type="dxa"/>
                  <w:noWrap w:val="0"/>
                  <w:vAlign w:val="center"/>
                </w:tcPr>
                <w:p w14:paraId="3E49D92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工业粉尘</w:t>
                  </w:r>
                </w:p>
              </w:tc>
              <w:tc>
                <w:tcPr>
                  <w:tcW w:w="1335" w:type="dxa"/>
                  <w:noWrap w:val="0"/>
                  <w:vAlign w:val="center"/>
                </w:tcPr>
                <w:p w14:paraId="03D36C07">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2.5</w:t>
                  </w:r>
                </w:p>
              </w:tc>
              <w:tc>
                <w:tcPr>
                  <w:tcW w:w="1140" w:type="dxa"/>
                  <w:noWrap w:val="0"/>
                  <w:vAlign w:val="center"/>
                </w:tcPr>
                <w:p w14:paraId="5BE3EF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5.219</w:t>
                  </w:r>
                </w:p>
              </w:tc>
              <w:tc>
                <w:tcPr>
                  <w:tcW w:w="1275" w:type="dxa"/>
                  <w:noWrap w:val="0"/>
                  <w:vAlign w:val="center"/>
                </w:tcPr>
                <w:p w14:paraId="35F79474">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0</w:t>
                  </w:r>
                </w:p>
              </w:tc>
              <w:tc>
                <w:tcPr>
                  <w:tcW w:w="1560" w:type="dxa"/>
                  <w:noWrap w:val="0"/>
                  <w:vAlign w:val="center"/>
                </w:tcPr>
                <w:p w14:paraId="45E5AB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7.719</w:t>
                  </w:r>
                </w:p>
              </w:tc>
              <w:tc>
                <w:tcPr>
                  <w:tcW w:w="1556" w:type="dxa"/>
                  <w:noWrap w:val="0"/>
                  <w:vAlign w:val="center"/>
                </w:tcPr>
                <w:p w14:paraId="1DE07F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kern w:val="0"/>
                      <w:sz w:val="18"/>
                      <w:szCs w:val="18"/>
                      <w:highlight w:val="none"/>
                      <w:lang w:val="en-US" w:eastAsia="zh-CN"/>
                    </w:rPr>
                    <w:t>+5.219</w:t>
                  </w:r>
                </w:p>
              </w:tc>
            </w:tr>
          </w:tbl>
          <w:p w14:paraId="7E1644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Cs w:val="21"/>
                <w:highlight w:val="cyan"/>
                <w:lang w:val="en-US" w:eastAsia="zh-CN"/>
              </w:rPr>
            </w:pPr>
            <w:r>
              <w:rPr>
                <w:rFonts w:hint="eastAsia" w:cs="Times New Roman"/>
                <w:color w:val="auto"/>
                <w:kern w:val="0"/>
                <w:szCs w:val="21"/>
                <w:highlight w:val="none"/>
                <w:lang w:val="en-US" w:eastAsia="zh-CN"/>
              </w:rPr>
              <w:t>综上所述，最终确定本项目改扩建后，总量控制指标为：SO</w:t>
            </w:r>
            <w:r>
              <w:rPr>
                <w:rFonts w:hint="eastAsia" w:cs="Times New Roman"/>
                <w:color w:val="auto"/>
                <w:kern w:val="0"/>
                <w:szCs w:val="21"/>
                <w:highlight w:val="none"/>
                <w:vertAlign w:val="subscript"/>
                <w:lang w:val="en-US" w:eastAsia="zh-CN"/>
              </w:rPr>
              <w:t>2</w:t>
            </w:r>
            <w:r>
              <w:rPr>
                <w:rFonts w:hint="eastAsia" w:cs="Times New Roman"/>
                <w:color w:val="auto"/>
                <w:kern w:val="0"/>
                <w:szCs w:val="21"/>
                <w:highlight w:val="none"/>
                <w:lang w:val="en-US" w:eastAsia="zh-CN"/>
              </w:rPr>
              <w:t xml:space="preserve"> 2.434、NOx 10.472。</w:t>
            </w:r>
          </w:p>
        </w:tc>
      </w:tr>
    </w:tbl>
    <w:p w14:paraId="7EE31B3A">
      <w:pPr>
        <w:pStyle w:val="29"/>
        <w:spacing w:before="0" w:beforeAutospacing="0" w:after="158" w:afterLines="50" w:afterAutospacing="0"/>
        <w:ind w:firstLine="420" w:firstLineChars="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9"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9"/>
    </w:p>
    <w:tbl>
      <w:tblPr>
        <w:tblStyle w:val="34"/>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1"/>
        <w:gridCol w:w="8270"/>
      </w:tblGrid>
      <w:tr w14:paraId="7BCED9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9" w:type="dxa"/>
            <w:noWrap w:val="0"/>
            <w:tcMar>
              <w:left w:w="28" w:type="dxa"/>
              <w:right w:w="28" w:type="dxa"/>
            </w:tcMar>
            <w:vAlign w:val="center"/>
          </w:tcPr>
          <w:p w14:paraId="222A7B23">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1F9AEA59">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51FA3928">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320FBD68">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27858F6A">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254" w:type="dxa"/>
            <w:noWrap w:val="0"/>
            <w:vAlign w:val="center"/>
          </w:tcPr>
          <w:p w14:paraId="0F8E9CFA">
            <w:pPr>
              <w:pStyle w:val="164"/>
              <w:keepNext w:val="0"/>
              <w:keepLines w:val="0"/>
              <w:suppressLineNumbers w:val="0"/>
              <w:spacing w:before="0" w:beforeAutospacing="0" w:after="0" w:afterAutospacing="0"/>
              <w:ind w:left="0" w:right="0" w:firstLine="480"/>
              <w:rPr>
                <w:rFonts w:hint="eastAsia" w:cs="Times New Roman"/>
                <w:color w:val="auto"/>
                <w:sz w:val="21"/>
                <w:szCs w:val="21"/>
                <w:lang w:val="en-US" w:eastAsia="zh-CN"/>
              </w:rPr>
            </w:pPr>
            <w:r>
              <w:rPr>
                <w:rFonts w:hint="eastAsia" w:ascii="Times New Roman" w:hAnsi="Times New Roman" w:eastAsia="宋体" w:cs="Times New Roman"/>
                <w:b w:val="0"/>
                <w:bCs w:val="0"/>
                <w:color w:val="auto"/>
                <w:kern w:val="0"/>
                <w:sz w:val="21"/>
                <w:szCs w:val="21"/>
                <w:highlight w:val="none"/>
                <w:lang w:val="en-US" w:eastAsia="zh-CN"/>
              </w:rPr>
              <w:t>本项目对现有1台600万Kcal/h燃煤热风炉进行改造，改造后使用生物质成型燃料。施工期仅为简单室内装修、</w:t>
            </w:r>
            <w:r>
              <w:rPr>
                <w:rFonts w:hint="eastAsia" w:cs="Times New Roman"/>
                <w:b w:val="0"/>
                <w:bCs w:val="0"/>
                <w:color w:val="auto"/>
                <w:kern w:val="0"/>
                <w:sz w:val="21"/>
                <w:szCs w:val="21"/>
                <w:highlight w:val="none"/>
                <w:lang w:val="en-US" w:eastAsia="zh-CN"/>
              </w:rPr>
              <w:t>热风炉改造</w:t>
            </w:r>
            <w:r>
              <w:rPr>
                <w:rFonts w:hint="eastAsia" w:cs="Times New Roman"/>
                <w:color w:val="auto"/>
                <w:sz w:val="21"/>
                <w:szCs w:val="21"/>
                <w:lang w:eastAsia="zh-CN"/>
              </w:rPr>
              <w:t>。</w:t>
            </w:r>
            <w:r>
              <w:rPr>
                <w:rFonts w:hint="eastAsia" w:cs="Times New Roman"/>
                <w:color w:val="auto"/>
                <w:sz w:val="21"/>
                <w:szCs w:val="21"/>
                <w:highlight w:val="none"/>
                <w:lang w:val="en-US" w:eastAsia="zh-CN"/>
              </w:rPr>
              <w:t>施工期无大规模土建工程，</w:t>
            </w:r>
            <w:r>
              <w:rPr>
                <w:rFonts w:hint="eastAsia" w:cs="Times New Roman"/>
                <w:color w:val="auto"/>
                <w:sz w:val="21"/>
                <w:szCs w:val="21"/>
              </w:rPr>
              <w:t>对周围环境影响较小。随着施工期的结束而消失，不会对周边环境产生明显及长远影响，</w:t>
            </w:r>
            <w:r>
              <w:rPr>
                <w:rFonts w:hint="eastAsia" w:cs="Times New Roman"/>
                <w:color w:val="auto"/>
                <w:sz w:val="21"/>
                <w:szCs w:val="21"/>
                <w:lang w:val="en-US" w:eastAsia="zh-CN"/>
              </w:rPr>
              <w:t>施工期环境保护措施如下：</w:t>
            </w:r>
          </w:p>
          <w:p w14:paraId="226A34DE">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1、废气污染防治措施</w:t>
            </w:r>
          </w:p>
          <w:p w14:paraId="1415F5C7">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w:t>
            </w:r>
            <w:r>
              <w:rPr>
                <w:rFonts w:hint="eastAsia" w:cs="Times New Roman"/>
                <w:color w:val="auto"/>
                <w:sz w:val="21"/>
                <w:szCs w:val="21"/>
                <w:lang w:val="en-US" w:eastAsia="zh-CN"/>
              </w:rPr>
              <w:t>1</w:t>
            </w:r>
            <w:r>
              <w:rPr>
                <w:rFonts w:hint="default" w:cs="Times New Roman"/>
                <w:color w:val="auto"/>
                <w:sz w:val="21"/>
                <w:szCs w:val="21"/>
              </w:rPr>
              <w:t>）对运载建筑材料及建筑垃圾的车辆加盖蓬布以减少洒落，车辆行驶线路应避开敏感点。施工场地出口设车辆清洗池，车辆驶出施工场地前，应将车厢外和轮胎冲洗干净，避免车辆将泥土带到道路上产生二次扬尘，冲洗水沉淀后循环使用。</w:t>
            </w:r>
          </w:p>
          <w:p w14:paraId="45E37386">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w:t>
            </w:r>
            <w:r>
              <w:rPr>
                <w:rFonts w:hint="eastAsia" w:cs="Times New Roman"/>
                <w:color w:val="auto"/>
                <w:sz w:val="21"/>
                <w:szCs w:val="21"/>
                <w:lang w:val="en-US" w:eastAsia="zh-CN"/>
              </w:rPr>
              <w:t>2</w:t>
            </w:r>
            <w:r>
              <w:rPr>
                <w:rFonts w:hint="default" w:cs="Times New Roman"/>
                <w:color w:val="auto"/>
                <w:sz w:val="21"/>
                <w:szCs w:val="21"/>
              </w:rPr>
              <w:t>）在施工场地设置专人管理建筑垃圾、建筑材料的堆放、清运和处置，堆放场地应远离周围居民区，必要时加盖蓬布或洒水，防止二次扬尘污染。</w:t>
            </w:r>
          </w:p>
          <w:p w14:paraId="7F8E9A87">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w:t>
            </w:r>
            <w:r>
              <w:rPr>
                <w:rFonts w:hint="eastAsia" w:cs="Times New Roman"/>
                <w:color w:val="auto"/>
                <w:sz w:val="21"/>
                <w:szCs w:val="21"/>
                <w:lang w:val="en-US" w:eastAsia="zh-CN"/>
              </w:rPr>
              <w:t>3</w:t>
            </w:r>
            <w:r>
              <w:rPr>
                <w:rFonts w:hint="default" w:cs="Times New Roman"/>
                <w:color w:val="auto"/>
                <w:sz w:val="21"/>
                <w:szCs w:val="21"/>
              </w:rPr>
              <w:t>）对建筑垃圾及时处理、清运，以减少占地，防止扬尘污染，改善施工场地的环境。</w:t>
            </w:r>
          </w:p>
          <w:p w14:paraId="1D9B3815">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w:t>
            </w:r>
            <w:r>
              <w:rPr>
                <w:rFonts w:hint="eastAsia" w:cs="Times New Roman"/>
                <w:color w:val="auto"/>
                <w:sz w:val="21"/>
                <w:szCs w:val="21"/>
                <w:lang w:val="en-US" w:eastAsia="zh-CN"/>
              </w:rPr>
              <w:t>4</w:t>
            </w:r>
            <w:r>
              <w:rPr>
                <w:rFonts w:hint="default" w:cs="Times New Roman"/>
                <w:color w:val="auto"/>
                <w:sz w:val="21"/>
                <w:szCs w:val="21"/>
              </w:rPr>
              <w:t>）建设单位应对施工单位加强监管，在招标中明确施工期环境保护要求，要求施工单位文明施工，如施工场地硬化，及时清运建筑垃圾，土方和物料堆存应采取蓬布覆盖、表面洒水抑尘或表面夯实处理等措施抑尘。</w:t>
            </w:r>
          </w:p>
          <w:p w14:paraId="1FFF83FE">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总之，只要加强管理，切实落实好这些措施，施工废气对环境的影响将会大大降低，施工场界粉尘浓度满足《大气污染物综合排放标准》（GB16297-1996）表2中颗粒物无组织排放监控浓度限值标准要求，对区域环境空气影响较小。</w:t>
            </w:r>
          </w:p>
          <w:p w14:paraId="30CE76D5">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2、废水污染防治措施</w:t>
            </w:r>
          </w:p>
          <w:p w14:paraId="2C0EDCF1">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本项目施工期废水主要为施工废水和施工人员的生活污水。施工废水经沉淀后用于场地洒水降尘；生活污水排入防渗旱厕，施工结束后清掏堆肥。</w:t>
            </w:r>
          </w:p>
          <w:p w14:paraId="7484B131">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3、施工期噪声污染防治措施</w:t>
            </w:r>
          </w:p>
          <w:p w14:paraId="2AEE4135">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（1）合理布局施工现场</w:t>
            </w:r>
          </w:p>
          <w:p w14:paraId="25943279">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施工过程中避免在同一地点安排大量动力机械设备施工，以减缓局部累积声级过高风险；各高噪声机械置于地块较中间位置作业，尽量远离场界。</w:t>
            </w:r>
          </w:p>
          <w:p w14:paraId="3094C326">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（2）合理安排施工时间</w:t>
            </w:r>
          </w:p>
          <w:p w14:paraId="1A919A77">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避免高噪声设备同时施工，造成施工噪声集中现象。合理安排施工时间，制订施工计划时间。禁止夜间（22:00~6:00）施工。</w:t>
            </w:r>
          </w:p>
          <w:p w14:paraId="5663C6DA">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（3）降低设备声级</w:t>
            </w:r>
          </w:p>
          <w:p w14:paraId="0F7AB93B">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设备选型上，在不影响施工质量的前提下，应采用低噪声、低振动的设备与施工方式进行地基施工与结构施工；经常对施工设备进行维修保养，避免因设备性能减退而使噪声增强的现象发生。</w:t>
            </w:r>
          </w:p>
          <w:p w14:paraId="7DAC6300">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（4）施工时采用降噪作业方式</w:t>
            </w:r>
          </w:p>
          <w:p w14:paraId="7ECA875C">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对动力机械设备进行定期的维修、养护，避免设备因松动部件的振动或消声器的损坏而增加其工作时的声压级；设备用完后或不用时应立即关闭。</w:t>
            </w:r>
          </w:p>
          <w:p w14:paraId="0126FB2F">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（5）最大限度地降低人为噪音</w:t>
            </w:r>
          </w:p>
          <w:p w14:paraId="02749173">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不要采取噪声较大的钢模板作业方式；在操作中尽量避免敲打砼导管；搬卸物品应轻放，施工工具不要乱扔、远扔；运输车辆进入现场应减速、并减少鸣笛等。</w:t>
            </w:r>
          </w:p>
          <w:p w14:paraId="5FFDC969">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（6）局部隔声降噪措施</w:t>
            </w:r>
          </w:p>
          <w:p w14:paraId="552BD4B5">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在产生高噪声阶段进行一定的隔离和防护消声处理，如果产生噪声的动力机械设备相对固定，也可以设在机械设备附近，如对电锯等高噪声源修建临时隔声间或安装隔声罩，以保证施工场界噪声达标。</w:t>
            </w:r>
          </w:p>
          <w:p w14:paraId="76D829EA">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（7）施工车辆管理</w:t>
            </w:r>
          </w:p>
          <w:p w14:paraId="1C8765B2">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加强施工车辆管理，运输车辆尽量采用较低声级的喇叭，并在环境敏感点限制车辆鸣笛。</w:t>
            </w:r>
          </w:p>
          <w:p w14:paraId="3890F983">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采取上述措施，施工场界噪声能够满足《建筑施工场界环境噪声排放标准》(GB12523-2011)要求，施工噪声对周围声环境影响可接受。</w:t>
            </w:r>
          </w:p>
          <w:p w14:paraId="368BAE72">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4、施工期固体废物污染防治措施</w:t>
            </w:r>
          </w:p>
          <w:p w14:paraId="65281B2F">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（1）在施工现场，设置生活垃圾收集桶，对生活垃圾进行统一收集，定期送往环卫部门生活垃圾指定堆放点。</w:t>
            </w:r>
          </w:p>
          <w:p w14:paraId="7A43A28C">
            <w:pPr>
              <w:pStyle w:val="164"/>
              <w:keepNext w:val="0"/>
              <w:keepLines w:val="0"/>
              <w:suppressLineNumbers w:val="0"/>
              <w:spacing w:before="0" w:beforeAutospacing="0" w:after="0" w:afterAutospacing="0"/>
              <w:ind w:left="0" w:right="0" w:firstLine="480"/>
              <w:rPr>
                <w:rFonts w:hint="default" w:cs="Times New Roman"/>
                <w:color w:val="auto"/>
                <w:sz w:val="21"/>
                <w:szCs w:val="21"/>
              </w:rPr>
            </w:pPr>
            <w:r>
              <w:rPr>
                <w:rFonts w:hint="default" w:cs="Times New Roman"/>
                <w:color w:val="auto"/>
                <w:sz w:val="21"/>
                <w:szCs w:val="21"/>
              </w:rPr>
              <w:t>（2）严格建筑垃圾的管理，施工中尽量综合利用，不能利用的建筑垃圾集中堆存，采取苫布遮盖措施，定期送往城市建筑垃圾指定堆放点。</w:t>
            </w:r>
          </w:p>
          <w:p w14:paraId="27AC50E1">
            <w:pPr>
              <w:pStyle w:val="164"/>
              <w:keepNext w:val="0"/>
              <w:keepLines w:val="0"/>
              <w:suppressLineNumbers w:val="0"/>
              <w:spacing w:before="0" w:beforeAutospacing="0" w:after="0" w:afterAutospacing="0"/>
              <w:ind w:left="0" w:right="0" w:firstLine="480"/>
              <w:rPr>
                <w:rFonts w:hint="eastAsia"/>
                <w:color w:val="auto"/>
                <w:highlight w:val="none"/>
                <w:lang w:val="en-US" w:eastAsia="zh-CN"/>
              </w:rPr>
            </w:pPr>
            <w:r>
              <w:rPr>
                <w:rFonts w:hint="default" w:cs="Times New Roman"/>
                <w:color w:val="auto"/>
                <w:sz w:val="21"/>
                <w:szCs w:val="21"/>
                <w:lang w:val="en-US" w:eastAsia="zh-CN"/>
              </w:rPr>
              <w:t>采取上述措施后，本项目施工期固体废物对环境影响较小。</w:t>
            </w:r>
          </w:p>
        </w:tc>
      </w:tr>
      <w:tr w14:paraId="2AF628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799" w:type="dxa"/>
            <w:noWrap w:val="0"/>
            <w:tcMar>
              <w:left w:w="28" w:type="dxa"/>
              <w:right w:w="28" w:type="dxa"/>
            </w:tcMar>
            <w:vAlign w:val="center"/>
          </w:tcPr>
          <w:p w14:paraId="1A42223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21E7EC8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488A09A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78E6B0E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13C55E1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40B930B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254" w:type="dxa"/>
            <w:noWrap w:val="0"/>
            <w:vAlign w:val="top"/>
          </w:tcPr>
          <w:p w14:paraId="0C62ED33">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15A30E78">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14:paraId="5FD105F2">
            <w:pPr>
              <w:pStyle w:val="142"/>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4"/>
              <w:tblW w:w="497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3"/>
              <w:gridCol w:w="320"/>
              <w:gridCol w:w="356"/>
              <w:gridCol w:w="318"/>
              <w:gridCol w:w="557"/>
              <w:gridCol w:w="689"/>
              <w:gridCol w:w="703"/>
              <w:gridCol w:w="680"/>
              <w:gridCol w:w="862"/>
              <w:gridCol w:w="564"/>
              <w:gridCol w:w="518"/>
              <w:gridCol w:w="703"/>
              <w:gridCol w:w="672"/>
              <w:gridCol w:w="771"/>
            </w:tblGrid>
            <w:tr w14:paraId="743D77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4"/>
                <w:wAfter w:w="1661" w:type="pct"/>
                <w:trHeight w:val="350" w:hRule="atLeast"/>
                <w:jc w:val="center"/>
              </w:trPr>
              <w:tc>
                <w:tcPr>
                  <w:tcW w:w="388" w:type="pct"/>
                  <w:gridSpan w:val="2"/>
                  <w:vMerge w:val="restart"/>
                  <w:noWrap w:val="0"/>
                  <w:vAlign w:val="center"/>
                </w:tcPr>
                <w:p w14:paraId="3A7614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222" w:type="pct"/>
                  <w:vMerge w:val="restart"/>
                  <w:noWrap w:val="0"/>
                  <w:vAlign w:val="center"/>
                </w:tcPr>
                <w:p w14:paraId="69674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1838" w:type="pct"/>
                  <w:gridSpan w:val="5"/>
                  <w:noWrap w:val="0"/>
                  <w:vAlign w:val="center"/>
                </w:tcPr>
                <w:p w14:paraId="349A38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889" w:type="pct"/>
                  <w:gridSpan w:val="2"/>
                  <w:noWrap w:val="0"/>
                  <w:vAlign w:val="center"/>
                </w:tcPr>
                <w:p w14:paraId="6F57E7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治理措施</w:t>
                  </w:r>
                </w:p>
              </w:tc>
            </w:tr>
            <w:tr w14:paraId="53BC44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388" w:type="pct"/>
                  <w:gridSpan w:val="2"/>
                  <w:vMerge w:val="continue"/>
                  <w:noWrap w:val="0"/>
                  <w:vAlign w:val="center"/>
                </w:tcPr>
                <w:p w14:paraId="2AE7DE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22" w:type="pct"/>
                  <w:vMerge w:val="continue"/>
                  <w:noWrap w:val="0"/>
                  <w:vAlign w:val="center"/>
                </w:tcPr>
                <w:p w14:paraId="658D51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8" w:type="pct"/>
                  <w:noWrap w:val="0"/>
                  <w:vAlign w:val="center"/>
                </w:tcPr>
                <w:p w14:paraId="5F63FB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47" w:type="pct"/>
                  <w:noWrap w:val="0"/>
                  <w:vAlign w:val="center"/>
                </w:tcPr>
                <w:p w14:paraId="75D4A9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29" w:type="pct"/>
                  <w:noWrap w:val="0"/>
                  <w:vAlign w:val="center"/>
                </w:tcPr>
                <w:p w14:paraId="418218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14:paraId="36FE21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38" w:type="pct"/>
                  <w:noWrap w:val="0"/>
                  <w:vAlign w:val="center"/>
                </w:tcPr>
                <w:p w14:paraId="40C1AF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424" w:type="pct"/>
                  <w:noWrap w:val="0"/>
                  <w:vAlign w:val="center"/>
                </w:tcPr>
                <w:p w14:paraId="45B520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14:paraId="39F4EF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537" w:type="pct"/>
                  <w:noWrap w:val="0"/>
                  <w:vAlign w:val="center"/>
                </w:tcPr>
                <w:p w14:paraId="238484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351" w:type="pct"/>
                  <w:noWrap w:val="0"/>
                  <w:vAlign w:val="center"/>
                </w:tcPr>
                <w:p w14:paraId="5B716A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323" w:type="pct"/>
                  <w:noWrap w:val="0"/>
                  <w:vAlign w:val="center"/>
                </w:tcPr>
                <w:p w14:paraId="60A638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38" w:type="pct"/>
                  <w:noWrap w:val="0"/>
                  <w:vAlign w:val="center"/>
                </w:tcPr>
                <w:p w14:paraId="7207D4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14:paraId="3234EE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19" w:type="pct"/>
                  <w:noWrap w:val="0"/>
                  <w:vAlign w:val="center"/>
                </w:tcPr>
                <w:p w14:paraId="1A418F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480" w:type="pct"/>
                  <w:noWrap w:val="0"/>
                  <w:vAlign w:val="center"/>
                </w:tcPr>
                <w:p w14:paraId="13E69C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14:paraId="4CBAFD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r>
            <w:tr w14:paraId="65988D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88" w:type="pct"/>
                  <w:vMerge w:val="restart"/>
                  <w:noWrap w:val="0"/>
                  <w:vAlign w:val="center"/>
                </w:tcPr>
                <w:p w14:paraId="1AB9A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199" w:type="pct"/>
                  <w:vMerge w:val="restart"/>
                  <w:noWrap w:val="0"/>
                  <w:vAlign w:val="center"/>
                </w:tcPr>
                <w:p w14:paraId="7EAA0D89">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热风炉</w:t>
                  </w:r>
                  <w:r>
                    <w:rPr>
                      <w:rFonts w:hint="eastAsia" w:cs="Times New Roman"/>
                      <w:color w:val="auto"/>
                      <w:sz w:val="18"/>
                      <w:szCs w:val="18"/>
                      <w:highlight w:val="none"/>
                      <w:lang w:val="en-US" w:eastAsia="zh-CN"/>
                    </w:rPr>
                    <w:t>烟囱</w:t>
                  </w:r>
                </w:p>
              </w:tc>
              <w:tc>
                <w:tcPr>
                  <w:tcW w:w="222" w:type="pct"/>
                  <w:noWrap w:val="0"/>
                  <w:vAlign w:val="center"/>
                </w:tcPr>
                <w:p w14:paraId="768DB3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198" w:type="pct"/>
                  <w:vMerge w:val="restart"/>
                  <w:noWrap w:val="0"/>
                  <w:vAlign w:val="center"/>
                </w:tcPr>
                <w:p w14:paraId="437535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物料衡算法</w:t>
                  </w:r>
                </w:p>
              </w:tc>
              <w:tc>
                <w:tcPr>
                  <w:tcW w:w="347" w:type="pct"/>
                  <w:vMerge w:val="restart"/>
                  <w:noWrap w:val="0"/>
                  <w:vAlign w:val="center"/>
                </w:tcPr>
                <w:p w14:paraId="3A5136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13882.671</w:t>
                  </w:r>
                </w:p>
              </w:tc>
              <w:tc>
                <w:tcPr>
                  <w:tcW w:w="429" w:type="pct"/>
                  <w:noWrap w:val="0"/>
                  <w:vAlign w:val="center"/>
                </w:tcPr>
                <w:p w14:paraId="43BD0E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2845.292</w:t>
                  </w:r>
                </w:p>
              </w:tc>
              <w:tc>
                <w:tcPr>
                  <w:tcW w:w="438" w:type="pct"/>
                  <w:noWrap w:val="0"/>
                  <w:vAlign w:val="center"/>
                </w:tcPr>
                <w:p w14:paraId="126C1F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39.5</w:t>
                  </w:r>
                </w:p>
              </w:tc>
              <w:tc>
                <w:tcPr>
                  <w:tcW w:w="424" w:type="pct"/>
                  <w:noWrap w:val="0"/>
                  <w:vAlign w:val="center"/>
                </w:tcPr>
                <w:p w14:paraId="2C41A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199.081</w:t>
                  </w:r>
                </w:p>
              </w:tc>
              <w:tc>
                <w:tcPr>
                  <w:tcW w:w="537" w:type="pct"/>
                  <w:noWrap w:val="0"/>
                  <w:vAlign w:val="center"/>
                </w:tcPr>
                <w:p w14:paraId="12606B7A">
                  <w:pPr>
                    <w:pStyle w:val="48"/>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布袋除尘器+25米高烟囱</w:t>
                  </w:r>
                </w:p>
              </w:tc>
              <w:tc>
                <w:tcPr>
                  <w:tcW w:w="351" w:type="pct"/>
                  <w:noWrap w:val="0"/>
                  <w:vAlign w:val="center"/>
                </w:tcPr>
                <w:p w14:paraId="4CE91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99</w:t>
                  </w:r>
                </w:p>
              </w:tc>
              <w:tc>
                <w:tcPr>
                  <w:tcW w:w="323" w:type="pct"/>
                  <w:vMerge w:val="restart"/>
                  <w:noWrap w:val="0"/>
                  <w:vAlign w:val="center"/>
                </w:tcPr>
                <w:p w14:paraId="3DD352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13882.671</w:t>
                  </w:r>
                </w:p>
              </w:tc>
              <w:tc>
                <w:tcPr>
                  <w:tcW w:w="438" w:type="pct"/>
                  <w:noWrap w:val="0"/>
                  <w:vAlign w:val="center"/>
                </w:tcPr>
                <w:p w14:paraId="4C620A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28.453</w:t>
                  </w:r>
                </w:p>
              </w:tc>
              <w:tc>
                <w:tcPr>
                  <w:tcW w:w="419" w:type="pct"/>
                  <w:noWrap w:val="0"/>
                  <w:vAlign w:val="center"/>
                </w:tcPr>
                <w:p w14:paraId="6EC2A0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0.395</w:t>
                  </w:r>
                </w:p>
              </w:tc>
              <w:tc>
                <w:tcPr>
                  <w:tcW w:w="480" w:type="pct"/>
                  <w:noWrap w:val="0"/>
                  <w:vAlign w:val="center"/>
                </w:tcPr>
                <w:p w14:paraId="2ECEC4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1.991</w:t>
                  </w:r>
                </w:p>
              </w:tc>
            </w:tr>
            <w:tr w14:paraId="254126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88" w:type="pct"/>
                  <w:vMerge w:val="continue"/>
                  <w:noWrap w:val="0"/>
                  <w:vAlign w:val="center"/>
                </w:tcPr>
                <w:p w14:paraId="44B40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9" w:type="pct"/>
                  <w:vMerge w:val="continue"/>
                  <w:noWrap w:val="0"/>
                  <w:vAlign w:val="center"/>
                </w:tcPr>
                <w:p w14:paraId="7789DF59">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22" w:type="pct"/>
                  <w:noWrap w:val="0"/>
                  <w:vAlign w:val="center"/>
                </w:tcPr>
                <w:p w14:paraId="5843F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98" w:type="pct"/>
                  <w:vMerge w:val="continue"/>
                  <w:noWrap w:val="0"/>
                  <w:vAlign w:val="center"/>
                </w:tcPr>
                <w:p w14:paraId="67C449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p>
              </w:tc>
              <w:tc>
                <w:tcPr>
                  <w:tcW w:w="347" w:type="pct"/>
                  <w:vMerge w:val="continue"/>
                  <w:noWrap w:val="0"/>
                  <w:vAlign w:val="center"/>
                </w:tcPr>
                <w:p w14:paraId="64FCE4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29" w:type="pct"/>
                  <w:noWrap w:val="0"/>
                  <w:vAlign w:val="center"/>
                </w:tcPr>
                <w:p w14:paraId="286B21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34.788</w:t>
                  </w:r>
                </w:p>
              </w:tc>
              <w:tc>
                <w:tcPr>
                  <w:tcW w:w="438" w:type="pct"/>
                  <w:noWrap w:val="0"/>
                  <w:vAlign w:val="center"/>
                </w:tcPr>
                <w:p w14:paraId="737E2E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0.483</w:t>
                  </w:r>
                </w:p>
              </w:tc>
              <w:tc>
                <w:tcPr>
                  <w:tcW w:w="424" w:type="pct"/>
                  <w:noWrap w:val="0"/>
                  <w:vAlign w:val="center"/>
                </w:tcPr>
                <w:p w14:paraId="21D9AC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2.434</w:t>
                  </w:r>
                </w:p>
              </w:tc>
              <w:tc>
                <w:tcPr>
                  <w:tcW w:w="537" w:type="pct"/>
                  <w:noWrap w:val="0"/>
                  <w:vAlign w:val="center"/>
                </w:tcPr>
                <w:p w14:paraId="0D2AE5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351" w:type="pct"/>
                  <w:noWrap w:val="0"/>
                  <w:vAlign w:val="center"/>
                </w:tcPr>
                <w:p w14:paraId="55DA98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w:t>
                  </w:r>
                </w:p>
              </w:tc>
              <w:tc>
                <w:tcPr>
                  <w:tcW w:w="323" w:type="pct"/>
                  <w:vMerge w:val="continue"/>
                  <w:noWrap w:val="0"/>
                  <w:vAlign w:val="center"/>
                </w:tcPr>
                <w:p w14:paraId="7E22A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8" w:type="pct"/>
                  <w:noWrap w:val="0"/>
                  <w:vAlign w:val="center"/>
                </w:tcPr>
                <w:p w14:paraId="1BE909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34.788</w:t>
                  </w:r>
                </w:p>
              </w:tc>
              <w:tc>
                <w:tcPr>
                  <w:tcW w:w="419" w:type="pct"/>
                  <w:shd w:val="clear" w:color="auto" w:fill="auto"/>
                  <w:noWrap w:val="0"/>
                  <w:vAlign w:val="center"/>
                </w:tcPr>
                <w:p w14:paraId="2A4FCC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0.483</w:t>
                  </w:r>
                </w:p>
              </w:tc>
              <w:tc>
                <w:tcPr>
                  <w:tcW w:w="480" w:type="pct"/>
                  <w:shd w:val="clear" w:color="auto" w:fill="auto"/>
                  <w:noWrap w:val="0"/>
                  <w:vAlign w:val="center"/>
                </w:tcPr>
                <w:p w14:paraId="4B93EA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2.434</w:t>
                  </w:r>
                </w:p>
              </w:tc>
            </w:tr>
            <w:tr w14:paraId="210433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88" w:type="pct"/>
                  <w:vMerge w:val="continue"/>
                  <w:noWrap w:val="0"/>
                  <w:vAlign w:val="center"/>
                </w:tcPr>
                <w:p w14:paraId="1B5121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9" w:type="pct"/>
                  <w:vMerge w:val="continue"/>
                  <w:noWrap w:val="0"/>
                  <w:vAlign w:val="center"/>
                </w:tcPr>
                <w:p w14:paraId="737BB9F0">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22" w:type="pct"/>
                  <w:noWrap w:val="0"/>
                  <w:vAlign w:val="center"/>
                </w:tcPr>
                <w:p w14:paraId="291FEF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98" w:type="pct"/>
                  <w:noWrap w:val="0"/>
                  <w:vAlign w:val="center"/>
                </w:tcPr>
                <w:p w14:paraId="5CDDF2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类比法</w:t>
                  </w:r>
                </w:p>
              </w:tc>
              <w:tc>
                <w:tcPr>
                  <w:tcW w:w="347" w:type="pct"/>
                  <w:vMerge w:val="continue"/>
                  <w:noWrap w:val="0"/>
                  <w:vAlign w:val="center"/>
                </w:tcPr>
                <w:p w14:paraId="77DA33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29" w:type="pct"/>
                  <w:noWrap w:val="0"/>
                  <w:vAlign w:val="center"/>
                </w:tcPr>
                <w:p w14:paraId="7DE20B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149.66</w:t>
                  </w:r>
                </w:p>
              </w:tc>
              <w:tc>
                <w:tcPr>
                  <w:tcW w:w="438" w:type="pct"/>
                  <w:noWrap w:val="0"/>
                  <w:vAlign w:val="center"/>
                </w:tcPr>
                <w:p w14:paraId="72F75D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2.078</w:t>
                  </w:r>
                </w:p>
              </w:tc>
              <w:tc>
                <w:tcPr>
                  <w:tcW w:w="424" w:type="pct"/>
                  <w:noWrap w:val="0"/>
                  <w:vAlign w:val="center"/>
                </w:tcPr>
                <w:p w14:paraId="2515DD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10.472</w:t>
                  </w:r>
                </w:p>
              </w:tc>
              <w:tc>
                <w:tcPr>
                  <w:tcW w:w="537" w:type="pct"/>
                  <w:noWrap w:val="0"/>
                  <w:vAlign w:val="center"/>
                </w:tcPr>
                <w:p w14:paraId="5B1956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351" w:type="pct"/>
                  <w:noWrap w:val="0"/>
                  <w:vAlign w:val="center"/>
                </w:tcPr>
                <w:p w14:paraId="30115F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323" w:type="pct"/>
                  <w:vMerge w:val="continue"/>
                  <w:noWrap w:val="0"/>
                  <w:vAlign w:val="center"/>
                </w:tcPr>
                <w:p w14:paraId="490A8C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8" w:type="pct"/>
                  <w:noWrap w:val="0"/>
                  <w:vAlign w:val="center"/>
                </w:tcPr>
                <w:p w14:paraId="74C378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149.66</w:t>
                  </w:r>
                </w:p>
              </w:tc>
              <w:tc>
                <w:tcPr>
                  <w:tcW w:w="419" w:type="pct"/>
                  <w:shd w:val="clear" w:color="auto" w:fill="auto"/>
                  <w:noWrap w:val="0"/>
                  <w:vAlign w:val="center"/>
                </w:tcPr>
                <w:p w14:paraId="500685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2.078</w:t>
                  </w:r>
                </w:p>
              </w:tc>
              <w:tc>
                <w:tcPr>
                  <w:tcW w:w="480" w:type="pct"/>
                  <w:shd w:val="clear" w:color="auto" w:fill="auto"/>
                  <w:noWrap w:val="0"/>
                  <w:vAlign w:val="center"/>
                </w:tcPr>
                <w:p w14:paraId="48F393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10.472</w:t>
                  </w:r>
                </w:p>
              </w:tc>
            </w:tr>
            <w:tr w14:paraId="7DBE64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0" w:hRule="atLeast"/>
                <w:jc w:val="center"/>
              </w:trPr>
              <w:tc>
                <w:tcPr>
                  <w:tcW w:w="188" w:type="pct"/>
                  <w:vMerge w:val="restart"/>
                  <w:noWrap w:val="0"/>
                  <w:vAlign w:val="center"/>
                </w:tcPr>
                <w:p w14:paraId="0B858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无组织排放</w:t>
                  </w:r>
                </w:p>
              </w:tc>
              <w:tc>
                <w:tcPr>
                  <w:tcW w:w="199" w:type="pct"/>
                  <w:noWrap w:val="0"/>
                  <w:vAlign w:val="center"/>
                </w:tcPr>
                <w:p w14:paraId="120845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输送装卸</w:t>
                  </w:r>
                </w:p>
              </w:tc>
              <w:tc>
                <w:tcPr>
                  <w:tcW w:w="222" w:type="pct"/>
                  <w:vMerge w:val="restart"/>
                  <w:noWrap w:val="0"/>
                  <w:vAlign w:val="center"/>
                </w:tcPr>
                <w:p w14:paraId="6A82CF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工业粉尘</w:t>
                  </w:r>
                </w:p>
              </w:tc>
              <w:tc>
                <w:tcPr>
                  <w:tcW w:w="198" w:type="pct"/>
                  <w:vMerge w:val="restart"/>
                  <w:noWrap w:val="0"/>
                  <w:vAlign w:val="center"/>
                </w:tcPr>
                <w:p w14:paraId="558763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产污系数法</w:t>
                  </w:r>
                </w:p>
              </w:tc>
              <w:tc>
                <w:tcPr>
                  <w:tcW w:w="347" w:type="pct"/>
                  <w:noWrap w:val="0"/>
                  <w:vAlign w:val="center"/>
                </w:tcPr>
                <w:p w14:paraId="1F59C5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29" w:type="pct"/>
                  <w:noWrap w:val="0"/>
                  <w:vAlign w:val="center"/>
                </w:tcPr>
                <w:p w14:paraId="6AA497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6C82E9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1.488</w:t>
                  </w:r>
                </w:p>
              </w:tc>
              <w:tc>
                <w:tcPr>
                  <w:tcW w:w="424" w:type="pct"/>
                  <w:noWrap w:val="0"/>
                  <w:vAlign w:val="center"/>
                </w:tcPr>
                <w:p w14:paraId="729955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537" w:type="pct"/>
                  <w:noWrap w:val="0"/>
                  <w:vAlign w:val="center"/>
                </w:tcPr>
                <w:p w14:paraId="0F4D24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p>
              </w:tc>
              <w:tc>
                <w:tcPr>
                  <w:tcW w:w="351" w:type="pct"/>
                  <w:noWrap w:val="0"/>
                  <w:vAlign w:val="center"/>
                </w:tcPr>
                <w:p w14:paraId="223534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23" w:type="pct"/>
                  <w:noWrap w:val="0"/>
                  <w:vAlign w:val="center"/>
                </w:tcPr>
                <w:p w14:paraId="190FC9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2962C6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588B8E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0.149</w:t>
                  </w:r>
                </w:p>
              </w:tc>
              <w:tc>
                <w:tcPr>
                  <w:tcW w:w="480" w:type="pct"/>
                  <w:noWrap w:val="0"/>
                  <w:vAlign w:val="center"/>
                </w:tcPr>
                <w:p w14:paraId="432165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bCs/>
                      <w:color w:val="auto"/>
                      <w:kern w:val="0"/>
                      <w:sz w:val="18"/>
                      <w:szCs w:val="18"/>
                      <w:highlight w:val="none"/>
                      <w:lang w:val="en-US" w:eastAsia="zh-CN"/>
                    </w:rPr>
                    <w:t>0.75</w:t>
                  </w:r>
                </w:p>
              </w:tc>
            </w:tr>
            <w:tr w14:paraId="6D7FE4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88" w:type="pct"/>
                  <w:vMerge w:val="continue"/>
                  <w:noWrap w:val="0"/>
                  <w:vAlign w:val="center"/>
                </w:tcPr>
                <w:p w14:paraId="430822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9" w:type="pct"/>
                  <w:noWrap w:val="0"/>
                  <w:vAlign w:val="center"/>
                </w:tcPr>
                <w:p w14:paraId="04C7C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eastAsia" w:cs="Times New Roman"/>
                      <w:color w:val="auto"/>
                      <w:sz w:val="18"/>
                      <w:szCs w:val="18"/>
                      <w:highlight w:val="none"/>
                      <w:lang w:val="en-US" w:eastAsia="zh-CN"/>
                    </w:rPr>
                    <w:t>初清</w:t>
                  </w:r>
                  <w:r>
                    <w:rPr>
                      <w:rFonts w:hint="eastAsia" w:ascii="Times New Roman" w:hAnsi="Times New Roman" w:eastAsia="宋体" w:cs="Times New Roman"/>
                      <w:color w:val="auto"/>
                      <w:sz w:val="18"/>
                      <w:szCs w:val="18"/>
                      <w:highlight w:val="none"/>
                      <w:lang w:eastAsia="zh-CN"/>
                    </w:rPr>
                    <w:t>筛分</w:t>
                  </w:r>
                </w:p>
              </w:tc>
              <w:tc>
                <w:tcPr>
                  <w:tcW w:w="222" w:type="pct"/>
                  <w:vMerge w:val="continue"/>
                  <w:noWrap w:val="0"/>
                  <w:vAlign w:val="center"/>
                </w:tcPr>
                <w:p w14:paraId="607762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8" w:type="pct"/>
                  <w:vMerge w:val="continue"/>
                  <w:noWrap w:val="0"/>
                  <w:vAlign w:val="center"/>
                </w:tcPr>
                <w:p w14:paraId="33EC6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47" w:type="pct"/>
                  <w:noWrap w:val="0"/>
                  <w:vAlign w:val="center"/>
                </w:tcPr>
                <w:p w14:paraId="606CC7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29" w:type="pct"/>
                  <w:noWrap w:val="0"/>
                  <w:vAlign w:val="center"/>
                </w:tcPr>
                <w:p w14:paraId="5DB699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789C1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22.319</w:t>
                  </w:r>
                </w:p>
              </w:tc>
              <w:tc>
                <w:tcPr>
                  <w:tcW w:w="424" w:type="pct"/>
                  <w:noWrap w:val="0"/>
                  <w:vAlign w:val="center"/>
                </w:tcPr>
                <w:p w14:paraId="4A518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112.489</w:t>
                  </w:r>
                </w:p>
              </w:tc>
              <w:tc>
                <w:tcPr>
                  <w:tcW w:w="537" w:type="pct"/>
                  <w:noWrap w:val="0"/>
                  <w:vAlign w:val="center"/>
                </w:tcPr>
                <w:p w14:paraId="7CE437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w:t>
                  </w:r>
                </w:p>
              </w:tc>
              <w:tc>
                <w:tcPr>
                  <w:tcW w:w="351" w:type="pct"/>
                  <w:noWrap w:val="0"/>
                  <w:vAlign w:val="center"/>
                </w:tcPr>
                <w:p w14:paraId="0821F4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99</w:t>
                  </w:r>
                </w:p>
              </w:tc>
              <w:tc>
                <w:tcPr>
                  <w:tcW w:w="323" w:type="pct"/>
                  <w:noWrap w:val="0"/>
                  <w:vAlign w:val="center"/>
                </w:tcPr>
                <w:p w14:paraId="7A80FE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57858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7BB44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0.223</w:t>
                  </w:r>
                </w:p>
              </w:tc>
              <w:tc>
                <w:tcPr>
                  <w:tcW w:w="480" w:type="pct"/>
                  <w:noWrap w:val="0"/>
                  <w:vAlign w:val="center"/>
                </w:tcPr>
                <w:p w14:paraId="44A9BF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z w:val="18"/>
                      <w:szCs w:val="18"/>
                      <w:highlight w:val="none"/>
                      <w:lang w:val="en-US" w:eastAsia="zh-CN"/>
                    </w:rPr>
                    <w:t>1.125</w:t>
                  </w:r>
                </w:p>
              </w:tc>
            </w:tr>
            <w:tr w14:paraId="38DBD8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0" w:hRule="atLeast"/>
                <w:jc w:val="center"/>
              </w:trPr>
              <w:tc>
                <w:tcPr>
                  <w:tcW w:w="188" w:type="pct"/>
                  <w:vMerge w:val="continue"/>
                  <w:noWrap w:val="0"/>
                  <w:vAlign w:val="center"/>
                </w:tcPr>
                <w:p w14:paraId="4B36F9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9" w:type="pct"/>
                  <w:noWrap w:val="0"/>
                  <w:vAlign w:val="center"/>
                </w:tcPr>
                <w:p w14:paraId="7952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烘干</w:t>
                  </w:r>
                </w:p>
              </w:tc>
              <w:tc>
                <w:tcPr>
                  <w:tcW w:w="222" w:type="pct"/>
                  <w:vMerge w:val="continue"/>
                  <w:noWrap w:val="0"/>
                  <w:vAlign w:val="center"/>
                </w:tcPr>
                <w:p w14:paraId="4E51D5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8" w:type="pct"/>
                  <w:vMerge w:val="continue"/>
                  <w:noWrap w:val="0"/>
                  <w:vAlign w:val="center"/>
                </w:tcPr>
                <w:p w14:paraId="6909E0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47" w:type="pct"/>
                  <w:noWrap w:val="0"/>
                  <w:vAlign w:val="center"/>
                </w:tcPr>
                <w:p w14:paraId="6EC52C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29" w:type="pct"/>
                  <w:noWrap w:val="0"/>
                  <w:vAlign w:val="center"/>
                </w:tcPr>
                <w:p w14:paraId="6F5EE8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680880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eastAsia" w:cs="Times New Roman"/>
                      <w:bCs/>
                      <w:color w:val="auto"/>
                      <w:kern w:val="0"/>
                      <w:sz w:val="18"/>
                      <w:szCs w:val="18"/>
                      <w:highlight w:val="none"/>
                      <w:lang w:val="en-US" w:eastAsia="zh-CN"/>
                    </w:rPr>
                    <w:t>1.486</w:t>
                  </w:r>
                </w:p>
              </w:tc>
              <w:tc>
                <w:tcPr>
                  <w:tcW w:w="424" w:type="pct"/>
                  <w:noWrap w:val="0"/>
                  <w:vAlign w:val="center"/>
                </w:tcPr>
                <w:p w14:paraId="18C886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7.488</w:t>
                  </w:r>
                </w:p>
              </w:tc>
              <w:tc>
                <w:tcPr>
                  <w:tcW w:w="537" w:type="pct"/>
                  <w:noWrap w:val="0"/>
                  <w:vAlign w:val="center"/>
                </w:tcPr>
                <w:p w14:paraId="578C71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p>
              </w:tc>
              <w:tc>
                <w:tcPr>
                  <w:tcW w:w="351" w:type="pct"/>
                  <w:noWrap w:val="0"/>
                  <w:vAlign w:val="center"/>
                </w:tcPr>
                <w:p w14:paraId="24E305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23" w:type="pct"/>
                  <w:noWrap w:val="0"/>
                  <w:vAlign w:val="center"/>
                </w:tcPr>
                <w:p w14:paraId="7648EC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8" w:type="pct"/>
                  <w:noWrap w:val="0"/>
                  <w:vAlign w:val="center"/>
                </w:tcPr>
                <w:p w14:paraId="48A0A4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5F9A08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z w:val="18"/>
                      <w:szCs w:val="18"/>
                      <w:highlight w:val="none"/>
                      <w:lang w:val="en-US"/>
                    </w:rPr>
                  </w:pPr>
                  <w:r>
                    <w:rPr>
                      <w:rFonts w:hint="eastAsia" w:cs="Times New Roman"/>
                      <w:color w:val="auto"/>
                      <w:spacing w:val="0"/>
                      <w:position w:val="0"/>
                      <w:sz w:val="18"/>
                      <w:szCs w:val="18"/>
                      <w:highlight w:val="none"/>
                      <w:lang w:val="en-US" w:eastAsia="zh-CN"/>
                    </w:rPr>
                    <w:t>0.149</w:t>
                  </w:r>
                </w:p>
              </w:tc>
              <w:tc>
                <w:tcPr>
                  <w:tcW w:w="480" w:type="pct"/>
                  <w:noWrap w:val="0"/>
                  <w:vAlign w:val="center"/>
                </w:tcPr>
                <w:p w14:paraId="6FF534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0.749</w:t>
                  </w:r>
                </w:p>
              </w:tc>
            </w:tr>
            <w:tr w14:paraId="07F16C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0" w:hRule="atLeast"/>
                <w:jc w:val="center"/>
              </w:trPr>
              <w:tc>
                <w:tcPr>
                  <w:tcW w:w="188" w:type="pct"/>
                  <w:vMerge w:val="continue"/>
                  <w:noWrap w:val="0"/>
                  <w:vAlign w:val="center"/>
                </w:tcPr>
                <w:p w14:paraId="323B16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9" w:type="pct"/>
                  <w:noWrap w:val="0"/>
                  <w:vAlign w:val="center"/>
                </w:tcPr>
                <w:p w14:paraId="264EAD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成品输送</w:t>
                  </w:r>
                </w:p>
              </w:tc>
              <w:tc>
                <w:tcPr>
                  <w:tcW w:w="222" w:type="pct"/>
                  <w:vMerge w:val="continue"/>
                  <w:noWrap w:val="0"/>
                  <w:vAlign w:val="center"/>
                </w:tcPr>
                <w:p w14:paraId="1F2187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8" w:type="pct"/>
                  <w:vMerge w:val="continue"/>
                  <w:noWrap w:val="0"/>
                  <w:vAlign w:val="center"/>
                </w:tcPr>
                <w:p w14:paraId="09E0AE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47" w:type="pct"/>
                  <w:noWrap w:val="0"/>
                  <w:vAlign w:val="center"/>
                </w:tcPr>
                <w:p w14:paraId="69C4CB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29" w:type="pct"/>
                  <w:noWrap w:val="0"/>
                  <w:vAlign w:val="center"/>
                </w:tcPr>
                <w:p w14:paraId="0FE06A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38" w:type="pct"/>
                  <w:noWrap w:val="0"/>
                  <w:vAlign w:val="center"/>
                </w:tcPr>
                <w:p w14:paraId="2EB219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1.287</w:t>
                  </w:r>
                </w:p>
              </w:tc>
              <w:tc>
                <w:tcPr>
                  <w:tcW w:w="424" w:type="pct"/>
                  <w:noWrap w:val="0"/>
                  <w:vAlign w:val="center"/>
                </w:tcPr>
                <w:p w14:paraId="594D4E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6.487</w:t>
                  </w:r>
                </w:p>
              </w:tc>
              <w:tc>
                <w:tcPr>
                  <w:tcW w:w="537" w:type="pct"/>
                  <w:noWrap w:val="0"/>
                  <w:vAlign w:val="center"/>
                </w:tcPr>
                <w:p w14:paraId="49E8BD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eastAsia" w:ascii="Times New Roman" w:hAnsi="Times New Roman"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装卸工段采取粮仓密闭四周设置围挡、减小装卸高度等降尘措施，运输过程中采用封闭输送</w:t>
                  </w:r>
                  <w:r>
                    <w:rPr>
                      <w:rFonts w:hint="eastAsia" w:ascii="Times New Roman" w:hAnsi="Times New Roman" w:eastAsia="宋体" w:cs="Times New Roman"/>
                      <w:color w:val="auto"/>
                      <w:sz w:val="18"/>
                      <w:szCs w:val="18"/>
                      <w:highlight w:val="none"/>
                      <w:lang w:val="en-US" w:eastAsia="zh-CN"/>
                    </w:rPr>
                    <w:t>等</w:t>
                  </w:r>
                </w:p>
              </w:tc>
              <w:tc>
                <w:tcPr>
                  <w:tcW w:w="351" w:type="pct"/>
                  <w:noWrap w:val="0"/>
                  <w:vAlign w:val="center"/>
                </w:tcPr>
                <w:p w14:paraId="0FEBB8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w:t>
                  </w:r>
                </w:p>
              </w:tc>
              <w:tc>
                <w:tcPr>
                  <w:tcW w:w="323" w:type="pct"/>
                  <w:noWrap w:val="0"/>
                  <w:vAlign w:val="center"/>
                </w:tcPr>
                <w:p w14:paraId="3C12E0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38" w:type="pct"/>
                  <w:noWrap w:val="0"/>
                  <w:vAlign w:val="center"/>
                </w:tcPr>
                <w:p w14:paraId="4DC3C3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9" w:type="pct"/>
                  <w:noWrap w:val="0"/>
                  <w:vAlign w:val="center"/>
                </w:tcPr>
                <w:p w14:paraId="7BE407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0.515</w:t>
                  </w:r>
                </w:p>
              </w:tc>
              <w:tc>
                <w:tcPr>
                  <w:tcW w:w="480" w:type="pct"/>
                  <w:noWrap w:val="0"/>
                  <w:vAlign w:val="center"/>
                </w:tcPr>
                <w:p w14:paraId="5B7F69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2.594</w:t>
                  </w:r>
                </w:p>
              </w:tc>
            </w:tr>
          </w:tbl>
          <w:p w14:paraId="0DC34BEF">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1</w:t>
            </w:r>
            <w:r>
              <w:rPr>
                <w:rFonts w:hint="default"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热风炉</w:t>
            </w:r>
            <w:r>
              <w:rPr>
                <w:rFonts w:hint="default" w:ascii="Times New Roman" w:hAnsi="Times New Roman" w:eastAsia="宋体" w:cs="Times New Roman"/>
                <w:bCs/>
                <w:color w:val="auto"/>
                <w:kern w:val="0"/>
                <w:sz w:val="21"/>
                <w:szCs w:val="21"/>
                <w:highlight w:val="none"/>
                <w:lang w:eastAsia="zh-CN"/>
              </w:rPr>
              <w:t>废气</w:t>
            </w:r>
          </w:p>
          <w:p w14:paraId="4C150268">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cs="Times New Roman"/>
                <w:bCs/>
                <w:color w:val="auto"/>
                <w:szCs w:val="21"/>
                <w:highlight w:val="none"/>
              </w:rPr>
            </w:pPr>
            <w:r>
              <w:rPr>
                <w:rFonts w:hint="eastAsia" w:ascii="Times New Roman" w:hAnsi="Times New Roman" w:cs="Times New Roman"/>
                <w:color w:val="auto"/>
                <w:sz w:val="21"/>
                <w:szCs w:val="21"/>
                <w:highlight w:val="none"/>
                <w:lang w:val="en-US" w:eastAsia="zh-CN"/>
              </w:rPr>
              <w:t>本项目对现有1台600万Kcal/h燃煤热风炉进行改造，改造后使用生物质成型燃料</w:t>
            </w:r>
            <w:r>
              <w:rPr>
                <w:rFonts w:hint="default" w:ascii="Times New Roman" w:hAnsi="Times New Roman" w:cs="Times New Roman"/>
                <w:color w:val="auto"/>
                <w:sz w:val="21"/>
                <w:szCs w:val="21"/>
                <w:highlight w:val="none"/>
                <w:lang w:val="en-US" w:eastAsia="zh-CN"/>
              </w:rPr>
              <w:t>，热风炉烟气</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lang w:val="en-US" w:eastAsia="zh-CN"/>
              </w:rPr>
              <w:t>布袋除尘器（除尘效率99%）处理后经过</w:t>
            </w:r>
            <w:r>
              <w:rPr>
                <w:rFonts w:hint="eastAsia" w:ascii="Times New Roman" w:hAnsi="Times New Roman" w:cs="Times New Roman"/>
                <w:color w:val="auto"/>
                <w:sz w:val="21"/>
                <w:szCs w:val="21"/>
                <w:highlight w:val="none"/>
                <w:lang w:val="en-US" w:eastAsia="zh-CN"/>
              </w:rPr>
              <w:t>25m</w:t>
            </w:r>
            <w:r>
              <w:rPr>
                <w:rFonts w:hint="default" w:ascii="Times New Roman" w:hAnsi="Times New Roman" w:cs="Times New Roman"/>
                <w:color w:val="auto"/>
                <w:sz w:val="21"/>
                <w:szCs w:val="21"/>
                <w:highlight w:val="none"/>
                <w:lang w:val="en-US" w:eastAsia="zh-CN"/>
              </w:rPr>
              <w:t>高</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cs="Times New Roman"/>
                <w:color w:val="auto"/>
                <w:sz w:val="21"/>
                <w:szCs w:val="21"/>
                <w:highlight w:val="none"/>
                <w:lang w:val="en-US" w:eastAsia="zh-CN"/>
              </w:rPr>
              <w:t>排放，</w:t>
            </w:r>
            <w:r>
              <w:rPr>
                <w:rFonts w:hint="eastAsia" w:ascii="Times New Roman" w:hAnsi="Times New Roman" w:cs="Times New Roman"/>
                <w:color w:val="auto"/>
                <w:sz w:val="21"/>
                <w:szCs w:val="21"/>
                <w:highlight w:val="none"/>
                <w:lang w:val="en-US" w:eastAsia="zh-CN"/>
              </w:rPr>
              <w:t>热风炉</w:t>
            </w:r>
            <w:r>
              <w:rPr>
                <w:rFonts w:hint="eastAsia"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9015</w:t>
            </w:r>
            <w:r>
              <w:rPr>
                <w:rFonts w:hint="default"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p w14:paraId="4643AD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本项目热风炉</w:t>
            </w:r>
            <w:r>
              <w:rPr>
                <w:rFonts w:hint="eastAsia" w:ascii="Times New Roman" w:hAnsi="Times New Roman" w:eastAsia="宋体" w:cs="Times New Roman"/>
                <w:color w:val="auto"/>
                <w:sz w:val="21"/>
                <w:szCs w:val="21"/>
                <w:highlight w:val="none"/>
                <w:lang w:eastAsia="zh-CN"/>
              </w:rPr>
              <w:t>颗粒物</w:t>
            </w:r>
            <w:r>
              <w:rPr>
                <w:rFonts w:hint="eastAsia" w:ascii="Times New Roman" w:hAnsi="Times New Roman" w:eastAsia="宋体" w:cs="Times New Roman"/>
                <w:color w:val="auto"/>
                <w:sz w:val="21"/>
                <w:szCs w:val="21"/>
                <w:highlight w:val="none"/>
              </w:rPr>
              <w:t>产生情况参照</w:t>
            </w:r>
            <w:r>
              <w:rPr>
                <w:rFonts w:hint="default" w:ascii="Times New Roman" w:hAnsi="Times New Roman" w:eastAsia="宋体" w:cs="Times New Roman"/>
                <w:color w:val="auto"/>
                <w:sz w:val="21"/>
                <w:szCs w:val="21"/>
                <w:highlight w:val="none"/>
              </w:rPr>
              <w:t>《排污许可证申请与核发技术规范 锅炉》</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HJ953-2018</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中相关方法</w:t>
            </w:r>
            <w:r>
              <w:rPr>
                <w:rFonts w:hint="eastAsia" w:ascii="Times New Roman" w:hAnsi="Times New Roman" w:eastAsia="宋体" w:cs="Times New Roman"/>
                <w:color w:val="auto"/>
                <w:sz w:val="21"/>
                <w:szCs w:val="21"/>
                <w:highlight w:val="none"/>
                <w:lang w:eastAsia="zh-CN"/>
              </w:rPr>
              <w:t>计算烟气量</w:t>
            </w:r>
            <w:r>
              <w:rPr>
                <w:rFonts w:hint="eastAsia" w:ascii="Times New Roman" w:hAnsi="Times New Roman" w:eastAsia="宋体" w:cs="Times New Roman"/>
                <w:color w:val="auto"/>
                <w:sz w:val="21"/>
                <w:szCs w:val="21"/>
                <w:highlight w:val="none"/>
              </w:rPr>
              <w:t>。</w:t>
            </w:r>
          </w:p>
          <w:p w14:paraId="14CBDC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outlineLvl w:val="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0D45D048">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outlineLvl w:val="2"/>
              <w:rPr>
                <w:rFonts w:hint="default"/>
                <w:color w:val="auto"/>
                <w:highlight w:val="none"/>
              </w:rPr>
            </w:pPr>
            <w:r>
              <w:rPr>
                <w:rFonts w:hint="default" w:ascii="Times New Roman" w:hAnsi="Times New Roman" w:eastAsia="宋体" w:cs="Times New Roman"/>
                <w:color w:val="auto"/>
                <w:sz w:val="21"/>
                <w:szCs w:val="21"/>
                <w:highlight w:val="none"/>
              </w:rPr>
              <w:t>本项目Q</w:t>
            </w:r>
            <w:r>
              <w:rPr>
                <w:rFonts w:hint="default" w:ascii="Times New Roman" w:hAnsi="Times New Roman" w:eastAsia="宋体" w:cs="Times New Roman"/>
                <w:color w:val="auto"/>
                <w:sz w:val="21"/>
                <w:szCs w:val="21"/>
                <w:highlight w:val="none"/>
                <w:vertAlign w:val="subscript"/>
              </w:rPr>
              <w:t>net,ar</w:t>
            </w:r>
            <w:r>
              <w:rPr>
                <w:rFonts w:hint="default" w:ascii="Times New Roman" w:hAnsi="Times New Roman" w:eastAsia="宋体" w:cs="Times New Roman"/>
                <w:color w:val="auto"/>
                <w:sz w:val="21"/>
                <w:szCs w:val="21"/>
                <w:highlight w:val="none"/>
              </w:rPr>
              <w:t>（收到基低位发热量）为</w:t>
            </w:r>
            <w:r>
              <w:rPr>
                <w:rFonts w:hint="eastAsia"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MJ/kg，V</w:t>
            </w:r>
            <w:r>
              <w:rPr>
                <w:rFonts w:hint="default" w:ascii="Times New Roman" w:hAnsi="Times New Roman" w:eastAsia="宋体" w:cs="Times New Roman"/>
                <w:color w:val="auto"/>
                <w:sz w:val="21"/>
                <w:szCs w:val="21"/>
                <w:highlight w:val="none"/>
                <w:vertAlign w:val="subscript"/>
              </w:rPr>
              <w:t>daf</w:t>
            </w:r>
            <w:r>
              <w:rPr>
                <w:rFonts w:hint="default" w:ascii="Times New Roman" w:hAnsi="Times New Roman" w:eastAsia="宋体" w:cs="Times New Roman"/>
                <w:color w:val="auto"/>
                <w:sz w:val="21"/>
                <w:szCs w:val="21"/>
                <w:highlight w:val="none"/>
              </w:rPr>
              <w:t>&gt;15%，则基准烟气量经验公式可定为V</w:t>
            </w:r>
            <w:r>
              <w:rPr>
                <w:rFonts w:hint="default" w:ascii="Times New Roman" w:hAnsi="Times New Roman" w:eastAsia="宋体" w:cs="Times New Roman"/>
                <w:color w:val="auto"/>
                <w:sz w:val="21"/>
                <w:szCs w:val="21"/>
                <w:highlight w:val="none"/>
                <w:vertAlign w:val="subscript"/>
              </w:rPr>
              <w:t>gy</w:t>
            </w:r>
            <w:r>
              <w:rPr>
                <w:rFonts w:hint="default" w:ascii="Times New Roman" w:hAnsi="Times New Roman" w:eastAsia="宋体" w:cs="Times New Roman"/>
                <w:color w:val="auto"/>
                <w:sz w:val="21"/>
                <w:szCs w:val="21"/>
                <w:highlight w:val="none"/>
              </w:rPr>
              <w:t>=0.393Qnet.ar+0.876。</w:t>
            </w:r>
          </w:p>
          <w:p w14:paraId="46A754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则本项目的基准烟气量为Vgy=（</w:t>
            </w:r>
            <w:r>
              <w:rPr>
                <w:rFonts w:hint="eastAsia" w:cs="Times New Roman"/>
                <w:color w:val="auto"/>
                <w:sz w:val="21"/>
                <w:highlight w:val="none"/>
                <w:lang w:val="en-US" w:eastAsia="zh-CN"/>
              </w:rPr>
              <w:t>0.393</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17.52</w:t>
            </w:r>
            <w:r>
              <w:rPr>
                <w:rFonts w:hint="default" w:ascii="Times New Roman" w:hAnsi="Times New Roman" w:eastAsia="宋体" w:cs="Times New Roman"/>
                <w:color w:val="auto"/>
                <w:sz w:val="21"/>
                <w:highlight w:val="none"/>
              </w:rPr>
              <w:t>+0.</w:t>
            </w:r>
            <w:r>
              <w:rPr>
                <w:rFonts w:hint="eastAsia" w:cs="Times New Roman"/>
                <w:color w:val="auto"/>
                <w:sz w:val="21"/>
                <w:highlight w:val="none"/>
                <w:lang w:val="en-US" w:eastAsia="zh-CN"/>
              </w:rPr>
              <w:t>876</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7.</w:t>
            </w:r>
            <w:r>
              <w:rPr>
                <w:rFonts w:hint="eastAsia" w:cs="Times New Roman"/>
                <w:color w:val="auto"/>
                <w:sz w:val="21"/>
                <w:highlight w:val="none"/>
                <w:lang w:val="en-US" w:eastAsia="zh-CN"/>
              </w:rPr>
              <w:t>76</w:t>
            </w:r>
            <w:r>
              <w:rPr>
                <w:rFonts w:hint="default" w:ascii="Times New Roman" w:hAnsi="Times New Roman" w:eastAsia="宋体" w:cs="Times New Roman"/>
                <w:color w:val="auto"/>
                <w:sz w:val="21"/>
                <w:highlight w:val="none"/>
              </w:rPr>
              <w:t>m</w:t>
            </w:r>
            <w:r>
              <w:rPr>
                <w:rFonts w:hint="default" w:ascii="Times New Roman" w:hAnsi="Times New Roman" w:eastAsia="宋体" w:cs="Times New Roman"/>
                <w:color w:val="auto"/>
                <w:sz w:val="21"/>
                <w:highlight w:val="none"/>
                <w:vertAlign w:val="superscript"/>
              </w:rPr>
              <w:t>3</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kg</w:t>
            </w:r>
          </w:p>
          <w:p w14:paraId="6ACDB9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则总烟气量为：</w:t>
            </w:r>
            <w:r>
              <w:rPr>
                <w:rFonts w:hint="eastAsia" w:cs="Times New Roman"/>
                <w:color w:val="auto"/>
                <w:sz w:val="21"/>
                <w:szCs w:val="21"/>
                <w:highlight w:val="none"/>
                <w:lang w:val="en-US" w:eastAsia="zh-CN"/>
              </w:rPr>
              <w:t>7.76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9015</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6.99686604</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p w14:paraId="73DF512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②颗粒物排放量</w:t>
            </w:r>
          </w:p>
          <w:p w14:paraId="739EA54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5" o:spt="75" type="#_x0000_t75" style="height:43.8pt;width:149.25pt;" o:ole="t" filled="f" o:preferrelative="t" stroked="f" coordsize="21600,21600">
                  <v:path/>
                  <v:fill on="f" focussize="0,0"/>
                  <v:stroke on="f"/>
                  <v:imagedata r:id="rId18" o:title=""/>
                  <o:lock v:ext="edit" aspectratio="t"/>
                  <w10:wrap type="none"/>
                  <w10:anchorlock/>
                </v:shape>
                <o:OLEObject Type="Embed" ProgID="Equations" ShapeID="_x0000_i1025" DrawAspect="Content" ObjectID="_1468075725" r:id="rId17">
                  <o:LockedField>false</o:LockedField>
                </o:OLEObject>
              </w:object>
            </w:r>
          </w:p>
          <w:p w14:paraId="59E35C12">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----核算时段内颗粒物排放量，t；</w:t>
            </w:r>
          </w:p>
          <w:p w14:paraId="181E8BC3">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eastAsia" w:cs="Times New Roman"/>
                <w:color w:val="auto"/>
                <w:sz w:val="21"/>
                <w:szCs w:val="21"/>
                <w:highlight w:val="none"/>
                <w:lang w:val="en-US" w:eastAsia="zh-CN"/>
              </w:rPr>
              <w:t>9015</w:t>
            </w:r>
            <w:r>
              <w:rPr>
                <w:rFonts w:hint="default" w:ascii="Times New Roman" w:hAnsi="Times New Roman" w:eastAsia="宋体" w:cs="Times New Roman"/>
                <w:color w:val="auto"/>
                <w:sz w:val="21"/>
                <w:szCs w:val="21"/>
                <w:highlight w:val="none"/>
              </w:rPr>
              <w:t>t/a；</w:t>
            </w:r>
          </w:p>
          <w:p w14:paraId="78FB60B8">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----收到基灰分的质量分数，%；取</w:t>
            </w:r>
            <w:r>
              <w:rPr>
                <w:rFonts w:hint="eastAsia" w:cs="Times New Roman"/>
                <w:color w:val="auto"/>
                <w:sz w:val="21"/>
                <w:szCs w:val="21"/>
                <w:highlight w:val="none"/>
                <w:lang w:val="en-US" w:eastAsia="zh-CN"/>
              </w:rPr>
              <w:t>3.71</w:t>
            </w:r>
            <w:r>
              <w:rPr>
                <w:rFonts w:hint="default" w:ascii="Times New Roman" w:hAnsi="Times New Roman" w:eastAsia="宋体" w:cs="Times New Roman"/>
                <w:color w:val="auto"/>
                <w:sz w:val="21"/>
                <w:szCs w:val="21"/>
                <w:highlight w:val="none"/>
              </w:rPr>
              <w:t>%。</w:t>
            </w:r>
          </w:p>
          <w:p w14:paraId="68BF5134">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----锅炉烟气带出的灰分份额，%；取50%。（链条炉排炉灰分份额为10%-20%，本项目取20%，燃生物质时飞灰份额加30%，则最终灰分份额取50%）；</w:t>
            </w:r>
          </w:p>
          <w:p w14:paraId="4156A9ED">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----综合除尘效率，%；取99%。</w:t>
            </w:r>
          </w:p>
          <w:p w14:paraId="2EAF839F">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%。（项目使用生物质成型燃料，飞灰中可燃物含量类比烟煤II类，根据《工业锅炉经济运行》（GB/T17954-2007），取1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5CBBAF78">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由计算可得出颗粒物排放量为</w:t>
            </w:r>
            <w:r>
              <w:rPr>
                <w:rFonts w:hint="eastAsia" w:cs="Times New Roman"/>
                <w:color w:val="auto"/>
                <w:position w:val="0"/>
                <w:sz w:val="21"/>
                <w:szCs w:val="21"/>
                <w:highlight w:val="none"/>
                <w:lang w:val="en-US" w:eastAsia="zh-CN"/>
              </w:rPr>
              <w:t>1.991t</w:t>
            </w:r>
            <w:r>
              <w:rPr>
                <w:rFonts w:hint="default" w:ascii="Times New Roman" w:hAnsi="Times New Roman" w:eastAsia="宋体" w:cs="Times New Roman"/>
                <w:color w:val="auto"/>
                <w:position w:val="0"/>
                <w:sz w:val="21"/>
                <w:szCs w:val="21"/>
                <w:highlight w:val="none"/>
              </w:rPr>
              <w:t>/a，</w:t>
            </w:r>
            <w:r>
              <w:rPr>
                <w:rFonts w:hint="eastAsia" w:cs="Times New Roman"/>
                <w:color w:val="auto"/>
                <w:position w:val="0"/>
                <w:sz w:val="21"/>
                <w:szCs w:val="21"/>
                <w:highlight w:val="none"/>
                <w:lang w:val="en-US" w:eastAsia="zh-CN"/>
              </w:rPr>
              <w:t>0.395</w:t>
            </w:r>
            <w:r>
              <w:rPr>
                <w:rFonts w:hint="default" w:ascii="Times New Roman" w:hAnsi="Times New Roman" w:eastAsia="宋体" w:cs="Times New Roman"/>
                <w:color w:val="auto"/>
                <w:position w:val="0"/>
                <w:sz w:val="21"/>
                <w:szCs w:val="21"/>
                <w:highlight w:val="none"/>
              </w:rPr>
              <w:t>kg/h。</w:t>
            </w:r>
          </w:p>
          <w:p w14:paraId="1D70FAB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4CD748B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6" o:spt="75" type="#_x0000_t75" style="height:33pt;width:204pt;" o:ole="t" filled="f" o:preferrelative="t" stroked="f" coordsize="21600,21600">
                  <v:path/>
                  <v:fill on="f" focussize="0,0"/>
                  <v:stroke on="f"/>
                  <v:imagedata r:id="rId20" o:title=""/>
                  <o:lock v:ext="edit" aspectratio="t"/>
                  <w10:wrap type="none"/>
                  <w10:anchorlock/>
                </v:shape>
                <o:OLEObject Type="Embed" ProgID="Equations" ShapeID="_x0000_i1026" DrawAspect="Content" ObjectID="_1468075726" r:id="rId19">
                  <o:LockedField>false</o:LockedField>
                </o:OLEObject>
              </w:object>
            </w:r>
          </w:p>
          <w:p w14:paraId="5B9A3508">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0284AB3A">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R----核算时段内锅炉燃料耗量</w:t>
            </w:r>
            <w:r>
              <w:rPr>
                <w:rFonts w:hint="eastAsia" w:cs="Times New Roman"/>
                <w:color w:val="auto"/>
                <w:sz w:val="21"/>
                <w:szCs w:val="21"/>
                <w:highlight w:val="none"/>
                <w:lang w:val="en-US" w:eastAsia="zh-CN"/>
              </w:rPr>
              <w:t>9015</w:t>
            </w:r>
            <w:r>
              <w:rPr>
                <w:rFonts w:hint="default" w:ascii="Times New Roman" w:hAnsi="Times New Roman" w:eastAsia="宋体" w:cs="Times New Roman"/>
                <w:color w:val="auto"/>
                <w:position w:val="0"/>
                <w:sz w:val="21"/>
                <w:szCs w:val="21"/>
                <w:highlight w:val="none"/>
              </w:rPr>
              <w:t>t；</w:t>
            </w:r>
          </w:p>
          <w:p w14:paraId="637927D9">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----收到基硫的质量分数，0.0</w:t>
            </w:r>
            <w:r>
              <w:rPr>
                <w:rFonts w:hint="eastAsia" w:cs="Times New Roman"/>
                <w:color w:val="auto"/>
                <w:position w:val="0"/>
                <w:sz w:val="21"/>
                <w:szCs w:val="21"/>
                <w:highlight w:val="none"/>
                <w:lang w:val="en-US" w:eastAsia="zh-CN"/>
              </w:rPr>
              <w:t>3</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w:t>
            </w:r>
          </w:p>
          <w:p w14:paraId="5A28DD05">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----锅炉机械不完全燃烧热损失，%；取1</w:t>
            </w:r>
            <w:r>
              <w:rPr>
                <w:rFonts w:hint="eastAsia" w:cs="Times New Roman"/>
                <w:color w:val="auto"/>
                <w:position w:val="0"/>
                <w:sz w:val="21"/>
                <w:szCs w:val="21"/>
                <w:highlight w:val="none"/>
                <w:lang w:val="en-US" w:eastAsia="zh-CN"/>
              </w:rPr>
              <w:t>0</w:t>
            </w:r>
            <w:r>
              <w:rPr>
                <w:rFonts w:hint="default" w:ascii="Times New Roman" w:hAnsi="Times New Roman" w:eastAsia="宋体" w:cs="Times New Roman"/>
                <w:color w:val="auto"/>
                <w:position w:val="0"/>
                <w:sz w:val="21"/>
                <w:szCs w:val="21"/>
                <w:highlight w:val="none"/>
              </w:rPr>
              <w:t>%，（链条炉排炉不完全燃烧热损失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6B905044">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7BF65206">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44993393">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由计算可得出SO</w:t>
            </w:r>
            <w:r>
              <w:rPr>
                <w:rFonts w:hint="default" w:ascii="Times New Roman" w:hAnsi="Times New Roman" w:eastAsia="宋体" w:cs="Times New Roman"/>
                <w:color w:val="auto"/>
                <w:position w:val="0"/>
                <w:sz w:val="21"/>
                <w:szCs w:val="21"/>
                <w:highlight w:val="none"/>
                <w:vertAlign w:val="subscript"/>
              </w:rPr>
              <w:t>2</w:t>
            </w:r>
            <w:r>
              <w:rPr>
                <w:rFonts w:hint="default" w:ascii="Times New Roman" w:hAnsi="Times New Roman" w:eastAsia="宋体" w:cs="Times New Roman"/>
                <w:color w:val="auto"/>
                <w:position w:val="0"/>
                <w:sz w:val="21"/>
                <w:szCs w:val="21"/>
                <w:highlight w:val="none"/>
              </w:rPr>
              <w:t>排放量为</w:t>
            </w:r>
            <w:r>
              <w:rPr>
                <w:rFonts w:hint="eastAsia" w:cs="Times New Roman"/>
                <w:color w:val="auto"/>
                <w:position w:val="0"/>
                <w:sz w:val="21"/>
                <w:szCs w:val="21"/>
                <w:highlight w:val="none"/>
                <w:lang w:val="en-US" w:eastAsia="zh-CN"/>
              </w:rPr>
              <w:t>2.434</w:t>
            </w:r>
            <w:r>
              <w:rPr>
                <w:rFonts w:hint="default" w:ascii="Times New Roman" w:hAnsi="Times New Roman" w:eastAsia="宋体" w:cs="Times New Roman"/>
                <w:color w:val="auto"/>
                <w:position w:val="0"/>
                <w:sz w:val="21"/>
                <w:szCs w:val="21"/>
                <w:highlight w:val="none"/>
              </w:rPr>
              <w:t>t/a，0.</w:t>
            </w:r>
            <w:r>
              <w:rPr>
                <w:rFonts w:hint="eastAsia" w:cs="Times New Roman"/>
                <w:color w:val="auto"/>
                <w:position w:val="0"/>
                <w:sz w:val="21"/>
                <w:szCs w:val="21"/>
                <w:highlight w:val="none"/>
                <w:lang w:val="en-US" w:eastAsia="zh-CN"/>
              </w:rPr>
              <w:t>483</w:t>
            </w:r>
            <w:r>
              <w:rPr>
                <w:rFonts w:hint="default" w:ascii="Times New Roman" w:hAnsi="Times New Roman" w:eastAsia="宋体" w:cs="Times New Roman"/>
                <w:color w:val="auto"/>
                <w:position w:val="0"/>
                <w:sz w:val="21"/>
                <w:szCs w:val="21"/>
                <w:highlight w:val="none"/>
              </w:rPr>
              <w:t>kg/h。</w:t>
            </w:r>
          </w:p>
          <w:p w14:paraId="5F306C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④氮氧化物排放量</w:t>
            </w:r>
          </w:p>
          <w:p w14:paraId="049FDCDB">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本项目</w:t>
            </w:r>
            <w:r>
              <w:rPr>
                <w:rFonts w:hint="eastAsia" w:cs="Times New Roman"/>
                <w:bCs/>
                <w:color w:val="auto"/>
                <w:spacing w:val="0"/>
                <w:kern w:val="0"/>
                <w:sz w:val="21"/>
                <w:szCs w:val="21"/>
                <w:highlight w:val="none"/>
                <w:lang w:val="en-US" w:eastAsia="zh-CN" w:bidi="ar-SA"/>
              </w:rPr>
              <w:t>热风炉</w:t>
            </w:r>
            <w:r>
              <w:rPr>
                <w:rFonts w:hint="default" w:ascii="Times New Roman" w:hAnsi="Times New Roman" w:eastAsia="宋体" w:cs="Times New Roman"/>
                <w:bCs/>
                <w:color w:val="auto"/>
                <w:spacing w:val="0"/>
                <w:kern w:val="0"/>
                <w:sz w:val="21"/>
                <w:szCs w:val="21"/>
                <w:highlight w:val="none"/>
                <w:lang w:val="en-US" w:eastAsia="zh-CN" w:bidi="ar-SA"/>
              </w:rPr>
              <w:t>出口NOx产生浓度无法估算，故氮氧化物采用</w:t>
            </w:r>
            <w:r>
              <w:rPr>
                <w:rFonts w:hint="eastAsia" w:ascii="Times New Roman" w:hAnsi="Times New Roman" w:eastAsia="宋体" w:cs="Times New Roman"/>
                <w:bCs/>
                <w:color w:val="auto"/>
                <w:spacing w:val="0"/>
                <w:kern w:val="0"/>
                <w:sz w:val="21"/>
                <w:szCs w:val="21"/>
                <w:highlight w:val="none"/>
                <w:lang w:val="en-US" w:eastAsia="zh-CN" w:bidi="ar-SA"/>
              </w:rPr>
              <w:t>类比法</w:t>
            </w:r>
            <w:r>
              <w:rPr>
                <w:rFonts w:hint="default" w:ascii="Times New Roman" w:hAnsi="Times New Roman" w:eastAsia="宋体" w:cs="Times New Roman"/>
                <w:bCs/>
                <w:color w:val="auto"/>
                <w:spacing w:val="0"/>
                <w:kern w:val="0"/>
                <w:sz w:val="21"/>
                <w:szCs w:val="21"/>
                <w:highlight w:val="none"/>
                <w:lang w:val="en-US" w:eastAsia="zh-CN" w:bidi="ar-SA"/>
              </w:rPr>
              <w:t>核算（无实测值无法采用类比法），</w:t>
            </w:r>
            <w:r>
              <w:rPr>
                <w:rFonts w:hint="eastAsia" w:ascii="Times New Roman" w:hAnsi="Times New Roman" w:eastAsia="宋体" w:cs="Times New Roman"/>
                <w:bCs/>
                <w:color w:val="auto"/>
                <w:spacing w:val="0"/>
                <w:kern w:val="0"/>
                <w:sz w:val="21"/>
                <w:szCs w:val="21"/>
                <w:highlight w:val="none"/>
                <w:lang w:val="en-US" w:eastAsia="zh-CN" w:bidi="ar-SA"/>
              </w:rPr>
              <w:t>本项目类比黑龙江省庆丰农场烘干塔项目竣工环境保护验收报告（2022年7月）中辽宁省第六地质大队有限责任公司大连实验中心12t生物质热风炉监测数据，监测报告编号（HB-2022-A118-1），氮氧化物排放平均浓度为149.66mg/m</w:t>
            </w:r>
            <w:r>
              <w:rPr>
                <w:rFonts w:hint="eastAsia" w:ascii="Times New Roman" w:hAnsi="Times New Roman" w:eastAsia="宋体" w:cs="Times New Roman"/>
                <w:bCs/>
                <w:color w:val="auto"/>
                <w:spacing w:val="0"/>
                <w:kern w:val="0"/>
                <w:sz w:val="21"/>
                <w:szCs w:val="21"/>
                <w:highlight w:val="none"/>
                <w:vertAlign w:val="superscript"/>
                <w:lang w:val="en-US" w:eastAsia="zh-CN" w:bidi="ar-SA"/>
              </w:rPr>
              <w:t>3</w:t>
            </w:r>
            <w:r>
              <w:rPr>
                <w:rFonts w:hint="eastAsia" w:ascii="Times New Roman" w:hAnsi="Times New Roman" w:eastAsia="宋体" w:cs="Times New Roman"/>
                <w:bCs/>
                <w:color w:val="auto"/>
                <w:spacing w:val="0"/>
                <w:kern w:val="0"/>
                <w:sz w:val="21"/>
                <w:szCs w:val="21"/>
                <w:highlight w:val="none"/>
                <w:lang w:val="en-US" w:eastAsia="zh-CN" w:bidi="ar-SA"/>
              </w:rPr>
              <w:t>。</w:t>
            </w:r>
          </w:p>
          <w:p w14:paraId="644748F7">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eastAsia" w:ascii="Times New Roman" w:hAnsi="Times New Roman" w:eastAsia="宋体" w:cs="Times New Roman"/>
                <w:bCs/>
                <w:color w:val="auto"/>
                <w:spacing w:val="0"/>
                <w:kern w:val="0"/>
                <w:sz w:val="21"/>
                <w:szCs w:val="21"/>
                <w:highlight w:val="none"/>
                <w:lang w:val="en-US" w:eastAsia="zh-CN" w:bidi="ar-SA"/>
              </w:rPr>
              <w:t>燃生物质氮氧化物产生量参照</w:t>
            </w:r>
            <w:r>
              <w:rPr>
                <w:rFonts w:hint="default" w:ascii="Times New Roman" w:hAnsi="Times New Roman" w:eastAsia="宋体" w:cs="Times New Roman"/>
                <w:bCs/>
                <w:color w:val="auto"/>
                <w:spacing w:val="0"/>
                <w:kern w:val="0"/>
                <w:sz w:val="21"/>
                <w:szCs w:val="21"/>
                <w:highlight w:val="none"/>
                <w:lang w:val="en-US" w:eastAsia="zh-CN" w:bidi="ar-SA"/>
              </w:rPr>
              <w:t>《污染源源强核算技术指南 锅炉》（HJ991-2018）</w:t>
            </w:r>
            <w:r>
              <w:rPr>
                <w:rFonts w:hint="eastAsia" w:ascii="Times New Roman" w:hAnsi="Times New Roman" w:eastAsia="宋体" w:cs="Times New Roman"/>
                <w:bCs/>
                <w:color w:val="auto"/>
                <w:spacing w:val="0"/>
                <w:kern w:val="0"/>
                <w:sz w:val="21"/>
                <w:szCs w:val="21"/>
                <w:highlight w:val="none"/>
                <w:lang w:val="en-US" w:eastAsia="zh-CN" w:bidi="ar-SA"/>
              </w:rPr>
              <w:t>中式（5）计算。</w:t>
            </w:r>
          </w:p>
          <w:p w14:paraId="46DC239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630" w:firstLineChars="3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drawing>
                <wp:inline distT="0" distB="0" distL="114300" distR="114300">
                  <wp:extent cx="2620010" cy="703580"/>
                  <wp:effectExtent l="0" t="0" r="8890" b="1270"/>
                  <wp:docPr id="4"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
                          <pic:cNvPicPr>
                            <a:picLocks noChangeAspect="1"/>
                          </pic:cNvPicPr>
                        </pic:nvPicPr>
                        <pic:blipFill>
                          <a:blip r:embed="rId21"/>
                          <a:stretch>
                            <a:fillRect/>
                          </a:stretch>
                        </pic:blipFill>
                        <pic:spPr>
                          <a:xfrm>
                            <a:off x="0" y="0"/>
                            <a:ext cx="2620010" cy="703580"/>
                          </a:xfrm>
                          <a:prstGeom prst="rect">
                            <a:avLst/>
                          </a:prstGeom>
                          <a:noFill/>
                          <a:ln>
                            <a:noFill/>
                          </a:ln>
                        </pic:spPr>
                      </pic:pic>
                    </a:graphicData>
                  </a:graphic>
                </wp:inline>
              </w:drawing>
            </w:r>
          </w:p>
          <w:p w14:paraId="076394EB">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式中：ENOx——氮氧化物产生量，t/h；</w:t>
            </w:r>
          </w:p>
          <w:p w14:paraId="28ED210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ρNOx——锅炉炉膛出口氮氧化物质量浓度，mg/m</w:t>
            </w:r>
            <w:r>
              <w:rPr>
                <w:rFonts w:hint="default" w:ascii="Times New Roman" w:hAnsi="Times New Roman" w:eastAsia="宋体" w:cs="Times New Roman"/>
                <w:bCs/>
                <w:color w:val="auto"/>
                <w:spacing w:val="0"/>
                <w:kern w:val="0"/>
                <w:sz w:val="21"/>
                <w:szCs w:val="21"/>
                <w:highlight w:val="none"/>
                <w:vertAlign w:val="superscript"/>
                <w:lang w:val="en-US" w:eastAsia="zh-CN" w:bidi="ar-SA"/>
              </w:rPr>
              <w:t>3</w:t>
            </w:r>
            <w:r>
              <w:rPr>
                <w:rFonts w:hint="default" w:ascii="Times New Roman" w:hAnsi="Times New Roman" w:eastAsia="宋体" w:cs="Times New Roman"/>
                <w:bCs/>
                <w:color w:val="auto"/>
                <w:spacing w:val="0"/>
                <w:kern w:val="0"/>
                <w:sz w:val="21"/>
                <w:szCs w:val="21"/>
                <w:highlight w:val="none"/>
                <w:lang w:val="en-US" w:eastAsia="zh-CN" w:bidi="ar-SA"/>
              </w:rPr>
              <w:t>；</w:t>
            </w:r>
            <w:r>
              <w:rPr>
                <w:rFonts w:hint="eastAsia" w:ascii="Times New Roman" w:hAnsi="Times New Roman" w:eastAsia="宋体" w:cs="Times New Roman"/>
                <w:bCs/>
                <w:color w:val="auto"/>
                <w:spacing w:val="0"/>
                <w:kern w:val="0"/>
                <w:sz w:val="21"/>
                <w:szCs w:val="21"/>
                <w:highlight w:val="none"/>
                <w:lang w:val="en-US" w:eastAsia="zh-CN" w:bidi="ar-SA"/>
              </w:rPr>
              <w:t>本项目通过类比取149.66mg/m3。</w:t>
            </w:r>
          </w:p>
          <w:p w14:paraId="182536F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Q——标态干烟气产生量，m</w:t>
            </w:r>
            <w:r>
              <w:rPr>
                <w:rFonts w:hint="default" w:ascii="Times New Roman" w:hAnsi="Times New Roman" w:eastAsia="宋体" w:cs="Times New Roman"/>
                <w:bCs/>
                <w:color w:val="auto"/>
                <w:spacing w:val="0"/>
                <w:kern w:val="0"/>
                <w:sz w:val="21"/>
                <w:szCs w:val="21"/>
                <w:highlight w:val="none"/>
                <w:vertAlign w:val="superscript"/>
                <w:lang w:val="en-US" w:eastAsia="zh-CN" w:bidi="ar-SA"/>
              </w:rPr>
              <w:t>3</w:t>
            </w:r>
            <w:r>
              <w:rPr>
                <w:rFonts w:hint="default" w:ascii="Times New Roman" w:hAnsi="Times New Roman" w:eastAsia="宋体" w:cs="Times New Roman"/>
                <w:bCs/>
                <w:color w:val="auto"/>
                <w:spacing w:val="0"/>
                <w:kern w:val="0"/>
                <w:sz w:val="21"/>
                <w:szCs w:val="21"/>
                <w:highlight w:val="none"/>
                <w:lang w:val="en-US" w:eastAsia="zh-CN" w:bidi="ar-SA"/>
              </w:rPr>
              <w:t>/h；</w:t>
            </w:r>
          </w:p>
          <w:p w14:paraId="6CF1D40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ηNOx——脱硝效率，%。</w:t>
            </w:r>
            <w:r>
              <w:rPr>
                <w:rFonts w:hint="eastAsia" w:ascii="Times New Roman" w:hAnsi="Times New Roman" w:eastAsia="宋体" w:cs="Times New Roman"/>
                <w:bCs/>
                <w:color w:val="auto"/>
                <w:spacing w:val="0"/>
                <w:kern w:val="0"/>
                <w:sz w:val="21"/>
                <w:szCs w:val="21"/>
                <w:highlight w:val="none"/>
                <w:lang w:val="en-US" w:eastAsia="zh-CN" w:bidi="ar-SA"/>
              </w:rPr>
              <w:t>无脱硝</w:t>
            </w:r>
            <w:r>
              <w:rPr>
                <w:rFonts w:hint="default" w:ascii="Times New Roman" w:hAnsi="Times New Roman" w:eastAsia="宋体" w:cs="Times New Roman"/>
                <w:bCs/>
                <w:color w:val="auto"/>
                <w:spacing w:val="0"/>
                <w:kern w:val="0"/>
                <w:sz w:val="21"/>
                <w:szCs w:val="21"/>
                <w:highlight w:val="none"/>
                <w:lang w:val="en-US" w:eastAsia="zh-CN" w:bidi="ar-SA"/>
              </w:rPr>
              <w:t>设施取</w:t>
            </w:r>
            <w:r>
              <w:rPr>
                <w:rFonts w:hint="eastAsia" w:ascii="Times New Roman" w:hAnsi="Times New Roman" w:eastAsia="宋体" w:cs="Times New Roman"/>
                <w:bCs/>
                <w:color w:val="auto"/>
                <w:spacing w:val="0"/>
                <w:kern w:val="0"/>
                <w:sz w:val="21"/>
                <w:szCs w:val="21"/>
                <w:highlight w:val="none"/>
                <w:lang w:val="en-US" w:eastAsia="zh-CN" w:bidi="ar-SA"/>
              </w:rPr>
              <w:t>0</w:t>
            </w:r>
            <w:r>
              <w:rPr>
                <w:rFonts w:hint="default" w:ascii="Times New Roman" w:hAnsi="Times New Roman" w:eastAsia="宋体" w:cs="Times New Roman"/>
                <w:bCs/>
                <w:color w:val="auto"/>
                <w:spacing w:val="0"/>
                <w:kern w:val="0"/>
                <w:sz w:val="21"/>
                <w:szCs w:val="21"/>
                <w:highlight w:val="none"/>
                <w:lang w:val="en-US" w:eastAsia="zh-CN" w:bidi="ar-SA"/>
              </w:rPr>
              <w:t>。</w:t>
            </w:r>
          </w:p>
          <w:p w14:paraId="5C1E0FC7">
            <w:pPr>
              <w:pStyle w:val="164"/>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经计算，本项目</w:t>
            </w:r>
            <w:r>
              <w:rPr>
                <w:rFonts w:hint="eastAsia" w:ascii="Times New Roman" w:hAnsi="Times New Roman" w:eastAsia="宋体" w:cs="Times New Roman"/>
                <w:bCs/>
                <w:color w:val="auto"/>
                <w:spacing w:val="0"/>
                <w:kern w:val="0"/>
                <w:sz w:val="21"/>
                <w:szCs w:val="21"/>
                <w:highlight w:val="none"/>
                <w:lang w:val="en-US" w:eastAsia="zh-CN" w:bidi="ar-SA"/>
              </w:rPr>
              <w:t>热风炉废气中氮氧化物产生量为</w:t>
            </w:r>
            <w:r>
              <w:rPr>
                <w:rFonts w:hint="eastAsia" w:cs="Times New Roman"/>
                <w:bCs/>
                <w:color w:val="auto"/>
                <w:spacing w:val="0"/>
                <w:kern w:val="0"/>
                <w:sz w:val="21"/>
                <w:szCs w:val="21"/>
                <w:highlight w:val="none"/>
                <w:lang w:val="en-US" w:eastAsia="zh-CN" w:bidi="ar-SA"/>
              </w:rPr>
              <w:t>10.472</w:t>
            </w:r>
            <w:r>
              <w:rPr>
                <w:rFonts w:hint="eastAsia" w:ascii="Times New Roman" w:hAnsi="Times New Roman" w:eastAsia="宋体" w:cs="Times New Roman"/>
                <w:bCs/>
                <w:color w:val="auto"/>
                <w:spacing w:val="0"/>
                <w:kern w:val="0"/>
                <w:sz w:val="21"/>
                <w:szCs w:val="21"/>
                <w:highlight w:val="none"/>
                <w:lang w:val="en-US" w:eastAsia="zh-CN" w:bidi="ar-SA"/>
              </w:rPr>
              <w:t>t/a。</w:t>
            </w:r>
          </w:p>
          <w:p w14:paraId="208F358E">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spacing w:val="0"/>
                <w:sz w:val="21"/>
                <w:szCs w:val="21"/>
                <w:highlight w:val="none"/>
              </w:rPr>
              <w:t>故本项目</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产生</w:t>
            </w:r>
            <w:r>
              <w:rPr>
                <w:rFonts w:hint="default" w:ascii="Times New Roman" w:hAnsi="Times New Roman" w:eastAsia="宋体" w:cs="Times New Roman"/>
                <w:bCs/>
                <w:color w:val="auto"/>
                <w:spacing w:val="0"/>
                <w:sz w:val="21"/>
                <w:szCs w:val="21"/>
                <w:highlight w:val="none"/>
              </w:rPr>
              <w:t>量为：</w:t>
            </w:r>
            <w:r>
              <w:rPr>
                <w:rFonts w:hint="eastAsia" w:cs="Times New Roman"/>
                <w:bCs/>
                <w:color w:val="auto"/>
                <w:spacing w:val="0"/>
                <w:sz w:val="21"/>
                <w:szCs w:val="21"/>
                <w:highlight w:val="none"/>
                <w:lang w:val="en-US" w:eastAsia="zh-CN"/>
              </w:rPr>
              <w:t>颗粒物</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199.081</w:t>
            </w:r>
            <w:r>
              <w:rPr>
                <w:rFonts w:hint="default" w:ascii="Times New Roman" w:hAnsi="Times New Roman" w:eastAsia="宋体" w:cs="Times New Roman"/>
                <w:bCs/>
                <w:color w:val="auto"/>
                <w:spacing w:val="0"/>
                <w:sz w:val="21"/>
                <w:szCs w:val="21"/>
                <w:highlight w:val="none"/>
              </w:rPr>
              <w:t>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2.434</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：10.472</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r>
              <w:rPr>
                <w:rFonts w:hint="default" w:ascii="Times New Roman" w:hAnsi="Times New Roman" w:cs="Times New Roman"/>
                <w:color w:val="auto"/>
                <w:sz w:val="21"/>
                <w:szCs w:val="21"/>
                <w:highlight w:val="none"/>
                <w:lang w:val="en-US" w:eastAsia="zh-CN"/>
              </w:rPr>
              <w:t>热风炉烟气</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lang w:val="en-US" w:eastAsia="zh-CN"/>
              </w:rPr>
              <w:t>布袋除尘器（除尘效率99%）处理后经过</w:t>
            </w:r>
            <w:r>
              <w:rPr>
                <w:rFonts w:hint="eastAsia" w:cs="Times New Roman"/>
                <w:color w:val="auto"/>
                <w:sz w:val="21"/>
                <w:szCs w:val="21"/>
                <w:highlight w:val="none"/>
                <w:lang w:val="en-US" w:eastAsia="zh-CN"/>
              </w:rPr>
              <w:t>25m</w:t>
            </w:r>
            <w:r>
              <w:rPr>
                <w:rFonts w:hint="default" w:ascii="Times New Roman" w:hAnsi="Times New Roman" w:cs="Times New Roman"/>
                <w:color w:val="auto"/>
                <w:sz w:val="21"/>
                <w:szCs w:val="21"/>
                <w:highlight w:val="none"/>
                <w:lang w:val="en-US" w:eastAsia="zh-CN"/>
              </w:rPr>
              <w:t>高</w:t>
            </w:r>
            <w:r>
              <w:rPr>
                <w:rFonts w:hint="eastAsia"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排放</w:t>
            </w:r>
            <w:r>
              <w:rPr>
                <w:rFonts w:hint="eastAsia" w:ascii="Times New Roman" w:hAnsi="Times New Roman" w:cs="Times New Roman"/>
                <w:color w:val="auto"/>
                <w:sz w:val="21"/>
                <w:szCs w:val="21"/>
                <w:highlight w:val="none"/>
                <w:lang w:val="en-US" w:eastAsia="zh-CN"/>
              </w:rPr>
              <w:t>。则</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排放</w:t>
            </w:r>
            <w:r>
              <w:rPr>
                <w:rFonts w:hint="default" w:ascii="Times New Roman" w:hAnsi="Times New Roman" w:eastAsia="宋体" w:cs="Times New Roman"/>
                <w:bCs/>
                <w:color w:val="auto"/>
                <w:spacing w:val="0"/>
                <w:sz w:val="21"/>
                <w:szCs w:val="21"/>
                <w:highlight w:val="none"/>
              </w:rPr>
              <w:t>量为：颗粒物：</w:t>
            </w:r>
            <w:r>
              <w:rPr>
                <w:rFonts w:hint="eastAsia" w:cs="Times New Roman"/>
                <w:bCs/>
                <w:color w:val="auto"/>
                <w:spacing w:val="0"/>
                <w:sz w:val="21"/>
                <w:szCs w:val="21"/>
                <w:highlight w:val="none"/>
                <w:lang w:val="en-US" w:eastAsia="zh-CN"/>
              </w:rPr>
              <w:t>1.991</w:t>
            </w:r>
            <w:r>
              <w:rPr>
                <w:rFonts w:hint="default" w:ascii="Times New Roman" w:hAnsi="Times New Roman" w:eastAsia="宋体" w:cs="Times New Roman"/>
                <w:bCs/>
                <w:color w:val="auto"/>
                <w:spacing w:val="0"/>
                <w:sz w:val="21"/>
                <w:szCs w:val="21"/>
                <w:highlight w:val="none"/>
              </w:rPr>
              <w: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2.434</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：10.472</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p>
          <w:p w14:paraId="1B837B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ascii="Times New Roman" w:hAnsi="Times New Roman" w:eastAsia="宋体" w:cs="Times New Roman"/>
                <w:bCs/>
                <w:color w:val="auto"/>
                <w:kern w:val="0"/>
                <w:sz w:val="21"/>
                <w:szCs w:val="21"/>
                <w:highlight w:val="none"/>
                <w:lang w:val="en-US" w:eastAsia="zh-CN"/>
              </w:rPr>
              <w:t>2</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热风炉灰渣储运扬尘</w:t>
            </w:r>
          </w:p>
          <w:p w14:paraId="28B2D2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本项目热风炉</w:t>
            </w:r>
            <w:r>
              <w:rPr>
                <w:rFonts w:hint="eastAsia" w:cs="Times New Roman"/>
                <w:bCs/>
                <w:color w:val="auto"/>
                <w:kern w:val="0"/>
                <w:sz w:val="21"/>
                <w:szCs w:val="21"/>
                <w:highlight w:val="none"/>
                <w:lang w:eastAsia="zh-CN"/>
              </w:rPr>
              <w:t>采取机械除渣方式，</w:t>
            </w:r>
            <w:r>
              <w:rPr>
                <w:rFonts w:hint="default" w:ascii="Times New Roman" w:hAnsi="Times New Roman" w:eastAsia="宋体" w:cs="Times New Roman"/>
                <w:bCs/>
                <w:color w:val="auto"/>
                <w:kern w:val="0"/>
                <w:sz w:val="21"/>
                <w:szCs w:val="21"/>
                <w:highlight w:val="none"/>
                <w:lang w:eastAsia="zh-CN"/>
              </w:rPr>
              <w:t>灰渣</w:t>
            </w:r>
            <w:r>
              <w:rPr>
                <w:rFonts w:hint="eastAsia" w:cs="Times New Roman"/>
                <w:bCs/>
                <w:color w:val="auto"/>
                <w:kern w:val="0"/>
                <w:sz w:val="21"/>
                <w:szCs w:val="21"/>
                <w:highlight w:val="none"/>
                <w:lang w:val="en-US" w:eastAsia="zh-CN"/>
              </w:rPr>
              <w:t>暂存封闭式灰渣间内，</w:t>
            </w:r>
            <w:r>
              <w:rPr>
                <w:rFonts w:hint="default" w:ascii="Times New Roman" w:hAnsi="Times New Roman" w:eastAsia="宋体" w:cs="Times New Roman"/>
                <w:bCs/>
                <w:color w:val="auto"/>
                <w:kern w:val="0"/>
                <w:sz w:val="21"/>
                <w:szCs w:val="21"/>
                <w:highlight w:val="none"/>
                <w:lang w:eastAsia="zh-CN"/>
              </w:rPr>
              <w:t>热风炉灰渣每10天外运1次。外运过程采取洒水降尘措施，</w:t>
            </w:r>
            <w:r>
              <w:rPr>
                <w:rFonts w:hint="eastAsia" w:cs="Times New Roman"/>
                <w:bCs/>
                <w:color w:val="auto"/>
                <w:kern w:val="0"/>
                <w:sz w:val="21"/>
                <w:szCs w:val="21"/>
                <w:highlight w:val="none"/>
                <w:lang w:val="en-US" w:eastAsia="zh-CN"/>
              </w:rPr>
              <w:t>运输车辆使用苫布遮盖，封闭运输，</w:t>
            </w:r>
            <w:r>
              <w:rPr>
                <w:rFonts w:hint="default" w:ascii="Times New Roman" w:hAnsi="Times New Roman" w:eastAsia="宋体" w:cs="Times New Roman"/>
                <w:bCs/>
                <w:color w:val="auto"/>
                <w:kern w:val="0"/>
                <w:sz w:val="21"/>
                <w:szCs w:val="21"/>
                <w:highlight w:val="none"/>
                <w:lang w:eastAsia="zh-CN"/>
              </w:rPr>
              <w:t>可有效控制扬尘污染。</w:t>
            </w:r>
          </w:p>
          <w:p w14:paraId="746DEC90">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lang w:val="en-US" w:eastAsia="zh-CN"/>
              </w:rPr>
            </w:pPr>
            <w:r>
              <w:rPr>
                <w:rFonts w:hint="eastAsia" w:cs="Times New Roman"/>
                <w:bCs/>
                <w:color w:val="auto"/>
                <w:kern w:val="0"/>
                <w:sz w:val="21"/>
                <w:szCs w:val="21"/>
                <w:highlight w:val="none"/>
                <w:lang w:val="en-US" w:eastAsia="zh-CN"/>
              </w:rPr>
              <w:t>无组织工艺粉尘：</w:t>
            </w:r>
          </w:p>
          <w:p w14:paraId="195DB6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4</w:t>
            </w:r>
            <w:r>
              <w:rPr>
                <w:rFonts w:hint="eastAsia"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初清</w:t>
            </w:r>
            <w:r>
              <w:rPr>
                <w:rFonts w:hint="default" w:ascii="Times New Roman" w:hAnsi="Times New Roman" w:eastAsia="宋体" w:cs="Times New Roman"/>
                <w:bCs/>
                <w:color w:val="auto"/>
                <w:kern w:val="0"/>
                <w:sz w:val="21"/>
                <w:szCs w:val="21"/>
                <w:highlight w:val="none"/>
                <w:lang w:eastAsia="zh-CN"/>
              </w:rPr>
              <w:t>筛分粉尘</w:t>
            </w:r>
          </w:p>
          <w:p w14:paraId="3FC80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本项目粮食进入粮仓之前进行筛分，筛分产生的粉尘根据《逸散性工业粉尘控制技术》中谷物贮仓，筛分和清理系数为1.5kg/t（清理料）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本项目新增</w:t>
            </w:r>
            <w:r>
              <w:rPr>
                <w:rFonts w:hint="default" w:ascii="Times New Roman" w:hAnsi="Times New Roman" w:eastAsia="宋体" w:cs="Times New Roman"/>
                <w:bCs/>
                <w:color w:val="auto"/>
                <w:kern w:val="0"/>
                <w:sz w:val="21"/>
                <w:szCs w:val="21"/>
                <w:highlight w:val="none"/>
                <w:lang w:eastAsia="zh-CN"/>
              </w:rPr>
              <w:t>筛分量为</w:t>
            </w:r>
            <w:r>
              <w:rPr>
                <w:rFonts w:hint="eastAsia" w:cs="Times New Roman"/>
                <w:bCs/>
                <w:color w:val="auto"/>
                <w:sz w:val="21"/>
                <w:szCs w:val="21"/>
                <w:highlight w:val="none"/>
                <w:lang w:val="en-US" w:eastAsia="zh-CN"/>
              </w:rPr>
              <w:t>75000</w:t>
            </w:r>
            <w:r>
              <w:rPr>
                <w:rFonts w:hint="default"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w:t>
            </w:r>
            <w:r>
              <w:rPr>
                <w:rFonts w:hint="eastAsia" w:ascii="Times New Roman" w:hAnsi="Times New Roman" w:eastAsia="宋体" w:cs="Times New Roman"/>
                <w:bCs/>
                <w:color w:val="auto"/>
                <w:kern w:val="0"/>
                <w:sz w:val="21"/>
                <w:szCs w:val="21"/>
                <w:highlight w:val="none"/>
                <w:lang w:val="en-US" w:eastAsia="zh-CN"/>
              </w:rPr>
              <w:t>产生</w:t>
            </w:r>
            <w:r>
              <w:rPr>
                <w:rFonts w:hint="default" w:ascii="Times New Roman" w:hAnsi="Times New Roman" w:eastAsia="宋体" w:cs="Times New Roman"/>
                <w:bCs/>
                <w:color w:val="auto"/>
                <w:kern w:val="0"/>
                <w:sz w:val="21"/>
                <w:szCs w:val="21"/>
                <w:highlight w:val="none"/>
                <w:lang w:eastAsia="zh-CN"/>
              </w:rPr>
              <w:t>量为</w:t>
            </w:r>
            <w:r>
              <w:rPr>
                <w:rFonts w:hint="eastAsia" w:cs="Times New Roman"/>
                <w:bCs/>
                <w:color w:val="auto"/>
                <w:kern w:val="0"/>
                <w:sz w:val="21"/>
                <w:szCs w:val="21"/>
                <w:highlight w:val="none"/>
                <w:lang w:val="en-US" w:eastAsia="zh-CN"/>
              </w:rPr>
              <w:t>112.5</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cs="Times New Roman"/>
                <w:color w:val="auto"/>
                <w:sz w:val="21"/>
                <w:szCs w:val="21"/>
                <w:highlight w:val="none"/>
                <w:lang w:eastAsia="zh-CN"/>
              </w:rPr>
              <w:t>清粮采用全密闭</w:t>
            </w:r>
            <w:r>
              <w:rPr>
                <w:rFonts w:hint="eastAsia" w:ascii="Times New Roman" w:hAnsi="Times New Roman" w:cs="Times New Roman"/>
                <w:color w:val="auto"/>
                <w:sz w:val="21"/>
                <w:szCs w:val="21"/>
                <w:highlight w:val="none"/>
                <w:lang w:val="en-US" w:eastAsia="zh-CN"/>
              </w:rPr>
              <w:t>清选</w:t>
            </w:r>
            <w:r>
              <w:rPr>
                <w:rFonts w:hint="eastAsia" w:ascii="Times New Roman" w:hAnsi="Times New Roman" w:cs="Times New Roman"/>
                <w:color w:val="auto"/>
                <w:sz w:val="21"/>
                <w:szCs w:val="21"/>
                <w:highlight w:val="none"/>
                <w:lang w:eastAsia="zh-CN"/>
              </w:rPr>
              <w:t>筛，产生的粉尘经设备自带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w:t>
            </w:r>
            <w:r>
              <w:rPr>
                <w:rFonts w:hint="default" w:ascii="Times New Roman" w:hAnsi="Times New Roman" w:eastAsia="宋体" w:cs="Times New Roman"/>
                <w:bCs/>
                <w:color w:val="auto"/>
                <w:kern w:val="0"/>
                <w:sz w:val="21"/>
                <w:szCs w:val="21"/>
                <w:highlight w:val="none"/>
                <w:lang w:eastAsia="zh-CN"/>
              </w:rPr>
              <w:t>处理效率为99%，则粉尘排放量为</w:t>
            </w:r>
            <w:r>
              <w:rPr>
                <w:rFonts w:hint="eastAsia" w:cs="Times New Roman"/>
                <w:bCs/>
                <w:color w:val="auto"/>
                <w:kern w:val="0"/>
                <w:sz w:val="21"/>
                <w:szCs w:val="21"/>
                <w:highlight w:val="none"/>
                <w:lang w:val="en-US" w:eastAsia="zh-CN"/>
              </w:rPr>
              <w:t>1.125</w:t>
            </w:r>
            <w:r>
              <w:rPr>
                <w:rFonts w:hint="default" w:ascii="Times New Roman" w:hAnsi="Times New Roman" w:eastAsia="宋体" w:cs="Times New Roman"/>
                <w:bCs/>
                <w:color w:val="auto"/>
                <w:kern w:val="0"/>
                <w:sz w:val="21"/>
                <w:szCs w:val="21"/>
                <w:highlight w:val="none"/>
                <w:lang w:eastAsia="zh-CN"/>
              </w:rPr>
              <w:t>t/a，排放速率为</w:t>
            </w:r>
            <w:r>
              <w:rPr>
                <w:rFonts w:hint="eastAsia" w:cs="Times New Roman"/>
                <w:bCs/>
                <w:color w:val="auto"/>
                <w:kern w:val="0"/>
                <w:sz w:val="21"/>
                <w:szCs w:val="21"/>
                <w:highlight w:val="none"/>
                <w:lang w:val="en-US" w:eastAsia="zh-CN"/>
              </w:rPr>
              <w:t>0.313</w:t>
            </w:r>
            <w:r>
              <w:rPr>
                <w:rFonts w:hint="default" w:ascii="Times New Roman" w:hAnsi="Times New Roman" w:eastAsia="宋体" w:cs="Times New Roman"/>
                <w:bCs/>
                <w:color w:val="auto"/>
                <w:kern w:val="0"/>
                <w:sz w:val="21"/>
                <w:szCs w:val="21"/>
                <w:highlight w:val="none"/>
                <w:lang w:eastAsia="zh-CN"/>
              </w:rPr>
              <w:t>kg/h。</w:t>
            </w:r>
          </w:p>
          <w:p w14:paraId="7BE512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5</w:t>
            </w:r>
            <w:r>
              <w:rPr>
                <w:rFonts w:hint="eastAsia"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输送装卸粉尘</w:t>
            </w:r>
          </w:p>
          <w:p w14:paraId="13E54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本项目装卸、运输过程中会产生废气，主要污染物为颗粒物，根据《逸散性工业粉尘控制技术》中谷物贮仓，卡车装卸粉尘系数为0.1kg/t（卸料），本项目</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装卸</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量</w:t>
            </w:r>
            <w:r>
              <w:rPr>
                <w:rFonts w:hint="eastAsia" w:cs="Times New Roman"/>
                <w:bCs/>
                <w:color w:val="auto"/>
                <w:kern w:val="0"/>
                <w:sz w:val="21"/>
                <w:szCs w:val="21"/>
                <w:highlight w:val="none"/>
                <w:lang w:val="en-US" w:eastAsia="zh-CN"/>
              </w:rPr>
              <w:t>75000</w:t>
            </w:r>
            <w:r>
              <w:rPr>
                <w:rFonts w:hint="default" w:ascii="Times New Roman" w:hAnsi="Times New Roman" w:eastAsia="宋体" w:cs="Times New Roman"/>
                <w:bCs/>
                <w:color w:val="auto"/>
                <w:kern w:val="0"/>
                <w:sz w:val="21"/>
                <w:szCs w:val="21"/>
                <w:highlight w:val="none"/>
                <w:lang w:eastAsia="zh-CN"/>
              </w:rPr>
              <w:t>t，</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粉尘产生量为</w:t>
            </w:r>
            <w:r>
              <w:rPr>
                <w:rFonts w:hint="eastAsia" w:cs="Times New Roman"/>
                <w:bCs/>
                <w:color w:val="auto"/>
                <w:kern w:val="0"/>
                <w:sz w:val="21"/>
                <w:szCs w:val="21"/>
                <w:highlight w:val="none"/>
                <w:lang w:val="en-US" w:eastAsia="zh-CN"/>
              </w:rPr>
              <w:t>7.5</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eastAsia="宋体" w:cs="Times New Roman"/>
                <w:bCs/>
                <w:color w:val="auto"/>
                <w:kern w:val="0"/>
                <w:sz w:val="21"/>
                <w:szCs w:val="21"/>
                <w:highlight w:val="none"/>
                <w:lang w:eastAsia="zh-CN"/>
              </w:rPr>
              <w:t>粉</w:t>
            </w:r>
            <w:r>
              <w:rPr>
                <w:rFonts w:hint="default" w:ascii="Times New Roman" w:hAnsi="Times New Roman" w:eastAsia="宋体" w:cs="Times New Roman"/>
                <w:bCs/>
                <w:color w:val="auto"/>
                <w:kern w:val="0"/>
                <w:sz w:val="21"/>
                <w:szCs w:val="21"/>
                <w:highlight w:val="none"/>
                <w:lang w:eastAsia="zh-CN"/>
              </w:rPr>
              <w:t>尘产生速率为</w:t>
            </w:r>
            <w:r>
              <w:rPr>
                <w:rFonts w:hint="eastAsia" w:cs="Times New Roman"/>
                <w:bCs/>
                <w:color w:val="auto"/>
                <w:kern w:val="0"/>
                <w:sz w:val="21"/>
                <w:szCs w:val="21"/>
                <w:highlight w:val="none"/>
                <w:lang w:val="en-US" w:eastAsia="zh-CN"/>
              </w:rPr>
              <w:t>2.083</w:t>
            </w:r>
            <w:r>
              <w:rPr>
                <w:rFonts w:hint="default" w:ascii="Times New Roman" w:hAnsi="Times New Roman" w:eastAsia="宋体" w:cs="Times New Roman"/>
                <w:bCs/>
                <w:color w:val="auto"/>
                <w:kern w:val="0"/>
                <w:sz w:val="21"/>
                <w:szCs w:val="21"/>
                <w:highlight w:val="none"/>
                <w:lang w:eastAsia="zh-CN"/>
              </w:rPr>
              <w:t>kg/h，装卸工段采取粮仓密闭四周设置围挡、减小装卸高度等降尘措施，运输过程中采用封闭输送，粉尘可降低90%，则原粮装卸运输过程无组织排放粉尘为0.</w:t>
            </w:r>
            <w:r>
              <w:rPr>
                <w:rFonts w:hint="eastAsia" w:cs="Times New Roman"/>
                <w:bCs/>
                <w:color w:val="auto"/>
                <w:kern w:val="0"/>
                <w:sz w:val="21"/>
                <w:szCs w:val="21"/>
                <w:highlight w:val="none"/>
                <w:lang w:val="en-US" w:eastAsia="zh-CN"/>
              </w:rPr>
              <w:t>75</w:t>
            </w:r>
            <w:r>
              <w:rPr>
                <w:rFonts w:hint="default" w:ascii="Times New Roman" w:hAnsi="Times New Roman" w:eastAsia="宋体" w:cs="Times New Roman"/>
                <w:bCs/>
                <w:color w:val="auto"/>
                <w:kern w:val="0"/>
                <w:sz w:val="21"/>
                <w:szCs w:val="21"/>
                <w:highlight w:val="none"/>
                <w:lang w:eastAsia="zh-CN"/>
              </w:rPr>
              <w:t>t/a，</w:t>
            </w:r>
            <w:r>
              <w:rPr>
                <w:rFonts w:hint="eastAsia" w:cs="Times New Roman"/>
                <w:bCs/>
                <w:color w:val="auto"/>
                <w:kern w:val="0"/>
                <w:sz w:val="21"/>
                <w:szCs w:val="21"/>
                <w:highlight w:val="none"/>
                <w:lang w:val="en-US" w:eastAsia="zh-CN"/>
              </w:rPr>
              <w:t>0.208</w:t>
            </w:r>
            <w:r>
              <w:rPr>
                <w:rFonts w:hint="default" w:ascii="Times New Roman" w:hAnsi="Times New Roman" w:eastAsia="宋体" w:cs="Times New Roman"/>
                <w:bCs/>
                <w:color w:val="auto"/>
                <w:kern w:val="0"/>
                <w:sz w:val="21"/>
                <w:szCs w:val="21"/>
                <w:highlight w:val="none"/>
                <w:lang w:eastAsia="zh-CN"/>
              </w:rPr>
              <w:t>kg/h。</w:t>
            </w:r>
          </w:p>
          <w:p w14:paraId="53827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6</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烘干粉尘</w:t>
            </w:r>
          </w:p>
          <w:p w14:paraId="0873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本项目在粮食初清过程中已将绝大部分杂质清除干净，烘干过程中粉尘产生量根据《逸散性工业粉尘控制技术》第五章谷物仓储中的颗粒特性，干燥工序逸散尘排放因子取0.1kg/t，</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烘干</w:t>
            </w:r>
            <w:r>
              <w:rPr>
                <w:rFonts w:hint="eastAsia" w:ascii="Times New Roman" w:hAnsi="Times New Roman" w:eastAsia="宋体" w:cs="Times New Roman"/>
                <w:bCs/>
                <w:color w:val="auto"/>
                <w:kern w:val="0"/>
                <w:sz w:val="21"/>
                <w:szCs w:val="21"/>
                <w:highlight w:val="none"/>
                <w:lang w:eastAsia="zh-CN"/>
              </w:rPr>
              <w:t>量</w:t>
            </w:r>
            <w:r>
              <w:rPr>
                <w:rFonts w:hint="default" w:ascii="Times New Roman" w:hAnsi="Times New Roman" w:eastAsia="宋体" w:cs="Times New Roman"/>
                <w:bCs/>
                <w:color w:val="auto"/>
                <w:kern w:val="0"/>
                <w:sz w:val="21"/>
                <w:szCs w:val="21"/>
                <w:highlight w:val="none"/>
                <w:lang w:eastAsia="zh-CN"/>
              </w:rPr>
              <w:t>为</w:t>
            </w:r>
            <w:r>
              <w:rPr>
                <w:rFonts w:hint="eastAsia" w:cs="Times New Roman"/>
                <w:bCs/>
                <w:color w:val="auto"/>
                <w:kern w:val="0"/>
                <w:sz w:val="21"/>
                <w:szCs w:val="21"/>
                <w:highlight w:val="none"/>
                <w:lang w:val="en-US" w:eastAsia="zh-CN"/>
              </w:rPr>
              <w:t>75000</w:t>
            </w:r>
            <w:r>
              <w:rPr>
                <w:rFonts w:hint="default" w:ascii="Times New Roman" w:hAnsi="Times New Roman" w:eastAsia="宋体" w:cs="Times New Roman"/>
                <w:bCs/>
                <w:color w:val="auto"/>
                <w:kern w:val="0"/>
                <w:sz w:val="21"/>
                <w:szCs w:val="21"/>
                <w:highlight w:val="none"/>
                <w:lang w:eastAsia="zh-CN"/>
              </w:rPr>
              <w:t>t/a，则</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粉尘产生量</w:t>
            </w:r>
            <w:r>
              <w:rPr>
                <w:rFonts w:hint="eastAsia" w:cs="Times New Roman"/>
                <w:bCs/>
                <w:color w:val="auto"/>
                <w:kern w:val="0"/>
                <w:sz w:val="21"/>
                <w:szCs w:val="21"/>
                <w:highlight w:val="none"/>
                <w:lang w:val="en-US" w:eastAsia="zh-CN"/>
              </w:rPr>
              <w:t>7.5</w:t>
            </w:r>
            <w:r>
              <w:rPr>
                <w:rFonts w:hint="default" w:ascii="Times New Roman" w:hAnsi="Times New Roman" w:eastAsia="宋体" w:cs="Times New Roman"/>
                <w:bCs/>
                <w:color w:val="auto"/>
                <w:kern w:val="0"/>
                <w:sz w:val="21"/>
                <w:szCs w:val="21"/>
                <w:highlight w:val="none"/>
                <w:lang w:eastAsia="zh-CN"/>
              </w:rPr>
              <w:t>t/a，产生速率为</w:t>
            </w:r>
            <w:r>
              <w:rPr>
                <w:rFonts w:hint="eastAsia" w:cs="Times New Roman"/>
                <w:bCs/>
                <w:color w:val="auto"/>
                <w:kern w:val="0"/>
                <w:sz w:val="21"/>
                <w:szCs w:val="21"/>
                <w:highlight w:val="none"/>
                <w:lang w:val="en-US" w:eastAsia="zh-CN"/>
              </w:rPr>
              <w:t>2.083</w:t>
            </w:r>
            <w:r>
              <w:rPr>
                <w:rFonts w:hint="default" w:ascii="Times New Roman" w:hAnsi="Times New Roman" w:eastAsia="宋体" w:cs="Times New Roman"/>
                <w:bCs/>
                <w:color w:val="auto"/>
                <w:kern w:val="0"/>
                <w:sz w:val="21"/>
                <w:szCs w:val="21"/>
                <w:highlight w:val="none"/>
                <w:lang w:eastAsia="zh-CN"/>
              </w:rPr>
              <w:t>kg/h。烘干过程粉尘随着风力作用从烘干塔四周风口（占90%）及顶部溢出（占10%），最终以无组织形式排放。烘干塔内部自带重力沉降室，烘干塔底部四周设置防尘挡板，粉尘受挡板格挡后受重力作用回落到烘干塔底部收尘设施中，参照《扬尘源颗粒物排放清单编制技术指南》中围挡遮围对TSP的控制效率，本项目抑尘效率按90%计，则项目烘干塔无组织粉尘排放量为</w:t>
            </w:r>
            <w:r>
              <w:rPr>
                <w:rFonts w:hint="eastAsia" w:cs="Times New Roman"/>
                <w:bCs/>
                <w:color w:val="auto"/>
                <w:kern w:val="0"/>
                <w:sz w:val="21"/>
                <w:szCs w:val="21"/>
                <w:highlight w:val="none"/>
                <w:lang w:val="en-US" w:eastAsia="zh-CN"/>
              </w:rPr>
              <w:t>0.75</w:t>
            </w:r>
            <w:r>
              <w:rPr>
                <w:rFonts w:hint="default" w:ascii="Times New Roman" w:hAnsi="Times New Roman" w:eastAsia="宋体" w:cs="Times New Roman"/>
                <w:bCs/>
                <w:color w:val="auto"/>
                <w:kern w:val="0"/>
                <w:sz w:val="21"/>
                <w:szCs w:val="21"/>
                <w:highlight w:val="none"/>
                <w:lang w:eastAsia="zh-CN"/>
              </w:rPr>
              <w:t>t/a，排放速率为</w:t>
            </w:r>
            <w:r>
              <w:rPr>
                <w:rFonts w:hint="eastAsia" w:cs="Times New Roman"/>
                <w:bCs/>
                <w:color w:val="auto"/>
                <w:kern w:val="0"/>
                <w:sz w:val="21"/>
                <w:szCs w:val="21"/>
                <w:highlight w:val="none"/>
                <w:lang w:val="en-US" w:eastAsia="zh-CN"/>
              </w:rPr>
              <w:t>0.208</w:t>
            </w:r>
            <w:r>
              <w:rPr>
                <w:rFonts w:hint="default" w:ascii="Times New Roman" w:hAnsi="Times New Roman" w:eastAsia="宋体" w:cs="Times New Roman"/>
                <w:bCs/>
                <w:color w:val="auto"/>
                <w:kern w:val="0"/>
                <w:sz w:val="21"/>
                <w:szCs w:val="21"/>
                <w:highlight w:val="none"/>
                <w:lang w:eastAsia="zh-CN"/>
              </w:rPr>
              <w:t>kg/h。</w:t>
            </w:r>
          </w:p>
          <w:p w14:paraId="632E679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eastAsia"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lang w:val="en-US" w:eastAsia="zh-CN" w:bidi="ar-SA"/>
              </w:rPr>
              <w:t>7）</w:t>
            </w:r>
            <w:r>
              <w:rPr>
                <w:rFonts w:hint="eastAsia" w:cs="Times New Roman"/>
                <w:bCs/>
                <w:color w:val="auto"/>
                <w:kern w:val="0"/>
                <w:sz w:val="21"/>
                <w:szCs w:val="21"/>
                <w:highlight w:val="none"/>
                <w:lang w:val="en-US" w:eastAsia="zh-CN"/>
              </w:rPr>
              <w:t>成品输送装卸粉尘（烘后仓成品粮食转入储粮仓房）</w:t>
            </w:r>
          </w:p>
          <w:p w14:paraId="4ACCE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lang w:val="en-US" w:eastAsia="zh-CN"/>
              </w:rPr>
            </w:pPr>
            <w:r>
              <w:rPr>
                <w:rFonts w:hint="eastAsia" w:ascii="宋体" w:hAnsi="宋体" w:eastAsia="宋体" w:cs="宋体"/>
                <w:color w:val="auto"/>
                <w:sz w:val="21"/>
                <w:szCs w:val="21"/>
                <w:lang w:val="en-US" w:eastAsia="zh-CN"/>
              </w:rPr>
              <w:t>本项目烘后仓内标准水分的水稻需倒运到指定储粮仓房，</w:t>
            </w:r>
            <w:r>
              <w:rPr>
                <w:rFonts w:hint="eastAsia" w:cs="Times New Roman"/>
                <w:bCs/>
                <w:color w:val="auto"/>
                <w:kern w:val="0"/>
                <w:sz w:val="21"/>
                <w:szCs w:val="21"/>
                <w:highlight w:val="none"/>
                <w:lang w:val="en-US" w:eastAsia="zh-CN"/>
              </w:rPr>
              <w:t>此过程</w:t>
            </w:r>
            <w:r>
              <w:rPr>
                <w:rFonts w:hint="default" w:ascii="Times New Roman" w:hAnsi="Times New Roman" w:eastAsia="宋体" w:cs="Times New Roman"/>
                <w:bCs/>
                <w:color w:val="auto"/>
                <w:kern w:val="0"/>
                <w:sz w:val="21"/>
                <w:szCs w:val="21"/>
                <w:highlight w:val="none"/>
                <w:lang w:eastAsia="zh-CN"/>
              </w:rPr>
              <w:t>装卸、运输过程中会产生废气，主要污染物为颗粒物，根据《逸散性工业粉尘控制技术》中谷物贮仓，卡车装卸粉尘系数为0.1kg/t（卸料），</w:t>
            </w:r>
            <w:r>
              <w:rPr>
                <w:rFonts w:hint="eastAsia" w:cs="Times New Roman"/>
                <w:bCs/>
                <w:color w:val="auto"/>
                <w:kern w:val="0"/>
                <w:sz w:val="21"/>
                <w:szCs w:val="21"/>
                <w:highlight w:val="none"/>
                <w:lang w:val="en-US" w:eastAsia="zh-CN"/>
              </w:rPr>
              <w:t>此过程</w:t>
            </w:r>
            <w:r>
              <w:rPr>
                <w:rFonts w:hint="default" w:ascii="Times New Roman" w:hAnsi="Times New Roman" w:eastAsia="宋体" w:cs="Times New Roman"/>
                <w:bCs/>
                <w:color w:val="auto"/>
                <w:kern w:val="0"/>
                <w:sz w:val="21"/>
                <w:szCs w:val="21"/>
                <w:highlight w:val="none"/>
                <w:lang w:eastAsia="zh-CN"/>
              </w:rPr>
              <w:t>装卸量</w:t>
            </w:r>
            <w:r>
              <w:rPr>
                <w:rFonts w:hint="eastAsia" w:cs="Times New Roman"/>
                <w:bCs/>
                <w:color w:val="auto"/>
                <w:sz w:val="21"/>
                <w:szCs w:val="21"/>
                <w:highlight w:val="none"/>
                <w:lang w:val="en-US" w:eastAsia="zh-CN"/>
              </w:rPr>
              <w:t>64872.52</w:t>
            </w:r>
            <w:r>
              <w:rPr>
                <w:rFonts w:hint="default" w:ascii="Times New Roman" w:hAnsi="Times New Roman" w:eastAsia="宋体" w:cs="Times New Roman"/>
                <w:bCs/>
                <w:color w:val="auto"/>
                <w:kern w:val="0"/>
                <w:sz w:val="21"/>
                <w:szCs w:val="21"/>
                <w:highlight w:val="none"/>
                <w:lang w:eastAsia="zh-CN"/>
              </w:rPr>
              <w:t>t，粉尘产生量为</w:t>
            </w:r>
            <w:r>
              <w:rPr>
                <w:rFonts w:hint="eastAsia" w:cs="Times New Roman"/>
                <w:bCs/>
                <w:color w:val="auto"/>
                <w:kern w:val="0"/>
                <w:sz w:val="21"/>
                <w:szCs w:val="21"/>
                <w:highlight w:val="none"/>
                <w:lang w:val="en-US" w:eastAsia="zh-CN"/>
              </w:rPr>
              <w:t>6.487</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eastAsia="宋体" w:cs="Times New Roman"/>
                <w:bCs/>
                <w:color w:val="auto"/>
                <w:kern w:val="0"/>
                <w:sz w:val="21"/>
                <w:szCs w:val="21"/>
                <w:highlight w:val="none"/>
                <w:lang w:eastAsia="zh-CN"/>
              </w:rPr>
              <w:t>粉</w:t>
            </w:r>
            <w:r>
              <w:rPr>
                <w:rFonts w:hint="default" w:ascii="Times New Roman" w:hAnsi="Times New Roman" w:eastAsia="宋体" w:cs="Times New Roman"/>
                <w:bCs/>
                <w:color w:val="auto"/>
                <w:kern w:val="0"/>
                <w:sz w:val="21"/>
                <w:szCs w:val="21"/>
                <w:highlight w:val="none"/>
                <w:lang w:eastAsia="zh-CN"/>
              </w:rPr>
              <w:t>尘产生速率为</w:t>
            </w:r>
            <w:r>
              <w:rPr>
                <w:rFonts w:hint="eastAsia" w:cs="Times New Roman"/>
                <w:bCs/>
                <w:color w:val="auto"/>
                <w:kern w:val="0"/>
                <w:sz w:val="21"/>
                <w:szCs w:val="21"/>
                <w:highlight w:val="none"/>
                <w:lang w:val="en-US" w:eastAsia="zh-CN"/>
              </w:rPr>
              <w:t>1.287</w:t>
            </w:r>
            <w:r>
              <w:rPr>
                <w:rFonts w:hint="default" w:ascii="Times New Roman" w:hAnsi="Times New Roman" w:eastAsia="宋体" w:cs="Times New Roman"/>
                <w:bCs/>
                <w:color w:val="auto"/>
                <w:kern w:val="0"/>
                <w:sz w:val="21"/>
                <w:szCs w:val="21"/>
                <w:highlight w:val="none"/>
                <w:lang w:eastAsia="zh-CN"/>
              </w:rPr>
              <w:t>kg/h，装卸工段采取粮仓密闭四周设置围挡、减小装卸高度等降尘措施，运输过程中采用封闭输送</w:t>
            </w:r>
            <w:r>
              <w:rPr>
                <w:rFonts w:hint="eastAsia" w:cs="Times New Roman"/>
                <w:bCs/>
                <w:color w:val="auto"/>
                <w:kern w:val="0"/>
                <w:sz w:val="21"/>
                <w:szCs w:val="21"/>
                <w:highlight w:val="none"/>
                <w:lang w:val="en-US" w:eastAsia="zh-CN"/>
              </w:rPr>
              <w:t>等，</w:t>
            </w:r>
            <w:r>
              <w:rPr>
                <w:rFonts w:hint="default" w:ascii="Times New Roman" w:hAnsi="Times New Roman" w:eastAsia="宋体" w:cs="Times New Roman"/>
                <w:bCs/>
                <w:color w:val="auto"/>
                <w:kern w:val="0"/>
                <w:sz w:val="21"/>
                <w:szCs w:val="21"/>
                <w:highlight w:val="none"/>
                <w:lang w:eastAsia="zh-CN"/>
              </w:rPr>
              <w:t>粉尘可降低</w:t>
            </w:r>
            <w:r>
              <w:rPr>
                <w:rFonts w:hint="eastAsia" w:cs="Times New Roman"/>
                <w:bCs/>
                <w:color w:val="auto"/>
                <w:kern w:val="0"/>
                <w:sz w:val="21"/>
                <w:szCs w:val="21"/>
                <w:highlight w:val="none"/>
                <w:lang w:val="en-US" w:eastAsia="zh-CN"/>
              </w:rPr>
              <w:t>6</w:t>
            </w:r>
            <w:r>
              <w:rPr>
                <w:rFonts w:hint="default" w:ascii="Times New Roman" w:hAnsi="Times New Roman" w:eastAsia="宋体" w:cs="Times New Roman"/>
                <w:bCs/>
                <w:color w:val="auto"/>
                <w:kern w:val="0"/>
                <w:sz w:val="21"/>
                <w:szCs w:val="21"/>
                <w:highlight w:val="none"/>
                <w:lang w:eastAsia="zh-CN"/>
              </w:rPr>
              <w:t>0%</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根据</w:t>
            </w:r>
            <w:r>
              <w:rPr>
                <w:rFonts w:hint="default" w:ascii="Times New Roman" w:hAnsi="Times New Roman" w:eastAsia="宋体" w:cs="Times New Roman"/>
                <w:bCs/>
                <w:color w:val="auto"/>
                <w:kern w:val="0"/>
                <w:sz w:val="21"/>
                <w:szCs w:val="21"/>
                <w:highlight w:val="none"/>
                <w:lang w:eastAsia="zh-CN"/>
              </w:rPr>
              <w:t>《逸散性工业粉尘控制技术》</w:t>
            </w:r>
            <w:r>
              <w:rPr>
                <w:rFonts w:hint="eastAsia" w:ascii="Times New Roman" w:hAnsi="Times New Roman" w:eastAsia="宋体" w:cs="Times New Roman"/>
                <w:bCs/>
                <w:color w:val="auto"/>
                <w:kern w:val="0"/>
                <w:sz w:val="21"/>
                <w:szCs w:val="21"/>
                <w:highlight w:val="none"/>
                <w:lang w:val="en-US" w:eastAsia="zh-CN"/>
              </w:rPr>
              <w:t>中表6-3中，装卸采取封闭（三边），控制效率为60%</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，则</w:t>
            </w:r>
            <w:r>
              <w:rPr>
                <w:rFonts w:hint="eastAsia" w:cs="Times New Roman"/>
                <w:bCs/>
                <w:color w:val="auto"/>
                <w:kern w:val="0"/>
                <w:sz w:val="21"/>
                <w:szCs w:val="21"/>
                <w:highlight w:val="none"/>
                <w:lang w:val="en-US" w:eastAsia="zh-CN"/>
              </w:rPr>
              <w:t>烘后仓水稻转入储粮仓房</w:t>
            </w:r>
            <w:r>
              <w:rPr>
                <w:rFonts w:hint="default" w:ascii="Times New Roman" w:hAnsi="Times New Roman" w:eastAsia="宋体" w:cs="Times New Roman"/>
                <w:bCs/>
                <w:color w:val="auto"/>
                <w:kern w:val="0"/>
                <w:sz w:val="21"/>
                <w:szCs w:val="21"/>
                <w:highlight w:val="none"/>
                <w:lang w:eastAsia="zh-CN"/>
              </w:rPr>
              <w:t>装卸运输过程无组织排放粉尘为</w:t>
            </w:r>
            <w:r>
              <w:rPr>
                <w:rFonts w:hint="eastAsia" w:ascii="Times New Roman" w:hAnsi="Times New Roman" w:eastAsia="宋体" w:cs="Times New Roman"/>
                <w:bCs/>
                <w:color w:val="auto"/>
                <w:kern w:val="0"/>
                <w:sz w:val="21"/>
                <w:szCs w:val="21"/>
                <w:highlight w:val="none"/>
                <w:lang w:val="en-US" w:eastAsia="zh-CN"/>
              </w:rPr>
              <w:t>2.595</w:t>
            </w:r>
            <w:r>
              <w:rPr>
                <w:rFonts w:hint="default" w:ascii="Times New Roman" w:hAnsi="Times New Roman" w:eastAsia="宋体" w:cs="Times New Roman"/>
                <w:bCs/>
                <w:color w:val="auto"/>
                <w:kern w:val="0"/>
                <w:sz w:val="21"/>
                <w:szCs w:val="21"/>
                <w:highlight w:val="none"/>
                <w:lang w:eastAsia="zh-CN"/>
              </w:rPr>
              <w:t>t/a，</w:t>
            </w:r>
            <w:r>
              <w:rPr>
                <w:rFonts w:hint="eastAsia" w:cs="Times New Roman"/>
                <w:bCs/>
                <w:color w:val="auto"/>
                <w:kern w:val="0"/>
                <w:sz w:val="21"/>
                <w:szCs w:val="21"/>
                <w:highlight w:val="none"/>
                <w:lang w:val="en-US" w:eastAsia="zh-CN"/>
              </w:rPr>
              <w:t>0.515</w:t>
            </w:r>
            <w:r>
              <w:rPr>
                <w:rFonts w:hint="default" w:ascii="Times New Roman" w:hAnsi="Times New Roman" w:eastAsia="宋体" w:cs="Times New Roman"/>
                <w:bCs/>
                <w:color w:val="auto"/>
                <w:kern w:val="0"/>
                <w:sz w:val="21"/>
                <w:szCs w:val="21"/>
                <w:highlight w:val="none"/>
                <w:lang w:eastAsia="zh-CN"/>
              </w:rPr>
              <w:t>kg/h。</w:t>
            </w:r>
          </w:p>
          <w:p w14:paraId="5899CD02">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14:paraId="5C17F3F1">
            <w:pPr>
              <w:pStyle w:val="142"/>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废气排放口基本情况一览表</w:t>
            </w:r>
          </w:p>
          <w:tbl>
            <w:tblPr>
              <w:tblStyle w:val="34"/>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488"/>
              <w:gridCol w:w="856"/>
              <w:gridCol w:w="856"/>
              <w:gridCol w:w="962"/>
              <w:gridCol w:w="1233"/>
              <w:gridCol w:w="1895"/>
            </w:tblGrid>
            <w:tr w14:paraId="2A58C379">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left w:val="nil"/>
                    <w:bottom w:val="single" w:color="auto" w:sz="4" w:space="0"/>
                    <w:right w:val="single" w:color="auto" w:sz="4" w:space="0"/>
                  </w:tcBorders>
                  <w:noWrap w:val="0"/>
                  <w:vAlign w:val="center"/>
                </w:tcPr>
                <w:p w14:paraId="0492F7D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left w:val="single" w:color="auto" w:sz="4" w:space="0"/>
                    <w:bottom w:val="single" w:color="auto" w:sz="4" w:space="0"/>
                    <w:right w:val="single" w:color="auto" w:sz="4" w:space="0"/>
                  </w:tcBorders>
                  <w:noWrap w:val="0"/>
                  <w:vAlign w:val="center"/>
                </w:tcPr>
                <w:p w14:paraId="69E6539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left w:val="single" w:color="auto" w:sz="4" w:space="0"/>
                    <w:bottom w:val="single" w:color="auto" w:sz="4" w:space="0"/>
                    <w:right w:val="single" w:color="auto" w:sz="4" w:space="0"/>
                  </w:tcBorders>
                  <w:noWrap w:val="0"/>
                  <w:vAlign w:val="center"/>
                </w:tcPr>
                <w:p w14:paraId="260E302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left w:val="single" w:color="auto" w:sz="4" w:space="0"/>
                    <w:bottom w:val="single" w:color="auto" w:sz="4" w:space="0"/>
                    <w:right w:val="single" w:color="auto" w:sz="4" w:space="0"/>
                  </w:tcBorders>
                  <w:noWrap w:val="0"/>
                  <w:vAlign w:val="center"/>
                </w:tcPr>
                <w:p w14:paraId="60D67CE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left w:val="single" w:color="auto" w:sz="4" w:space="0"/>
                    <w:bottom w:val="single" w:color="auto" w:sz="4" w:space="0"/>
                    <w:right w:val="single" w:color="auto" w:sz="4" w:space="0"/>
                  </w:tcBorders>
                  <w:noWrap w:val="0"/>
                  <w:vAlign w:val="center"/>
                </w:tcPr>
                <w:p w14:paraId="615B6FA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left w:val="single" w:color="auto" w:sz="4" w:space="0"/>
                    <w:bottom w:val="single" w:color="auto" w:sz="4" w:space="0"/>
                    <w:right w:val="single" w:color="auto" w:sz="4" w:space="0"/>
                  </w:tcBorders>
                  <w:noWrap w:val="0"/>
                  <w:vAlign w:val="center"/>
                </w:tcPr>
                <w:p w14:paraId="4B8C2D8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6" w:type="pct"/>
                  <w:tcBorders>
                    <w:left w:val="single" w:color="auto" w:sz="4" w:space="0"/>
                    <w:bottom w:val="single" w:color="auto" w:sz="4" w:space="0"/>
                    <w:right w:val="nil"/>
                  </w:tcBorders>
                  <w:noWrap w:val="0"/>
                  <w:vAlign w:val="center"/>
                </w:tcPr>
                <w:p w14:paraId="2D7C05F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14:paraId="173426DB">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shd w:val="clear" w:color="auto" w:fill="auto"/>
                  <w:noWrap w:val="0"/>
                  <w:vAlign w:val="center"/>
                </w:tcPr>
                <w:p w14:paraId="2D4CCA9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cs="Times New Roman"/>
                      <w:color w:val="auto"/>
                      <w:sz w:val="18"/>
                      <w:szCs w:val="18"/>
                      <w:highlight w:val="none"/>
                      <w:lang w:val="en-US" w:eastAsia="zh-CN"/>
                    </w:rPr>
                    <w:t>1</w:t>
                  </w:r>
                </w:p>
              </w:tc>
              <w:tc>
                <w:tcPr>
                  <w:tcW w:w="9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5C179E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600万Kcal/h生物质</w:t>
                  </w: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5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212548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25</w:t>
                  </w:r>
                </w:p>
              </w:tc>
              <w:tc>
                <w:tcPr>
                  <w:tcW w:w="5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D574627">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0.</w:t>
                  </w:r>
                  <w:r>
                    <w:rPr>
                      <w:rFonts w:hint="eastAsia"/>
                      <w:color w:val="auto"/>
                      <w:sz w:val="18"/>
                      <w:szCs w:val="18"/>
                      <w:highlight w:val="none"/>
                      <w:lang w:val="en-US" w:eastAsia="zh-CN"/>
                    </w:rPr>
                    <w:t>6</w:t>
                  </w:r>
                </w:p>
              </w:tc>
              <w:tc>
                <w:tcPr>
                  <w:tcW w:w="59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F50B05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40</w:t>
                  </w:r>
                </w:p>
              </w:tc>
              <w:tc>
                <w:tcPr>
                  <w:tcW w:w="7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E2AD60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4" w:space="0"/>
                    <w:right w:val="nil"/>
                  </w:tcBorders>
                  <w:shd w:val="clear" w:color="auto" w:fill="auto"/>
                  <w:noWrap w:val="0"/>
                  <w:vAlign w:val="center"/>
                </w:tcPr>
                <w:p w14:paraId="21310AD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131.241559</w:t>
                  </w:r>
                </w:p>
                <w:p w14:paraId="04FA4CC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cyan"/>
                      <w:lang w:val="en-US" w:eastAsia="zh-CN" w:bidi="ar-SA"/>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45.187961</w:t>
                  </w:r>
                </w:p>
              </w:tc>
            </w:tr>
          </w:tbl>
          <w:p w14:paraId="55A1A2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14:paraId="4A1F9FC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废气治理措施发生故障，废气未经</w:t>
            </w:r>
            <w:r>
              <w:rPr>
                <w:rFonts w:hint="eastAsia"/>
                <w:color w:val="auto"/>
                <w:sz w:val="21"/>
                <w:szCs w:val="21"/>
                <w:highlight w:val="none"/>
                <w:lang w:val="en-US" w:eastAsia="zh-CN"/>
              </w:rPr>
              <w:t>有效的</w:t>
            </w:r>
            <w:r>
              <w:rPr>
                <w:rFonts w:hint="default"/>
                <w:color w:val="auto"/>
                <w:sz w:val="21"/>
                <w:szCs w:val="21"/>
                <w:highlight w:val="none"/>
              </w:rPr>
              <w:t>处理直接排放</w:t>
            </w:r>
            <w:r>
              <w:rPr>
                <w:rFonts w:hint="eastAsia"/>
                <w:color w:val="auto"/>
                <w:sz w:val="21"/>
                <w:szCs w:val="21"/>
                <w:highlight w:val="none"/>
                <w:lang w:eastAsia="zh-CN"/>
              </w:rPr>
              <w:t>。</w:t>
            </w:r>
          </w:p>
          <w:p w14:paraId="6A320A40">
            <w:pPr>
              <w:pStyle w:val="7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非正常排放参数表</w:t>
            </w:r>
          </w:p>
          <w:tbl>
            <w:tblPr>
              <w:tblStyle w:val="34"/>
              <w:tblW w:w="5000" w:type="pct"/>
              <w:jc w:val="center"/>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24"/>
              <w:gridCol w:w="1398"/>
              <w:gridCol w:w="793"/>
              <w:gridCol w:w="1056"/>
              <w:gridCol w:w="1056"/>
              <w:gridCol w:w="829"/>
              <w:gridCol w:w="887"/>
              <w:gridCol w:w="911"/>
            </w:tblGrid>
            <w:tr w14:paraId="2F1E8F64">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left w:val="nil"/>
                    <w:bottom w:val="single" w:color="000000" w:sz="4" w:space="0"/>
                    <w:right w:val="single" w:color="000000" w:sz="4" w:space="0"/>
                  </w:tcBorders>
                  <w:noWrap w:val="0"/>
                  <w:vAlign w:val="center"/>
                </w:tcPr>
                <w:p w14:paraId="04586CA0">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867" w:type="pct"/>
                  <w:tcBorders>
                    <w:left w:val="single" w:color="000000" w:sz="4" w:space="0"/>
                    <w:bottom w:val="single" w:color="000000" w:sz="4" w:space="0"/>
                    <w:right w:val="single" w:color="000000" w:sz="4" w:space="0"/>
                  </w:tcBorders>
                  <w:noWrap w:val="0"/>
                  <w:vAlign w:val="center"/>
                </w:tcPr>
                <w:p w14:paraId="02B03476">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w:t>
                  </w:r>
                </w:p>
                <w:p w14:paraId="493203B3">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排放原因</w:t>
                  </w:r>
                </w:p>
              </w:tc>
              <w:tc>
                <w:tcPr>
                  <w:tcW w:w="492" w:type="pct"/>
                  <w:tcBorders>
                    <w:left w:val="single" w:color="000000" w:sz="4" w:space="0"/>
                    <w:bottom w:val="single" w:color="000000" w:sz="4" w:space="0"/>
                    <w:right w:val="single" w:color="000000" w:sz="4" w:space="0"/>
                  </w:tcBorders>
                  <w:noWrap w:val="0"/>
                  <w:vAlign w:val="center"/>
                </w:tcPr>
                <w:p w14:paraId="2E49031F">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655" w:type="pct"/>
                  <w:tcBorders>
                    <w:left w:val="single" w:color="auto" w:sz="4" w:space="0"/>
                    <w:bottom w:val="single" w:color="000000" w:sz="4" w:space="0"/>
                    <w:right w:val="single" w:color="000000" w:sz="4" w:space="0"/>
                  </w:tcBorders>
                  <w:noWrap w:val="0"/>
                  <w:vAlign w:val="center"/>
                </w:tcPr>
                <w:p w14:paraId="2DB66F2A">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18"/>
                      <w:szCs w:val="18"/>
                      <w:highlight w:val="none"/>
                    </w:rPr>
                  </w:pPr>
                  <w:r>
                    <w:rPr>
                      <w:rFonts w:hint="default"/>
                      <w:bCs/>
                      <w:color w:val="auto"/>
                      <w:spacing w:val="0"/>
                      <w:position w:val="0"/>
                      <w:sz w:val="18"/>
                      <w:szCs w:val="18"/>
                      <w:highlight w:val="none"/>
                    </w:rPr>
                    <w:t>排放浓度mg/m</w:t>
                  </w:r>
                  <w:r>
                    <w:rPr>
                      <w:rFonts w:hint="default"/>
                      <w:bCs/>
                      <w:color w:val="auto"/>
                      <w:spacing w:val="0"/>
                      <w:position w:val="0"/>
                      <w:sz w:val="18"/>
                      <w:szCs w:val="18"/>
                      <w:highlight w:val="none"/>
                      <w:vertAlign w:val="superscript"/>
                    </w:rPr>
                    <w:t>3</w:t>
                  </w:r>
                </w:p>
              </w:tc>
              <w:tc>
                <w:tcPr>
                  <w:tcW w:w="655" w:type="pct"/>
                  <w:tcBorders>
                    <w:left w:val="single" w:color="auto" w:sz="4" w:space="0"/>
                    <w:bottom w:val="single" w:color="000000" w:sz="4" w:space="0"/>
                    <w:right w:val="single" w:color="000000" w:sz="4" w:space="0"/>
                  </w:tcBorders>
                  <w:noWrap w:val="0"/>
                  <w:vAlign w:val="center"/>
                </w:tcPr>
                <w:p w14:paraId="1F816E79">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w:t>
                  </w:r>
                  <w:r>
                    <w:rPr>
                      <w:rFonts w:hint="default" w:ascii="Times New Roman" w:hAnsi="Times New Roman" w:eastAsia="宋体" w:cs="Times New Roman"/>
                      <w:bCs/>
                      <w:color w:val="auto"/>
                      <w:sz w:val="18"/>
                      <w:szCs w:val="18"/>
                      <w:highlight w:val="none"/>
                    </w:rPr>
                    <w:t>速率kg/h</w:t>
                  </w:r>
                </w:p>
              </w:tc>
              <w:tc>
                <w:tcPr>
                  <w:tcW w:w="514" w:type="pct"/>
                  <w:tcBorders>
                    <w:left w:val="single" w:color="000000" w:sz="4" w:space="0"/>
                    <w:bottom w:val="single" w:color="000000" w:sz="4" w:space="0"/>
                    <w:right w:val="single" w:color="000000" w:sz="4" w:space="0"/>
                  </w:tcBorders>
                  <w:noWrap w:val="0"/>
                  <w:vAlign w:val="center"/>
                </w:tcPr>
                <w:p w14:paraId="235E74E3">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550" w:type="pct"/>
                  <w:tcBorders>
                    <w:left w:val="single" w:color="000000" w:sz="4" w:space="0"/>
                    <w:bottom w:val="single" w:color="000000" w:sz="4" w:space="0"/>
                    <w:right w:val="single" w:color="auto" w:sz="4" w:space="0"/>
                  </w:tcBorders>
                  <w:noWrap w:val="0"/>
                  <w:vAlign w:val="center"/>
                </w:tcPr>
                <w:p w14:paraId="61AF1487">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565" w:type="pct"/>
                  <w:tcBorders>
                    <w:left w:val="single" w:color="auto" w:sz="4" w:space="0"/>
                    <w:bottom w:val="single" w:color="000000" w:sz="4" w:space="0"/>
                    <w:right w:val="nil"/>
                  </w:tcBorders>
                  <w:noWrap w:val="0"/>
                  <w:vAlign w:val="center"/>
                </w:tcPr>
                <w:p w14:paraId="702CE49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14:paraId="39804486">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6BC85A26">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867" w:type="pct"/>
                  <w:tcBorders>
                    <w:top w:val="single" w:color="000000" w:sz="4" w:space="0"/>
                    <w:left w:val="single" w:color="000000" w:sz="4" w:space="0"/>
                    <w:bottom w:val="single" w:color="000000" w:sz="4" w:space="0"/>
                    <w:right w:val="single" w:color="000000" w:sz="4" w:space="0"/>
                  </w:tcBorders>
                  <w:noWrap w:val="0"/>
                  <w:vAlign w:val="center"/>
                </w:tcPr>
                <w:p w14:paraId="4657EE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90</w:t>
                  </w:r>
                  <w:r>
                    <w:rPr>
                      <w:rFonts w:hint="default" w:ascii="Times New Roman" w:hAnsi="Times New Roman" w:eastAsia="宋体" w:cs="Times New Roman"/>
                      <w:color w:val="auto"/>
                      <w:sz w:val="18"/>
                      <w:szCs w:val="18"/>
                      <w:highlight w:val="none"/>
                    </w:rPr>
                    <w:t>%</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14:paraId="6115CC6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颗粒物</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78B29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284.529</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64B021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3.95</w:t>
                  </w:r>
                </w:p>
              </w:tc>
              <w:tc>
                <w:tcPr>
                  <w:tcW w:w="514" w:type="pct"/>
                  <w:tcBorders>
                    <w:top w:val="single" w:color="000000" w:sz="4" w:space="0"/>
                    <w:left w:val="single" w:color="000000" w:sz="4" w:space="0"/>
                    <w:bottom w:val="single" w:color="000000" w:sz="4" w:space="0"/>
                    <w:right w:val="single" w:color="000000" w:sz="4" w:space="0"/>
                  </w:tcBorders>
                  <w:noWrap w:val="0"/>
                  <w:vAlign w:val="center"/>
                </w:tcPr>
                <w:p w14:paraId="56ACD5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50" w:type="pct"/>
                  <w:tcBorders>
                    <w:top w:val="single" w:color="000000" w:sz="4" w:space="0"/>
                    <w:left w:val="single" w:color="000000" w:sz="4" w:space="0"/>
                    <w:bottom w:val="single" w:color="000000" w:sz="4" w:space="0"/>
                    <w:right w:val="single" w:color="auto" w:sz="4" w:space="0"/>
                  </w:tcBorders>
                  <w:noWrap w:val="0"/>
                  <w:vAlign w:val="center"/>
                </w:tcPr>
                <w:p w14:paraId="3D2DB5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65" w:type="pct"/>
                  <w:tcBorders>
                    <w:top w:val="single" w:color="000000" w:sz="4" w:space="0"/>
                    <w:left w:val="single" w:color="auto" w:sz="4" w:space="0"/>
                    <w:bottom w:val="single" w:color="000000" w:sz="4" w:space="0"/>
                    <w:right w:val="nil"/>
                  </w:tcBorders>
                  <w:noWrap w:val="0"/>
                  <w:vAlign w:val="center"/>
                </w:tcPr>
                <w:p w14:paraId="5BAC48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14:paraId="69779F63">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14:paraId="2F956B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w:t>
            </w:r>
            <w:r>
              <w:rPr>
                <w:rFonts w:hint="default" w:ascii="Times New Roman" w:hAnsi="Times New Roman" w:cs="Times New Roman"/>
                <w:color w:val="auto"/>
                <w:sz w:val="21"/>
                <w:szCs w:val="21"/>
                <w:highlight w:val="none"/>
              </w:rPr>
              <w:t>《排污许可证申请与核发技术规范 工业炉窑》（HJ1121-2020）</w:t>
            </w:r>
            <w:r>
              <w:rPr>
                <w:rFonts w:hint="default"/>
                <w:color w:val="auto"/>
                <w:sz w:val="21"/>
                <w:szCs w:val="21"/>
                <w:highlight w:val="none"/>
              </w:rPr>
              <w:t>和</w:t>
            </w:r>
            <w:r>
              <w:rPr>
                <w:rFonts w:hint="default" w:ascii="Times New Roman" w:hAnsi="Times New Roman" w:cs="Times New Roman"/>
                <w:color w:val="auto"/>
                <w:sz w:val="21"/>
                <w:szCs w:val="21"/>
                <w:highlight w:val="none"/>
              </w:rPr>
              <w:t>《排污单位自行监测技术指南</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总则》（HJ819-2017）</w:t>
            </w:r>
            <w:r>
              <w:rPr>
                <w:rFonts w:hint="eastAsia"/>
                <w:color w:val="auto"/>
                <w:sz w:val="21"/>
                <w:szCs w:val="21"/>
                <w:highlight w:val="none"/>
                <w:lang w:eastAsia="zh-CN"/>
              </w:rPr>
              <w:t>，</w:t>
            </w:r>
            <w:r>
              <w:rPr>
                <w:rFonts w:hint="eastAsia"/>
                <w:color w:val="auto"/>
                <w:sz w:val="21"/>
                <w:szCs w:val="21"/>
                <w:highlight w:val="none"/>
                <w:lang w:val="en-US" w:eastAsia="zh-CN"/>
              </w:rPr>
              <w:t>本项目热风炉运行时间为10月-次年4月，</w:t>
            </w:r>
            <w:r>
              <w:rPr>
                <w:rFonts w:hint="default" w:ascii="Times New Roman" w:hAnsi="Times New Roman" w:cs="Times New Roman"/>
                <w:color w:val="auto"/>
                <w:sz w:val="21"/>
                <w:szCs w:val="21"/>
                <w:highlight w:val="none"/>
              </w:rPr>
              <w:t>制定本项目废气监测计划如下。</w:t>
            </w:r>
          </w:p>
          <w:p w14:paraId="5CC9AE4B">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4 </w:t>
            </w:r>
            <w:r>
              <w:rPr>
                <w:rFonts w:hint="default" w:ascii="Times New Roman" w:hAnsi="Times New Roman" w:cs="Times New Roman"/>
                <w:b/>
                <w:color w:val="auto"/>
                <w:szCs w:val="21"/>
                <w:highlight w:val="none"/>
              </w:rPr>
              <w:t>废气监测方案</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046"/>
              <w:gridCol w:w="1888"/>
              <w:gridCol w:w="937"/>
              <w:gridCol w:w="1112"/>
              <w:gridCol w:w="2197"/>
            </w:tblGrid>
            <w:tr w14:paraId="71953C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74" w:type="dxa"/>
                  <w:tcBorders>
                    <w:left w:val="nil"/>
                    <w:bottom w:val="single" w:color="auto" w:sz="4" w:space="0"/>
                    <w:right w:val="single" w:color="auto" w:sz="4" w:space="0"/>
                  </w:tcBorders>
                  <w:noWrap w:val="0"/>
                  <w:vAlign w:val="center"/>
                </w:tcPr>
                <w:p w14:paraId="08AA42E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046" w:type="dxa"/>
                  <w:tcBorders>
                    <w:left w:val="single" w:color="auto" w:sz="4" w:space="0"/>
                    <w:bottom w:val="single" w:color="auto" w:sz="4" w:space="0"/>
                    <w:right w:val="single" w:color="auto" w:sz="4" w:space="0"/>
                  </w:tcBorders>
                  <w:noWrap w:val="0"/>
                  <w:vAlign w:val="center"/>
                </w:tcPr>
                <w:p w14:paraId="4BE1C4E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1888" w:type="dxa"/>
                  <w:tcBorders>
                    <w:left w:val="single" w:color="auto" w:sz="4" w:space="0"/>
                    <w:bottom w:val="single" w:color="auto" w:sz="4" w:space="0"/>
                    <w:right w:val="single" w:color="auto" w:sz="4" w:space="0"/>
                  </w:tcBorders>
                  <w:noWrap w:val="0"/>
                  <w:vAlign w:val="center"/>
                </w:tcPr>
                <w:p w14:paraId="2E8640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937" w:type="dxa"/>
                  <w:tcBorders>
                    <w:left w:val="single" w:color="auto" w:sz="4" w:space="0"/>
                    <w:bottom w:val="single" w:color="auto" w:sz="4" w:space="0"/>
                    <w:right w:val="single" w:color="auto" w:sz="4" w:space="0"/>
                  </w:tcBorders>
                  <w:noWrap w:val="0"/>
                  <w:vAlign w:val="center"/>
                </w:tcPr>
                <w:p w14:paraId="040DCE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1112" w:type="dxa"/>
                  <w:tcBorders>
                    <w:left w:val="single" w:color="auto" w:sz="4" w:space="0"/>
                    <w:bottom w:val="single" w:color="auto" w:sz="4" w:space="0"/>
                    <w:right w:val="nil"/>
                  </w:tcBorders>
                  <w:noWrap w:val="0"/>
                  <w:vAlign w:val="center"/>
                </w:tcPr>
                <w:p w14:paraId="3E5D5CB7">
                  <w:pPr>
                    <w:keepNext w:val="0"/>
                    <w:keepLines w:val="0"/>
                    <w:pageBreakBefore w:val="0"/>
                    <w:suppressLineNumbers w:val="0"/>
                    <w:tabs>
                      <w:tab w:val="left" w:pos="351"/>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监测时间</w:t>
                  </w:r>
                </w:p>
              </w:tc>
              <w:tc>
                <w:tcPr>
                  <w:tcW w:w="2197" w:type="dxa"/>
                  <w:tcBorders>
                    <w:left w:val="single" w:color="auto" w:sz="4" w:space="0"/>
                    <w:bottom w:val="single" w:color="auto" w:sz="4" w:space="0"/>
                    <w:right w:val="nil"/>
                  </w:tcBorders>
                  <w:noWrap w:val="0"/>
                  <w:vAlign w:val="center"/>
                </w:tcPr>
                <w:p w14:paraId="39B7C0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14:paraId="15891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74" w:type="dxa"/>
                  <w:vMerge w:val="restart"/>
                  <w:tcBorders>
                    <w:top w:val="single" w:color="auto" w:sz="4" w:space="0"/>
                    <w:left w:val="nil"/>
                    <w:right w:val="single" w:color="auto" w:sz="4" w:space="0"/>
                  </w:tcBorders>
                  <w:noWrap w:val="0"/>
                  <w:vAlign w:val="center"/>
                </w:tcPr>
                <w:p w14:paraId="09002AC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1046" w:type="dxa"/>
                  <w:vMerge w:val="restart"/>
                  <w:tcBorders>
                    <w:top w:val="single" w:color="auto" w:sz="4" w:space="0"/>
                    <w:left w:val="single" w:color="auto" w:sz="4" w:space="0"/>
                    <w:right w:val="single" w:color="auto" w:sz="4" w:space="0"/>
                  </w:tcBorders>
                  <w:noWrap w:val="0"/>
                  <w:vAlign w:val="center"/>
                </w:tcPr>
                <w:p w14:paraId="6BC5B06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1888" w:type="dxa"/>
                  <w:tcBorders>
                    <w:top w:val="single" w:color="auto" w:sz="4" w:space="0"/>
                    <w:left w:val="single" w:color="auto" w:sz="4" w:space="0"/>
                    <w:bottom w:val="single" w:color="auto" w:sz="4" w:space="0"/>
                    <w:right w:val="single" w:color="auto" w:sz="4" w:space="0"/>
                  </w:tcBorders>
                  <w:noWrap w:val="0"/>
                  <w:vAlign w:val="center"/>
                </w:tcPr>
                <w:p w14:paraId="2F9A7C5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颗粒物</w:t>
                  </w:r>
                  <w:r>
                    <w:rPr>
                      <w:rFonts w:hint="eastAsia"/>
                      <w:color w:val="auto"/>
                      <w:sz w:val="18"/>
                      <w:szCs w:val="18"/>
                      <w:highlight w:val="none"/>
                      <w:lang w:eastAsia="zh-CN"/>
                    </w:rPr>
                    <w:t>、烟气黑度</w:t>
                  </w:r>
                  <w:r>
                    <w:rPr>
                      <w:rFonts w:hint="default"/>
                      <w:color w:val="auto"/>
                      <w:sz w:val="18"/>
                      <w:szCs w:val="18"/>
                      <w:highlight w:val="none"/>
                    </w:rPr>
                    <w:t>、SO</w:t>
                  </w:r>
                  <w:r>
                    <w:rPr>
                      <w:rFonts w:hint="default"/>
                      <w:color w:val="auto"/>
                      <w:sz w:val="18"/>
                      <w:szCs w:val="18"/>
                      <w:highlight w:val="none"/>
                      <w:vertAlign w:val="subscript"/>
                    </w:rPr>
                    <w:t>2</w:t>
                  </w:r>
                </w:p>
              </w:tc>
              <w:tc>
                <w:tcPr>
                  <w:tcW w:w="937" w:type="dxa"/>
                  <w:tcBorders>
                    <w:top w:val="single" w:color="auto" w:sz="4" w:space="0"/>
                    <w:left w:val="single" w:color="auto" w:sz="4" w:space="0"/>
                    <w:right w:val="single" w:color="auto" w:sz="4" w:space="0"/>
                  </w:tcBorders>
                  <w:noWrap w:val="0"/>
                  <w:vAlign w:val="center"/>
                </w:tcPr>
                <w:p w14:paraId="1317D92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tc>
              <w:tc>
                <w:tcPr>
                  <w:tcW w:w="1112" w:type="dxa"/>
                  <w:vMerge w:val="restart"/>
                  <w:tcBorders>
                    <w:top w:val="single" w:color="auto" w:sz="4" w:space="0"/>
                    <w:left w:val="single" w:color="auto" w:sz="4" w:space="0"/>
                    <w:right w:val="nil"/>
                  </w:tcBorders>
                  <w:noWrap w:val="0"/>
                  <w:vAlign w:val="center"/>
                </w:tcPr>
                <w:p w14:paraId="00201D1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10月-4月</w:t>
                  </w:r>
                </w:p>
              </w:tc>
              <w:tc>
                <w:tcPr>
                  <w:tcW w:w="2197" w:type="dxa"/>
                  <w:vMerge w:val="restart"/>
                  <w:tcBorders>
                    <w:top w:val="single" w:color="auto" w:sz="4" w:space="0"/>
                    <w:left w:val="single" w:color="auto" w:sz="4" w:space="0"/>
                    <w:right w:val="nil"/>
                  </w:tcBorders>
                  <w:noWrap w:val="0"/>
                  <w:vAlign w:val="center"/>
                </w:tcPr>
                <w:p w14:paraId="0869C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rPr>
                  </w:pPr>
                  <w:r>
                    <w:rPr>
                      <w:rFonts w:hint="eastAsia" w:ascii="Times New Roman" w:hAnsi="Times New Roman" w:eastAsia="宋体" w:cs="Times New Roman"/>
                      <w:b w:val="0"/>
                      <w:bCs w:val="0"/>
                      <w:color w:val="auto"/>
                      <w:sz w:val="18"/>
                      <w:szCs w:val="18"/>
                      <w:highlight w:val="none"/>
                      <w:lang w:val="en-US" w:eastAsia="zh-CN"/>
                    </w:rPr>
                    <w:t>《工业炉窑大气污染物排放标准》（GB9078-1996）</w:t>
                  </w:r>
                </w:p>
              </w:tc>
            </w:tr>
            <w:tr w14:paraId="568201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74" w:type="dxa"/>
                  <w:vMerge w:val="continue"/>
                  <w:tcBorders>
                    <w:left w:val="nil"/>
                    <w:right w:val="single" w:color="auto" w:sz="4" w:space="0"/>
                  </w:tcBorders>
                  <w:noWrap w:val="0"/>
                  <w:vAlign w:val="center"/>
                </w:tcPr>
                <w:p w14:paraId="78862A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046" w:type="dxa"/>
                  <w:vMerge w:val="continue"/>
                  <w:tcBorders>
                    <w:left w:val="single" w:color="auto" w:sz="4" w:space="0"/>
                    <w:bottom w:val="single" w:color="auto" w:sz="4" w:space="0"/>
                    <w:right w:val="single" w:color="auto" w:sz="4" w:space="0"/>
                  </w:tcBorders>
                  <w:noWrap w:val="0"/>
                  <w:vAlign w:val="center"/>
                </w:tcPr>
                <w:p w14:paraId="57E4A5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888" w:type="dxa"/>
                  <w:tcBorders>
                    <w:top w:val="single" w:color="auto" w:sz="4" w:space="0"/>
                    <w:left w:val="single" w:color="auto" w:sz="4" w:space="0"/>
                    <w:bottom w:val="single" w:color="auto" w:sz="4" w:space="0"/>
                    <w:right w:val="single" w:color="auto" w:sz="4" w:space="0"/>
                  </w:tcBorders>
                  <w:noWrap w:val="0"/>
                  <w:vAlign w:val="center"/>
                </w:tcPr>
                <w:p w14:paraId="215D1C8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X</w:t>
                  </w:r>
                </w:p>
              </w:tc>
              <w:tc>
                <w:tcPr>
                  <w:tcW w:w="937" w:type="dxa"/>
                  <w:tcBorders>
                    <w:left w:val="single" w:color="auto" w:sz="4" w:space="0"/>
                    <w:bottom w:val="single" w:color="auto" w:sz="4" w:space="0"/>
                    <w:right w:val="single" w:color="auto" w:sz="4" w:space="0"/>
                  </w:tcBorders>
                  <w:noWrap w:val="0"/>
                  <w:vAlign w:val="center"/>
                </w:tcPr>
                <w:p w14:paraId="1A3F06EB">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月</w:t>
                  </w:r>
                </w:p>
              </w:tc>
              <w:tc>
                <w:tcPr>
                  <w:tcW w:w="1112" w:type="dxa"/>
                  <w:vMerge w:val="continue"/>
                  <w:tcBorders>
                    <w:left w:val="single" w:color="auto" w:sz="4" w:space="0"/>
                    <w:bottom w:val="single" w:color="auto" w:sz="4" w:space="0"/>
                    <w:right w:val="nil"/>
                  </w:tcBorders>
                  <w:noWrap w:val="0"/>
                  <w:vAlign w:val="center"/>
                </w:tcPr>
                <w:p w14:paraId="501E6AB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highlight w:val="none"/>
                      <w:lang w:val="en-US" w:eastAsia="zh-CN"/>
                    </w:rPr>
                  </w:pPr>
                </w:p>
              </w:tc>
              <w:tc>
                <w:tcPr>
                  <w:tcW w:w="2197" w:type="dxa"/>
                  <w:vMerge w:val="continue"/>
                  <w:tcBorders>
                    <w:left w:val="single" w:color="auto" w:sz="4" w:space="0"/>
                    <w:bottom w:val="single" w:color="auto" w:sz="4" w:space="0"/>
                    <w:right w:val="nil"/>
                  </w:tcBorders>
                  <w:noWrap w:val="0"/>
                  <w:vAlign w:val="center"/>
                </w:tcPr>
                <w:p w14:paraId="0A02D9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p>
              </w:tc>
            </w:tr>
          </w:tbl>
          <w:p w14:paraId="253181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5</w:t>
            </w:r>
            <w:r>
              <w:rPr>
                <w:rFonts w:hint="default"/>
                <w:b/>
                <w:bCs/>
                <w:color w:val="auto"/>
                <w:highlight w:val="none"/>
              </w:rPr>
              <w:t xml:space="preserve"> 无组织废气监测要求</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2108"/>
              <w:gridCol w:w="2109"/>
              <w:gridCol w:w="2109"/>
            </w:tblGrid>
            <w:tr w14:paraId="5D604D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0DAE0DB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监测点位</w:t>
                  </w:r>
                </w:p>
              </w:tc>
              <w:tc>
                <w:tcPr>
                  <w:tcW w:w="2108" w:type="dxa"/>
                  <w:noWrap w:val="0"/>
                  <w:vAlign w:val="center"/>
                </w:tcPr>
                <w:p w14:paraId="612AAB9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监测因子</w:t>
                  </w:r>
                </w:p>
              </w:tc>
              <w:tc>
                <w:tcPr>
                  <w:tcW w:w="2109" w:type="dxa"/>
                  <w:noWrap w:val="0"/>
                  <w:vAlign w:val="center"/>
                </w:tcPr>
                <w:p w14:paraId="57988633">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监测频次</w:t>
                  </w:r>
                </w:p>
              </w:tc>
              <w:tc>
                <w:tcPr>
                  <w:tcW w:w="2109" w:type="dxa"/>
                  <w:noWrap w:val="0"/>
                  <w:vAlign w:val="center"/>
                </w:tcPr>
                <w:p w14:paraId="635DDE34">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监测时间</w:t>
                  </w:r>
                </w:p>
              </w:tc>
            </w:tr>
            <w:tr w14:paraId="285C21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7CCDC60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厂界</w:t>
                  </w:r>
                </w:p>
              </w:tc>
              <w:tc>
                <w:tcPr>
                  <w:tcW w:w="2108" w:type="dxa"/>
                  <w:noWrap w:val="0"/>
                  <w:vAlign w:val="center"/>
                </w:tcPr>
                <w:p w14:paraId="791004F4">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颗粒物</w:t>
                  </w:r>
                </w:p>
              </w:tc>
              <w:tc>
                <w:tcPr>
                  <w:tcW w:w="2109" w:type="dxa"/>
                  <w:noWrap w:val="0"/>
                  <w:vAlign w:val="center"/>
                </w:tcPr>
                <w:p w14:paraId="227AFB28">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default"/>
                      <w:color w:val="auto"/>
                      <w:sz w:val="18"/>
                      <w:szCs w:val="18"/>
                      <w:highlight w:val="none"/>
                    </w:rPr>
                    <w:t>1次/</w:t>
                  </w:r>
                  <w:r>
                    <w:rPr>
                      <w:rFonts w:hint="eastAsia"/>
                      <w:color w:val="auto"/>
                      <w:sz w:val="18"/>
                      <w:szCs w:val="18"/>
                      <w:highlight w:val="none"/>
                      <w:lang w:val="en-US" w:eastAsia="zh-CN"/>
                    </w:rPr>
                    <w:t>年</w:t>
                  </w:r>
                </w:p>
              </w:tc>
              <w:tc>
                <w:tcPr>
                  <w:tcW w:w="2109" w:type="dxa"/>
                  <w:noWrap w:val="0"/>
                  <w:vAlign w:val="center"/>
                </w:tcPr>
                <w:p w14:paraId="134286EA">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10月-4月</w:t>
                  </w:r>
                </w:p>
              </w:tc>
            </w:tr>
            <w:tr w14:paraId="4F459B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09780255">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工业炉窑周边</w:t>
                  </w:r>
                </w:p>
              </w:tc>
              <w:tc>
                <w:tcPr>
                  <w:tcW w:w="2108" w:type="dxa"/>
                  <w:shd w:val="clear" w:color="auto" w:fill="auto"/>
                  <w:noWrap w:val="0"/>
                  <w:vAlign w:val="center"/>
                </w:tcPr>
                <w:p w14:paraId="2A5212F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颗粒物</w:t>
                  </w:r>
                </w:p>
              </w:tc>
              <w:tc>
                <w:tcPr>
                  <w:tcW w:w="2109" w:type="dxa"/>
                  <w:shd w:val="clear" w:color="auto" w:fill="auto"/>
                  <w:noWrap w:val="0"/>
                  <w:vAlign w:val="center"/>
                </w:tcPr>
                <w:p w14:paraId="58FAECE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1次/</w:t>
                  </w:r>
                  <w:r>
                    <w:rPr>
                      <w:rFonts w:hint="eastAsia"/>
                      <w:color w:val="auto"/>
                      <w:sz w:val="18"/>
                      <w:szCs w:val="18"/>
                      <w:highlight w:val="none"/>
                      <w:lang w:val="en-US" w:eastAsia="zh-CN"/>
                    </w:rPr>
                    <w:t>年</w:t>
                  </w:r>
                </w:p>
              </w:tc>
              <w:tc>
                <w:tcPr>
                  <w:tcW w:w="2109" w:type="dxa"/>
                  <w:noWrap w:val="0"/>
                  <w:vAlign w:val="center"/>
                </w:tcPr>
                <w:p w14:paraId="3EC75C55">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lang w:val="en-US" w:eastAsia="zh-CN"/>
                    </w:rPr>
                  </w:pPr>
                  <w:r>
                    <w:rPr>
                      <w:rFonts w:hint="eastAsia"/>
                      <w:color w:val="auto"/>
                      <w:sz w:val="18"/>
                      <w:szCs w:val="18"/>
                      <w:highlight w:val="none"/>
                      <w:lang w:val="en-US" w:eastAsia="zh-CN"/>
                    </w:rPr>
                    <w:t>10月-4月</w:t>
                  </w:r>
                </w:p>
              </w:tc>
            </w:tr>
          </w:tbl>
          <w:p w14:paraId="3A11B1FD">
            <w:pPr>
              <w:keepNext w:val="0"/>
              <w:keepLines w:val="0"/>
              <w:suppressLineNumbers w:val="0"/>
              <w:adjustRightInd w:val="0"/>
              <w:snapToGrid w:val="0"/>
              <w:spacing w:before="0" w:beforeAutospacing="0" w:after="0" w:afterAutospacing="0" w:line="360" w:lineRule="auto"/>
              <w:ind w:left="0" w:right="0" w:firstLine="420" w:firstLineChars="200"/>
              <w:rPr>
                <w:rFonts w:hint="eastAsia" w:cs="Times New Roman"/>
                <w:bCs/>
                <w:color w:val="auto"/>
                <w:szCs w:val="21"/>
                <w:highlight w:val="none"/>
                <w:lang w:eastAsia="zh-CN"/>
              </w:rPr>
            </w:pPr>
            <w:r>
              <w:rPr>
                <w:rFonts w:hint="eastAsia" w:cs="Times New Roman"/>
                <w:bCs/>
                <w:color w:val="auto"/>
                <w:szCs w:val="21"/>
                <w:highlight w:val="none"/>
                <w:lang w:eastAsia="zh-CN"/>
              </w:rPr>
              <w:t>（</w:t>
            </w:r>
            <w:r>
              <w:rPr>
                <w:rFonts w:hint="eastAsia" w:cs="Times New Roman"/>
                <w:bCs/>
                <w:color w:val="auto"/>
                <w:szCs w:val="21"/>
                <w:highlight w:val="none"/>
                <w:lang w:val="en-US" w:eastAsia="zh-CN"/>
              </w:rPr>
              <w:t>5）废气处理技术</w:t>
            </w:r>
            <w:r>
              <w:rPr>
                <w:rFonts w:hint="eastAsia" w:cs="Times New Roman"/>
                <w:bCs/>
                <w:color w:val="auto"/>
                <w:szCs w:val="21"/>
                <w:highlight w:val="none"/>
                <w:lang w:eastAsia="zh-CN"/>
              </w:rPr>
              <w:t>可行性分析</w:t>
            </w:r>
          </w:p>
          <w:p w14:paraId="645BC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Times New Roman" w:hAnsi="Times New Roman"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lang w:val="en-US" w:eastAsia="zh-CN"/>
              </w:rPr>
              <w:t>《排污许可证申请与核发技术规范 工业炉窑》（HJ1121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2020）中对污染防治可行技术的要求，</w:t>
            </w: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lang w:val="en-US" w:eastAsia="zh-CN"/>
              </w:rPr>
              <w:t>项目燃生物质热风炉采取布袋除尘器处理烟气，属于可行技术。</w:t>
            </w:r>
          </w:p>
          <w:p w14:paraId="66915641">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eastAsia="zh-CN"/>
              </w:rPr>
              <w:t>烟囱</w:t>
            </w:r>
            <w:r>
              <w:rPr>
                <w:rFonts w:hint="default" w:ascii="Times New Roman" w:hAnsi="Times New Roman" w:eastAsia="宋体" w:cs="Times New Roman"/>
                <w:color w:val="auto"/>
                <w:sz w:val="21"/>
                <w:szCs w:val="21"/>
                <w:highlight w:val="none"/>
              </w:rPr>
              <w:t>设置合理性分析</w:t>
            </w:r>
          </w:p>
          <w:p w14:paraId="78EE0C33">
            <w:pPr>
              <w:pStyle w:val="49"/>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中对于</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的要求可知，</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应不低于</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m，并应高于周边200m范围最高建筑物高度3m以上，本项目</w:t>
            </w:r>
            <w:r>
              <w:rPr>
                <w:rFonts w:hint="eastAsia" w:ascii="Times New Roman" w:hAnsi="Times New Roman" w:cs="Times New Roman"/>
                <w:color w:val="auto"/>
                <w:sz w:val="21"/>
                <w:szCs w:val="21"/>
                <w:highlight w:val="none"/>
                <w:lang w:val="en-US" w:eastAsia="zh-CN"/>
              </w:rPr>
              <w:t>热风炉</w:t>
            </w:r>
            <w:r>
              <w:rPr>
                <w:rFonts w:hint="eastAsia"/>
                <w:color w:val="auto"/>
                <w:sz w:val="21"/>
                <w:szCs w:val="21"/>
                <w:highlight w:val="none"/>
                <w:lang w:val="en-US" w:eastAsia="zh-CN"/>
              </w:rPr>
              <w:t>烟囱</w:t>
            </w:r>
            <w:r>
              <w:rPr>
                <w:rFonts w:hint="eastAsia" w:ascii="Times New Roman" w:hAnsi="Times New Roman" w:eastAsia="宋体" w:cs="Times New Roman"/>
                <w:color w:val="auto"/>
                <w:sz w:val="21"/>
                <w:szCs w:val="21"/>
                <w:highlight w:val="none"/>
                <w:lang w:val="en-US" w:eastAsia="zh-CN"/>
              </w:rPr>
              <w:t>（DA00</w:t>
            </w:r>
            <w:r>
              <w:rPr>
                <w:rFonts w:hint="eastAsia" w:ascii="Times New Roman" w:hAnsi="Times New Roman"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高度</w:t>
            </w:r>
            <w:r>
              <w:rPr>
                <w:rFonts w:hint="eastAsia" w:ascii="Times New Roman" w:hAnsi="Times New Roman"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高于</w:t>
            </w:r>
            <w:r>
              <w:rPr>
                <w:rFonts w:hint="default" w:ascii="Times New Roman" w:hAnsi="Times New Roman" w:eastAsia="宋体" w:cs="Times New Roman"/>
                <w:color w:val="auto"/>
                <w:sz w:val="21"/>
                <w:szCs w:val="21"/>
                <w:highlight w:val="none"/>
                <w:lang w:val="en-US" w:eastAsia="zh-CN"/>
              </w:rPr>
              <w:t>周边200m范围内建筑物，因此本项目</w:t>
            </w:r>
            <w:r>
              <w:rPr>
                <w:rFonts w:hint="eastAsia" w:ascii="Times New Roman" w:hAnsi="Times New Roman" w:cs="Times New Roman"/>
                <w:color w:val="auto"/>
                <w:sz w:val="21"/>
                <w:szCs w:val="21"/>
                <w:highlight w:val="none"/>
                <w:lang w:val="en-US" w:eastAsia="zh-CN"/>
              </w:rPr>
              <w:t>热风炉烟囱</w:t>
            </w:r>
            <w:r>
              <w:rPr>
                <w:rFonts w:hint="default" w:ascii="Times New Roman" w:hAnsi="Times New Roman" w:eastAsia="宋体"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对于</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高度的要求。</w:t>
            </w:r>
          </w:p>
          <w:p w14:paraId="6F1E326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color w:val="auto"/>
                <w:highlight w:val="none"/>
              </w:rPr>
            </w:pPr>
            <w:r>
              <w:rPr>
                <w:rFonts w:hint="eastAsia" w:ascii="Times New Roman" w:hAnsi="Times New Roman" w:cs="Times New Roman"/>
                <w:b w:val="0"/>
                <w:bCs w:val="0"/>
                <w:color w:val="auto"/>
                <w:szCs w:val="21"/>
                <w:highlight w:val="none"/>
                <w:lang w:eastAsia="zh-CN"/>
              </w:rPr>
              <w:t>（</w:t>
            </w:r>
            <w:r>
              <w:rPr>
                <w:rFonts w:hint="eastAsia" w:cs="Times New Roman"/>
                <w:b w:val="0"/>
                <w:bCs w:val="0"/>
                <w:color w:val="auto"/>
                <w:szCs w:val="21"/>
                <w:highlight w:val="none"/>
                <w:lang w:val="en-US" w:eastAsia="zh-CN"/>
              </w:rPr>
              <w:t>7</w:t>
            </w:r>
            <w:r>
              <w:rPr>
                <w:rFonts w:hint="eastAsia" w:ascii="Times New Roman" w:hAnsi="Times New Roman" w:cs="Times New Roman"/>
                <w:b w:val="0"/>
                <w:bCs w:val="0"/>
                <w:color w:val="auto"/>
                <w:szCs w:val="21"/>
                <w:highlight w:val="none"/>
                <w:lang w:val="en-US" w:eastAsia="zh-CN"/>
              </w:rPr>
              <w:t>）</w:t>
            </w:r>
            <w:r>
              <w:rPr>
                <w:rFonts w:hint="default" w:ascii="Times New Roman" w:hAnsi="Times New Roman" w:cs="Times New Roman"/>
                <w:b w:val="0"/>
                <w:bCs w:val="0"/>
                <w:color w:val="auto"/>
                <w:szCs w:val="21"/>
                <w:highlight w:val="none"/>
              </w:rPr>
              <w:t>废气排放环境影响</w:t>
            </w:r>
          </w:p>
          <w:p w14:paraId="62CC4E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25m</w:t>
            </w:r>
            <w:r>
              <w:rPr>
                <w:rFonts w:hint="eastAsia" w:cs="Times New Roman"/>
                <w:color w:val="auto"/>
                <w:sz w:val="21"/>
                <w:szCs w:val="21"/>
                <w:highlight w:val="none"/>
                <w:lang w:eastAsia="zh-CN"/>
              </w:rPr>
              <w:t>烟囱</w:t>
            </w:r>
            <w:r>
              <w:rPr>
                <w:rFonts w:hint="eastAsia" w:cs="Times New Roman"/>
                <w:b w:val="0"/>
                <w:bCs w:val="0"/>
                <w:color w:val="auto"/>
                <w:sz w:val="21"/>
                <w:szCs w:val="21"/>
                <w:highlight w:val="none"/>
                <w:lang w:val="en-US" w:eastAsia="zh-CN"/>
              </w:rPr>
              <w:t>（DA001）</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w:t>
            </w:r>
            <w:r>
              <w:rPr>
                <w:rFonts w:hint="eastAsia" w:cs="Times New Roman"/>
                <w:color w:val="auto"/>
                <w:sz w:val="21"/>
                <w:szCs w:val="21"/>
                <w:highlight w:val="none"/>
                <w:lang w:val="en-US" w:eastAsia="zh-CN"/>
              </w:rPr>
              <w:t>筛分机</w:t>
            </w:r>
            <w:r>
              <w:rPr>
                <w:rFonts w:hint="eastAsia" w:ascii="Times New Roman" w:hAnsi="Times New Roman" w:cs="Times New Roman"/>
                <w:color w:val="auto"/>
                <w:sz w:val="21"/>
                <w:szCs w:val="21"/>
                <w:highlight w:val="none"/>
                <w:lang w:eastAsia="zh-CN"/>
              </w:rPr>
              <w:t>，产生的粉尘经设备自带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default" w:ascii="Times New Roman" w:hAnsi="Times New Roman" w:cs="Times New Roman"/>
                <w:color w:val="auto"/>
                <w:sz w:val="21"/>
                <w:szCs w:val="21"/>
                <w:highlight w:val="none"/>
                <w:lang w:eastAsia="zh-CN"/>
              </w:rPr>
              <w:t>。燃料库</w:t>
            </w:r>
            <w:r>
              <w:rPr>
                <w:rFonts w:hint="eastAsia" w:cs="Times New Roman"/>
                <w:color w:val="auto"/>
                <w:sz w:val="21"/>
                <w:szCs w:val="21"/>
                <w:highlight w:val="none"/>
                <w:lang w:eastAsia="zh-CN"/>
              </w:rPr>
              <w:t>、</w:t>
            </w:r>
            <w:r>
              <w:rPr>
                <w:rFonts w:hint="eastAsia" w:cs="Times New Roman"/>
                <w:bCs/>
                <w:color w:val="auto"/>
                <w:kern w:val="0"/>
                <w:sz w:val="21"/>
                <w:szCs w:val="21"/>
                <w:highlight w:val="none"/>
                <w:lang w:val="en-US" w:eastAsia="zh-CN"/>
              </w:rPr>
              <w:t>热风炉房</w:t>
            </w:r>
            <w:r>
              <w:rPr>
                <w:rFonts w:hint="default" w:ascii="Times New Roman" w:hAnsi="Times New Roman" w:cs="Times New Roman"/>
                <w:color w:val="auto"/>
                <w:sz w:val="21"/>
                <w:szCs w:val="21"/>
                <w:highlight w:val="none"/>
                <w:lang w:eastAsia="zh-CN"/>
              </w:rPr>
              <w:t>密闭并定期洒水抑尘，减少粉尘扩散，</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r>
              <w:rPr>
                <w:rFonts w:hint="eastAsia" w:cs="Times New Roman"/>
                <w:color w:val="auto"/>
                <w:sz w:val="18"/>
                <w:szCs w:val="18"/>
                <w:highlight w:val="none"/>
                <w:lang w:eastAsia="zh-CN"/>
              </w:rPr>
              <w:t>。</w:t>
            </w:r>
          </w:p>
          <w:p w14:paraId="4BECB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color w:val="auto"/>
                <w:sz w:val="21"/>
                <w:szCs w:val="21"/>
                <w:highlight w:val="none"/>
              </w:rPr>
              <w:t>综上所述，在落实污染防治措施的前提下，并保证环保设施正常运行，本项目排放的污染物对评价区域环境空气质量影响较小。</w:t>
            </w:r>
          </w:p>
          <w:p w14:paraId="4D63BF70">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2A754F0A">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w:t>
            </w:r>
          </w:p>
          <w:p w14:paraId="2A31EDF3">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-6 </w:t>
            </w:r>
            <w:r>
              <w:rPr>
                <w:rFonts w:hint="default"/>
                <w:b/>
                <w:bCs/>
                <w:color w:val="auto"/>
                <w:szCs w:val="21"/>
                <w:highlight w:val="none"/>
              </w:rPr>
              <w:t>废水污染源源强核算结果及相关参数一览表</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17"/>
              <w:gridCol w:w="359"/>
              <w:gridCol w:w="751"/>
              <w:gridCol w:w="792"/>
              <w:gridCol w:w="684"/>
              <w:gridCol w:w="921"/>
              <w:gridCol w:w="322"/>
              <w:gridCol w:w="333"/>
              <w:gridCol w:w="617"/>
              <w:gridCol w:w="845"/>
              <w:gridCol w:w="690"/>
            </w:tblGrid>
            <w:tr w14:paraId="428795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510" w:type="pct"/>
                  <w:vMerge w:val="restart"/>
                  <w:tcBorders>
                    <w:tl2br w:val="nil"/>
                    <w:tr2bl w:val="nil"/>
                  </w:tcBorders>
                  <w:vAlign w:val="center"/>
                </w:tcPr>
                <w:p w14:paraId="5F55FE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排放源</w:t>
                  </w:r>
                </w:p>
              </w:tc>
              <w:tc>
                <w:tcPr>
                  <w:tcW w:w="569" w:type="pct"/>
                  <w:vMerge w:val="restart"/>
                  <w:tcBorders>
                    <w:tl2br w:val="nil"/>
                    <w:tr2bl w:val="nil"/>
                  </w:tcBorders>
                  <w:vAlign w:val="center"/>
                </w:tcPr>
                <w:p w14:paraId="7F902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w:t>
                  </w:r>
                </w:p>
              </w:tc>
              <w:tc>
                <w:tcPr>
                  <w:tcW w:w="1605" w:type="pct"/>
                  <w:gridSpan w:val="4"/>
                  <w:tcBorders>
                    <w:tl2br w:val="nil"/>
                    <w:tr2bl w:val="nil"/>
                  </w:tcBorders>
                  <w:vAlign w:val="center"/>
                </w:tcPr>
                <w:p w14:paraId="0E6FA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污染物产生</w:t>
                  </w:r>
                </w:p>
              </w:tc>
              <w:tc>
                <w:tcPr>
                  <w:tcW w:w="771" w:type="pct"/>
                  <w:gridSpan w:val="2"/>
                  <w:tcBorders>
                    <w:tl2br w:val="nil"/>
                    <w:tr2bl w:val="nil"/>
                  </w:tcBorders>
                  <w:vAlign w:val="center"/>
                </w:tcPr>
                <w:p w14:paraId="2F389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治理措施</w:t>
                  </w:r>
                </w:p>
              </w:tc>
              <w:tc>
                <w:tcPr>
                  <w:tcW w:w="1542" w:type="pct"/>
                  <w:gridSpan w:val="4"/>
                  <w:tcBorders>
                    <w:tl2br w:val="nil"/>
                    <w:tr2bl w:val="nil"/>
                  </w:tcBorders>
                  <w:vAlign w:val="center"/>
                </w:tcPr>
                <w:p w14:paraId="7741CB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污染物</w:t>
                  </w:r>
                  <w:r>
                    <w:rPr>
                      <w:rFonts w:hint="default" w:ascii="Times New Roman" w:hAnsi="Times New Roman" w:cs="Times New Roman" w:eastAsiaTheme="minorEastAsia"/>
                      <w:color w:val="auto"/>
                      <w:sz w:val="18"/>
                      <w:szCs w:val="18"/>
                      <w:highlight w:val="none"/>
                      <w:lang w:val="en-US" w:eastAsia="zh-CN"/>
                    </w:rPr>
                    <w:t>排放</w:t>
                  </w:r>
                </w:p>
              </w:tc>
            </w:tr>
            <w:tr w14:paraId="380B02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1FA55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vMerge w:val="continue"/>
                  <w:tcBorders>
                    <w:tl2br w:val="nil"/>
                    <w:tr2bl w:val="nil"/>
                  </w:tcBorders>
                  <w:vAlign w:val="center"/>
                </w:tcPr>
                <w:p w14:paraId="0FEDC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222" w:type="pct"/>
                  <w:tcBorders>
                    <w:tl2br w:val="nil"/>
                    <w:tr2bl w:val="nil"/>
                  </w:tcBorders>
                  <w:vAlign w:val="center"/>
                </w:tcPr>
                <w:p w14:paraId="3AFFF3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466" w:type="pct"/>
                  <w:tcBorders>
                    <w:tl2br w:val="nil"/>
                    <w:tr2bl w:val="nil"/>
                  </w:tcBorders>
                  <w:vAlign w:val="center"/>
                </w:tcPr>
                <w:p w14:paraId="30E9F0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491" w:type="pct"/>
                  <w:tcBorders>
                    <w:tl2br w:val="nil"/>
                    <w:tr2bl w:val="nil"/>
                  </w:tcBorders>
                  <w:vAlign w:val="center"/>
                </w:tcPr>
                <w:p w14:paraId="3FBC9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w:t>
                  </w:r>
                </w:p>
                <w:p w14:paraId="44CDD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浓度mg/L</w:t>
                  </w:r>
                </w:p>
              </w:tc>
              <w:tc>
                <w:tcPr>
                  <w:tcW w:w="424" w:type="pct"/>
                  <w:tcBorders>
                    <w:tl2br w:val="nil"/>
                    <w:tr2bl w:val="nil"/>
                  </w:tcBorders>
                  <w:vAlign w:val="center"/>
                </w:tcPr>
                <w:p w14:paraId="765E28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产生量t/a</w:t>
                  </w:r>
                </w:p>
              </w:tc>
              <w:tc>
                <w:tcPr>
                  <w:tcW w:w="571" w:type="pct"/>
                  <w:tcBorders>
                    <w:tl2br w:val="nil"/>
                    <w:tr2bl w:val="nil"/>
                  </w:tcBorders>
                  <w:vAlign w:val="center"/>
                </w:tcPr>
                <w:p w14:paraId="0783A5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工艺</w:t>
                  </w:r>
                </w:p>
              </w:tc>
              <w:tc>
                <w:tcPr>
                  <w:tcW w:w="199" w:type="pct"/>
                  <w:tcBorders>
                    <w:tl2br w:val="nil"/>
                    <w:tr2bl w:val="nil"/>
                  </w:tcBorders>
                  <w:vAlign w:val="center"/>
                </w:tcPr>
                <w:p w14:paraId="54483E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效率</w:t>
                  </w:r>
                </w:p>
                <w:p w14:paraId="19081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w:t>
                  </w:r>
                </w:p>
              </w:tc>
              <w:tc>
                <w:tcPr>
                  <w:tcW w:w="206" w:type="pct"/>
                  <w:tcBorders>
                    <w:tl2br w:val="nil"/>
                    <w:tr2bl w:val="nil"/>
                  </w:tcBorders>
                  <w:vAlign w:val="center"/>
                </w:tcPr>
                <w:p w14:paraId="129C7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383" w:type="pct"/>
                  <w:tcBorders>
                    <w:tl2br w:val="nil"/>
                    <w:tr2bl w:val="nil"/>
                  </w:tcBorders>
                  <w:vAlign w:val="center"/>
                </w:tcPr>
                <w:p w14:paraId="39BD2E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524" w:type="pct"/>
                  <w:tcBorders>
                    <w:tl2br w:val="nil"/>
                    <w:tr2bl w:val="nil"/>
                  </w:tcBorders>
                  <w:vAlign w:val="center"/>
                </w:tcPr>
                <w:p w14:paraId="0C890D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排放浓度mg/L</w:t>
                  </w:r>
                </w:p>
              </w:tc>
              <w:tc>
                <w:tcPr>
                  <w:tcW w:w="428" w:type="pct"/>
                  <w:tcBorders>
                    <w:tl2br w:val="nil"/>
                    <w:tr2bl w:val="nil"/>
                  </w:tcBorders>
                  <w:vAlign w:val="center"/>
                </w:tcPr>
                <w:p w14:paraId="088D08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排放量t/a</w:t>
                  </w:r>
                </w:p>
              </w:tc>
            </w:tr>
            <w:tr w14:paraId="763187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restart"/>
                  <w:tcBorders>
                    <w:tl2br w:val="nil"/>
                    <w:tr2bl w:val="nil"/>
                  </w:tcBorders>
                  <w:vAlign w:val="center"/>
                </w:tcPr>
                <w:p w14:paraId="602B1F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lang w:eastAsia="zh-CN"/>
                    </w:rPr>
                    <w:t>生活污水</w:t>
                  </w:r>
                </w:p>
              </w:tc>
              <w:tc>
                <w:tcPr>
                  <w:tcW w:w="569" w:type="pct"/>
                  <w:tcBorders>
                    <w:tl2br w:val="nil"/>
                    <w:tr2bl w:val="nil"/>
                  </w:tcBorders>
                  <w:vAlign w:val="center"/>
                </w:tcPr>
                <w:p w14:paraId="53074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COD</w:t>
                  </w:r>
                </w:p>
              </w:tc>
              <w:tc>
                <w:tcPr>
                  <w:tcW w:w="222" w:type="pct"/>
                  <w:vMerge w:val="restart"/>
                  <w:tcBorders>
                    <w:tl2br w:val="nil"/>
                    <w:tr2bl w:val="nil"/>
                  </w:tcBorders>
                  <w:vAlign w:val="center"/>
                </w:tcPr>
                <w:p w14:paraId="4A04F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类比法</w:t>
                  </w:r>
                </w:p>
              </w:tc>
              <w:tc>
                <w:tcPr>
                  <w:tcW w:w="466" w:type="pct"/>
                  <w:vMerge w:val="restart"/>
                  <w:tcBorders>
                    <w:tl2br w:val="nil"/>
                    <w:tr2bl w:val="nil"/>
                  </w:tcBorders>
                  <w:vAlign w:val="center"/>
                </w:tcPr>
                <w:p w14:paraId="13793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401.6</w:t>
                  </w:r>
                </w:p>
              </w:tc>
              <w:tc>
                <w:tcPr>
                  <w:tcW w:w="491" w:type="pct"/>
                  <w:tcBorders>
                    <w:tl2br w:val="nil"/>
                    <w:tr2bl w:val="nil"/>
                  </w:tcBorders>
                  <w:vAlign w:val="center"/>
                </w:tcPr>
                <w:p w14:paraId="3DC7C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300</w:t>
                  </w:r>
                </w:p>
              </w:tc>
              <w:tc>
                <w:tcPr>
                  <w:tcW w:w="424" w:type="pct"/>
                  <w:tcBorders>
                    <w:tl2br w:val="nil"/>
                    <w:tr2bl w:val="nil"/>
                  </w:tcBorders>
                  <w:vAlign w:val="center"/>
                </w:tcPr>
                <w:p w14:paraId="1FB1E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r>
                    <w:rPr>
                      <w:rFonts w:hint="eastAsia" w:ascii="Times New Roman" w:hAnsi="Times New Roman" w:cs="Times New Roman" w:eastAsiaTheme="minorEastAsia"/>
                      <w:color w:val="auto"/>
                      <w:kern w:val="0"/>
                      <w:sz w:val="18"/>
                      <w:szCs w:val="18"/>
                      <w:highlight w:val="none"/>
                      <w:shd w:val="clear" w:color="auto" w:fill="auto"/>
                      <w:lang w:val="en-US" w:eastAsia="zh-CN"/>
                    </w:rPr>
                    <w:t>0.12</w:t>
                  </w:r>
                </w:p>
              </w:tc>
              <w:tc>
                <w:tcPr>
                  <w:tcW w:w="571" w:type="pct"/>
                  <w:vMerge w:val="restart"/>
                  <w:tcBorders>
                    <w:tl2br w:val="nil"/>
                    <w:tr2bl w:val="nil"/>
                  </w:tcBorders>
                  <w:vAlign w:val="center"/>
                </w:tcPr>
                <w:p w14:paraId="029059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r>
                    <w:rPr>
                      <w:rFonts w:hint="default" w:ascii="Times New Roman" w:hAnsi="Times New Roman" w:cs="Times New Roman" w:eastAsiaTheme="minorEastAsia"/>
                      <w:color w:val="auto"/>
                      <w:kern w:val="0"/>
                      <w:sz w:val="18"/>
                      <w:szCs w:val="18"/>
                      <w:highlight w:val="none"/>
                    </w:rPr>
                    <w:t>/</w:t>
                  </w:r>
                </w:p>
              </w:tc>
              <w:tc>
                <w:tcPr>
                  <w:tcW w:w="199" w:type="pct"/>
                  <w:vMerge w:val="restart"/>
                  <w:tcBorders>
                    <w:tl2br w:val="nil"/>
                    <w:tr2bl w:val="nil"/>
                  </w:tcBorders>
                  <w:vAlign w:val="center"/>
                </w:tcPr>
                <w:p w14:paraId="08071B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kern w:val="0"/>
                      <w:sz w:val="18"/>
                      <w:szCs w:val="18"/>
                      <w:highlight w:val="none"/>
                    </w:rPr>
                  </w:pPr>
                  <w:r>
                    <w:rPr>
                      <w:rFonts w:hint="default" w:ascii="Times New Roman" w:hAnsi="Times New Roman" w:cs="Times New Roman" w:eastAsiaTheme="minorEastAsia"/>
                      <w:color w:val="auto"/>
                      <w:kern w:val="0"/>
                      <w:sz w:val="18"/>
                      <w:szCs w:val="18"/>
                      <w:highlight w:val="none"/>
                    </w:rPr>
                    <w:t>/</w:t>
                  </w:r>
                </w:p>
                <w:p w14:paraId="2422E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restart"/>
                  <w:tcBorders>
                    <w:tl2br w:val="nil"/>
                    <w:tr2bl w:val="nil"/>
                  </w:tcBorders>
                  <w:vAlign w:val="center"/>
                </w:tcPr>
                <w:p w14:paraId="785708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物料衡算法</w:t>
                  </w:r>
                </w:p>
              </w:tc>
              <w:tc>
                <w:tcPr>
                  <w:tcW w:w="383" w:type="pct"/>
                  <w:vMerge w:val="restart"/>
                  <w:tcBorders>
                    <w:tl2br w:val="nil"/>
                    <w:tr2bl w:val="nil"/>
                  </w:tcBorders>
                  <w:vAlign w:val="center"/>
                </w:tcPr>
                <w:p w14:paraId="009795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524" w:type="pct"/>
                  <w:tcBorders>
                    <w:tl2br w:val="nil"/>
                    <w:tr2bl w:val="nil"/>
                  </w:tcBorders>
                  <w:vAlign w:val="center"/>
                </w:tcPr>
                <w:p w14:paraId="34708E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511B8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543AE83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652D0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5D860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BOD</w:t>
                  </w:r>
                  <w:r>
                    <w:rPr>
                      <w:rFonts w:hint="default" w:ascii="Times New Roman" w:hAnsi="Times New Roman" w:cs="Times New Roman" w:eastAsiaTheme="minorEastAsia"/>
                      <w:color w:val="auto"/>
                      <w:sz w:val="18"/>
                      <w:szCs w:val="18"/>
                      <w:highlight w:val="none"/>
                      <w:vertAlign w:val="subscript"/>
                    </w:rPr>
                    <w:t>5</w:t>
                  </w:r>
                </w:p>
              </w:tc>
              <w:tc>
                <w:tcPr>
                  <w:tcW w:w="222" w:type="pct"/>
                  <w:vMerge w:val="continue"/>
                  <w:tcBorders>
                    <w:tl2br w:val="nil"/>
                    <w:tr2bl w:val="nil"/>
                  </w:tcBorders>
                  <w:vAlign w:val="center"/>
                </w:tcPr>
                <w:p w14:paraId="2DF72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2653B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91" w:type="pct"/>
                  <w:tcBorders>
                    <w:tl2br w:val="nil"/>
                    <w:tr2bl w:val="nil"/>
                  </w:tcBorders>
                  <w:vAlign w:val="center"/>
                </w:tcPr>
                <w:p w14:paraId="246B69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424" w:type="pct"/>
                  <w:tcBorders>
                    <w:tl2br w:val="nil"/>
                    <w:tr2bl w:val="nil"/>
                  </w:tcBorders>
                  <w:vAlign w:val="center"/>
                </w:tcPr>
                <w:p w14:paraId="4C817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0.08</w:t>
                  </w:r>
                </w:p>
              </w:tc>
              <w:tc>
                <w:tcPr>
                  <w:tcW w:w="571" w:type="pct"/>
                  <w:vMerge w:val="continue"/>
                  <w:tcBorders>
                    <w:tl2br w:val="nil"/>
                    <w:tr2bl w:val="nil"/>
                  </w:tcBorders>
                  <w:vAlign w:val="center"/>
                </w:tcPr>
                <w:p w14:paraId="22071D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09047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262BE6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6F8CED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3E9320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7487B0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4CB843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7E1EA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640B46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SS</w:t>
                  </w:r>
                </w:p>
              </w:tc>
              <w:tc>
                <w:tcPr>
                  <w:tcW w:w="222" w:type="pct"/>
                  <w:vMerge w:val="continue"/>
                  <w:tcBorders>
                    <w:tl2br w:val="nil"/>
                    <w:tr2bl w:val="nil"/>
                  </w:tcBorders>
                  <w:vAlign w:val="center"/>
                </w:tcPr>
                <w:p w14:paraId="77E31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7F0C6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91" w:type="pct"/>
                  <w:tcBorders>
                    <w:tl2br w:val="nil"/>
                    <w:tr2bl w:val="nil"/>
                  </w:tcBorders>
                  <w:vAlign w:val="center"/>
                </w:tcPr>
                <w:p w14:paraId="36E56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684" w:type="dxa"/>
                  <w:tcBorders>
                    <w:tl2br w:val="nil"/>
                    <w:tr2bl w:val="nil"/>
                  </w:tcBorders>
                  <w:vAlign w:val="center"/>
                </w:tcPr>
                <w:p w14:paraId="3FE75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0.08</w:t>
                  </w:r>
                </w:p>
              </w:tc>
              <w:tc>
                <w:tcPr>
                  <w:tcW w:w="571" w:type="pct"/>
                  <w:vMerge w:val="continue"/>
                  <w:tcBorders>
                    <w:tl2br w:val="nil"/>
                    <w:tr2bl w:val="nil"/>
                  </w:tcBorders>
                  <w:vAlign w:val="center"/>
                </w:tcPr>
                <w:p w14:paraId="365B76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54CB6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34606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223329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499AAE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480FDC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550A23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04830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732CA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氨氮</w:t>
                  </w:r>
                </w:p>
              </w:tc>
              <w:tc>
                <w:tcPr>
                  <w:tcW w:w="222" w:type="pct"/>
                  <w:vMerge w:val="continue"/>
                  <w:tcBorders>
                    <w:tl2br w:val="nil"/>
                    <w:tr2bl w:val="nil"/>
                  </w:tcBorders>
                  <w:vAlign w:val="center"/>
                </w:tcPr>
                <w:p w14:paraId="6012C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7407F1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91" w:type="pct"/>
                  <w:tcBorders>
                    <w:tl2br w:val="nil"/>
                    <w:tr2bl w:val="nil"/>
                  </w:tcBorders>
                  <w:vAlign w:val="center"/>
                </w:tcPr>
                <w:p w14:paraId="25A2E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25</w:t>
                  </w:r>
                </w:p>
              </w:tc>
              <w:tc>
                <w:tcPr>
                  <w:tcW w:w="424" w:type="pct"/>
                  <w:tcBorders>
                    <w:tl2br w:val="nil"/>
                    <w:tr2bl w:val="nil"/>
                  </w:tcBorders>
                  <w:vAlign w:val="center"/>
                </w:tcPr>
                <w:p w14:paraId="54F287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0.01</w:t>
                  </w:r>
                </w:p>
              </w:tc>
              <w:tc>
                <w:tcPr>
                  <w:tcW w:w="571" w:type="pct"/>
                  <w:vMerge w:val="continue"/>
                  <w:tcBorders>
                    <w:tl2br w:val="nil"/>
                    <w:tr2bl w:val="nil"/>
                  </w:tcBorders>
                  <w:vAlign w:val="center"/>
                </w:tcPr>
                <w:p w14:paraId="28232C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07CE4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23FB53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5A01EA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43A8F5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29CF8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bl>
          <w:p w14:paraId="5D6980C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本项目</w:t>
            </w:r>
            <w:r>
              <w:rPr>
                <w:rFonts w:hint="default" w:ascii="Times New Roman" w:hAnsi="Times New Roman" w:cs="Times New Roman"/>
                <w:color w:val="auto"/>
                <w:kern w:val="0"/>
                <w:sz w:val="21"/>
                <w:szCs w:val="21"/>
                <w:highlight w:val="none"/>
                <w:shd w:val="clear" w:color="auto" w:fill="auto"/>
              </w:rPr>
              <w:t>生活污水</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1.76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401.6t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kern w:val="0"/>
                <w:sz w:val="21"/>
                <w:szCs w:val="21"/>
                <w:highlight w:val="none"/>
                <w:shd w:val="clear" w:color="auto" w:fill="auto"/>
              </w:rPr>
              <w:t>，</w:t>
            </w:r>
            <w:r>
              <w:rPr>
                <w:rFonts w:hint="eastAsia"/>
                <w:color w:val="auto"/>
                <w:highlight w:val="none"/>
              </w:rPr>
              <w:t>参照《社会区域类环境影响评价》（主编：吴波，编制时间2007年）中给出的生活污水中各项污染物浓度</w:t>
            </w:r>
            <w:r>
              <w:rPr>
                <w:rFonts w:hint="eastAsia"/>
                <w:color w:val="auto"/>
                <w:highlight w:val="none"/>
                <w:lang w:eastAsia="zh-CN"/>
              </w:rPr>
              <w:t>，</w:t>
            </w:r>
            <w:r>
              <w:rPr>
                <w:rFonts w:hint="default" w:ascii="Times New Roman" w:hAnsi="Times New Roman" w:cs="Times New Roman"/>
                <w:color w:val="auto"/>
                <w:kern w:val="0"/>
                <w:sz w:val="21"/>
                <w:szCs w:val="21"/>
                <w:highlight w:val="none"/>
                <w:shd w:val="clear" w:color="auto" w:fill="auto"/>
              </w:rPr>
              <w:t>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浓度取值3</w:t>
            </w:r>
            <w:r>
              <w:rPr>
                <w:rFonts w:hint="default" w:ascii="Times New Roman" w:hAnsi="Times New Roman" w:cs="Times New Roman"/>
                <w:color w:val="auto"/>
                <w:kern w:val="0"/>
                <w:sz w:val="21"/>
                <w:szCs w:val="21"/>
                <w:highlight w:val="none"/>
                <w:shd w:val="clear" w:color="auto" w:fill="auto"/>
                <w:lang w:val="en-US" w:eastAsia="zh-CN"/>
              </w:rPr>
              <w:t>0</w:t>
            </w:r>
            <w:r>
              <w:rPr>
                <w:rFonts w:hint="default" w:ascii="Times New Roman" w:hAnsi="Times New Roman" w:cs="Times New Roman"/>
                <w:color w:val="auto"/>
                <w:kern w:val="0"/>
                <w:sz w:val="21"/>
                <w:szCs w:val="21"/>
                <w:highlight w:val="none"/>
                <w:shd w:val="clear" w:color="auto" w:fill="auto"/>
              </w:rPr>
              <w:t>0mg/L，氨氮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浓度取值25mg/L，BOD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浓度取值200mg/L，SS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w:t>
            </w:r>
            <w:r>
              <w:rPr>
                <w:rFonts w:hint="default" w:ascii="Times New Roman" w:hAnsi="Times New Roman" w:cs="Times New Roman"/>
                <w:color w:val="auto"/>
                <w:kern w:val="0"/>
                <w:sz w:val="21"/>
                <w:szCs w:val="21"/>
                <w:highlight w:val="none"/>
                <w:shd w:val="clear" w:color="auto" w:fill="auto"/>
                <w:lang w:val="en-US" w:eastAsia="zh-CN"/>
              </w:rPr>
              <w:t>2</w:t>
            </w:r>
            <w:r>
              <w:rPr>
                <w:rFonts w:hint="default" w:ascii="Times New Roman" w:hAnsi="Times New Roman" w:cs="Times New Roman"/>
                <w:color w:val="auto"/>
                <w:kern w:val="0"/>
                <w:sz w:val="21"/>
                <w:szCs w:val="21"/>
                <w:highlight w:val="none"/>
                <w:shd w:val="clear" w:color="auto" w:fill="auto"/>
              </w:rPr>
              <w:t>00mg/L。经计算生活污水COD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0.12</w:t>
            </w:r>
            <w:r>
              <w:rPr>
                <w:rFonts w:hint="default" w:ascii="Times New Roman" w:hAnsi="Times New Roman" w:cs="Times New Roman"/>
                <w:color w:val="auto"/>
                <w:kern w:val="0"/>
                <w:sz w:val="21"/>
                <w:szCs w:val="21"/>
                <w:highlight w:val="none"/>
                <w:shd w:val="clear" w:color="auto" w:fill="auto"/>
              </w:rPr>
              <w:t>t/a、氨氮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0.08</w:t>
            </w:r>
            <w:r>
              <w:rPr>
                <w:rFonts w:hint="default" w:ascii="Times New Roman" w:hAnsi="Times New Roman" w:cs="Times New Roman"/>
                <w:color w:val="auto"/>
                <w:kern w:val="0"/>
                <w:sz w:val="21"/>
                <w:szCs w:val="21"/>
                <w:highlight w:val="none"/>
                <w:shd w:val="clear" w:color="auto" w:fill="auto"/>
              </w:rPr>
              <w:t>t/a、SS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08</w:t>
            </w:r>
            <w:r>
              <w:rPr>
                <w:rFonts w:hint="default" w:ascii="Times New Roman" w:hAnsi="Times New Roman" w:cs="Times New Roman"/>
                <w:color w:val="auto"/>
                <w:kern w:val="0"/>
                <w:sz w:val="21"/>
                <w:szCs w:val="21"/>
                <w:highlight w:val="none"/>
                <w:shd w:val="clear" w:color="auto" w:fill="auto"/>
              </w:rPr>
              <w:t>t/a、BOD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.01</w:t>
            </w:r>
            <w:r>
              <w:rPr>
                <w:rFonts w:hint="default" w:ascii="Times New Roman" w:hAnsi="Times New Roman" w:cs="Times New Roman"/>
                <w:color w:val="auto"/>
                <w:kern w:val="0"/>
                <w:sz w:val="21"/>
                <w:szCs w:val="21"/>
                <w:highlight w:val="none"/>
                <w:shd w:val="clear" w:color="auto" w:fill="auto"/>
              </w:rPr>
              <w:t>t/a。</w:t>
            </w:r>
          </w:p>
          <w:p w14:paraId="2E9E5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2</w:t>
            </w: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污染防治措施及</w:t>
            </w:r>
            <w:r>
              <w:rPr>
                <w:rFonts w:hint="default"/>
                <w:bCs/>
                <w:color w:val="auto"/>
                <w:spacing w:val="0"/>
                <w:sz w:val="21"/>
                <w:szCs w:val="21"/>
                <w:highlight w:val="none"/>
              </w:rPr>
              <w:t>环境影响分析</w:t>
            </w:r>
          </w:p>
          <w:p w14:paraId="0073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color w:val="auto"/>
                <w:spacing w:val="0"/>
                <w:kern w:val="24"/>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r>
              <w:rPr>
                <w:rFonts w:hint="eastAsia"/>
                <w:color w:val="auto"/>
                <w:sz w:val="21"/>
                <w:szCs w:val="21"/>
                <w:highlight w:val="none"/>
              </w:rPr>
              <w:t>不会对周边地表水环境产生较大影响</w:t>
            </w:r>
            <w:r>
              <w:rPr>
                <w:rFonts w:hint="eastAsia" w:ascii="Times New Roman" w:hAnsi="Times New Roman" w:cs="Times New Roman"/>
                <w:bCs/>
                <w:color w:val="auto"/>
                <w:spacing w:val="-2"/>
                <w:szCs w:val="21"/>
                <w:highlight w:val="none"/>
                <w:lang w:eastAsia="zh-CN"/>
              </w:rPr>
              <w:t>。</w:t>
            </w:r>
          </w:p>
          <w:p w14:paraId="13ABC5D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
                <w:color w:val="auto"/>
                <w:szCs w:val="21"/>
                <w:highlight w:val="none"/>
              </w:rPr>
              <w:t>3、噪声</w:t>
            </w:r>
          </w:p>
          <w:p w14:paraId="1D8AFC8C">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（1）噪声污染源源强核算结果及相关参数见表4-</w:t>
            </w:r>
            <w:r>
              <w:rPr>
                <w:rFonts w:hint="eastAsia" w:cs="Times New Roman"/>
                <w:bCs/>
                <w:color w:val="auto"/>
                <w:szCs w:val="21"/>
                <w:highlight w:val="none"/>
                <w:lang w:val="en-US" w:eastAsia="zh-CN"/>
              </w:rPr>
              <w:t>7</w:t>
            </w:r>
            <w:r>
              <w:rPr>
                <w:rFonts w:hint="default" w:ascii="Times New Roman" w:hAnsi="Times New Roman" w:cs="Times New Roman"/>
                <w:bCs/>
                <w:color w:val="auto"/>
                <w:szCs w:val="21"/>
                <w:highlight w:val="none"/>
              </w:rPr>
              <w:t>。</w:t>
            </w:r>
          </w:p>
          <w:p w14:paraId="42B13E2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ascii="Times New Roman" w:hAnsi="Times New Roman" w:eastAsia="宋体" w:cs="Times New Roman"/>
                <w:b/>
                <w:color w:val="auto"/>
                <w:spacing w:val="0"/>
                <w:kern w:val="2"/>
                <w:sz w:val="21"/>
                <w:szCs w:val="21"/>
                <w:highlight w:val="none"/>
                <w:lang w:val="en-US" w:eastAsia="zh-CN" w:bidi="ar-SA"/>
              </w:rPr>
              <w:t>表4-</w:t>
            </w:r>
            <w:r>
              <w:rPr>
                <w:rFonts w:hint="eastAsia" w:cs="Times New Roman"/>
                <w:b/>
                <w:color w:val="auto"/>
                <w:spacing w:val="0"/>
                <w:kern w:val="2"/>
                <w:sz w:val="21"/>
                <w:szCs w:val="21"/>
                <w:highlight w:val="none"/>
                <w:lang w:val="en-US" w:eastAsia="zh-CN" w:bidi="ar-SA"/>
              </w:rPr>
              <w:t>7</w:t>
            </w:r>
            <w:r>
              <w:rPr>
                <w:rFonts w:hint="default"/>
                <w:b/>
                <w:color w:val="auto"/>
                <w:szCs w:val="21"/>
                <w:highlight w:val="none"/>
              </w:rPr>
              <w:t>污染源源强核算结果及相关参数一览表</w:t>
            </w:r>
          </w:p>
          <w:tbl>
            <w:tblPr>
              <w:tblStyle w:val="34"/>
              <w:tblW w:w="5000" w:type="pct"/>
              <w:jc w:val="center"/>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826"/>
              <w:gridCol w:w="1639"/>
              <w:gridCol w:w="1435"/>
              <w:gridCol w:w="1048"/>
              <w:gridCol w:w="995"/>
              <w:gridCol w:w="1051"/>
              <w:gridCol w:w="628"/>
            </w:tblGrid>
            <w:tr w14:paraId="54932B42">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tcBorders>
                    <w:left w:val="nil"/>
                    <w:right w:val="single" w:color="auto" w:sz="4" w:space="0"/>
                  </w:tcBorders>
                  <w:noWrap w:val="0"/>
                  <w:vAlign w:val="center"/>
                </w:tcPr>
                <w:p w14:paraId="4FB04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lang w:val="en-US" w:eastAsia="zh-CN"/>
                    </w:rPr>
                    <w:t>序号</w:t>
                  </w:r>
                </w:p>
              </w:tc>
              <w:tc>
                <w:tcPr>
                  <w:tcW w:w="512" w:type="pct"/>
                  <w:vMerge w:val="restart"/>
                  <w:tcBorders>
                    <w:left w:val="nil"/>
                    <w:right w:val="single" w:color="auto" w:sz="4" w:space="0"/>
                  </w:tcBorders>
                  <w:noWrap w:val="0"/>
                  <w:vAlign w:val="center"/>
                </w:tcPr>
                <w:p w14:paraId="2086A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工序/生产线</w:t>
                  </w:r>
                </w:p>
              </w:tc>
              <w:tc>
                <w:tcPr>
                  <w:tcW w:w="1017" w:type="pct"/>
                  <w:vMerge w:val="restart"/>
                  <w:tcBorders>
                    <w:left w:val="single" w:color="auto" w:sz="4" w:space="0"/>
                    <w:right w:val="single" w:color="auto" w:sz="4" w:space="0"/>
                  </w:tcBorders>
                  <w:noWrap w:val="0"/>
                  <w:vAlign w:val="center"/>
                </w:tcPr>
                <w:p w14:paraId="3B4EA5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噪声源</w:t>
                  </w:r>
                </w:p>
              </w:tc>
              <w:tc>
                <w:tcPr>
                  <w:tcW w:w="890" w:type="pct"/>
                  <w:tcBorders>
                    <w:left w:val="single" w:color="auto" w:sz="4" w:space="0"/>
                    <w:bottom w:val="single" w:color="auto" w:sz="4" w:space="0"/>
                    <w:right w:val="single" w:color="auto" w:sz="4" w:space="0"/>
                  </w:tcBorders>
                  <w:noWrap w:val="0"/>
                  <w:vAlign w:val="center"/>
                </w:tcPr>
                <w:p w14:paraId="131D2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噪声源源强</w:t>
                  </w:r>
                </w:p>
              </w:tc>
              <w:tc>
                <w:tcPr>
                  <w:tcW w:w="1268" w:type="pct"/>
                  <w:gridSpan w:val="2"/>
                  <w:tcBorders>
                    <w:left w:val="single" w:color="auto" w:sz="4" w:space="0"/>
                    <w:bottom w:val="single" w:color="auto" w:sz="4" w:space="0"/>
                    <w:right w:val="nil"/>
                  </w:tcBorders>
                  <w:noWrap w:val="0"/>
                  <w:vAlign w:val="center"/>
                </w:tcPr>
                <w:p w14:paraId="4996E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降噪措施</w:t>
                  </w:r>
                </w:p>
              </w:tc>
              <w:tc>
                <w:tcPr>
                  <w:tcW w:w="652" w:type="pct"/>
                  <w:tcBorders>
                    <w:left w:val="single" w:color="auto" w:sz="4" w:space="0"/>
                    <w:bottom w:val="single" w:color="auto" w:sz="4" w:space="0"/>
                    <w:right w:val="nil"/>
                  </w:tcBorders>
                  <w:noWrap w:val="0"/>
                  <w:vAlign w:val="center"/>
                </w:tcPr>
                <w:p w14:paraId="2E76A0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bCs/>
                      <w:color w:val="auto"/>
                      <w:sz w:val="18"/>
                      <w:szCs w:val="18"/>
                      <w:highlight w:val="none"/>
                    </w:rPr>
                    <w:t>噪声排放值</w:t>
                  </w:r>
                </w:p>
              </w:tc>
              <w:tc>
                <w:tcPr>
                  <w:tcW w:w="389" w:type="pct"/>
                  <w:vMerge w:val="restart"/>
                  <w:tcBorders>
                    <w:left w:val="single" w:color="auto" w:sz="4" w:space="0"/>
                    <w:right w:val="nil"/>
                  </w:tcBorders>
                  <w:noWrap w:val="0"/>
                  <w:vAlign w:val="center"/>
                </w:tcPr>
                <w:p w14:paraId="19548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运行时段</w:t>
                  </w:r>
                </w:p>
              </w:tc>
            </w:tr>
            <w:tr w14:paraId="472DFEBF">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tcBorders>
                    <w:left w:val="nil"/>
                    <w:bottom w:val="single" w:color="auto" w:sz="4" w:space="0"/>
                    <w:right w:val="single" w:color="auto" w:sz="4" w:space="0"/>
                  </w:tcBorders>
                  <w:noWrap w:val="0"/>
                  <w:vAlign w:val="center"/>
                </w:tcPr>
                <w:p w14:paraId="194CE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12" w:type="pct"/>
                  <w:vMerge w:val="continue"/>
                  <w:tcBorders>
                    <w:left w:val="nil"/>
                    <w:bottom w:val="single" w:color="auto" w:sz="4" w:space="0"/>
                    <w:right w:val="single" w:color="auto" w:sz="4" w:space="0"/>
                  </w:tcBorders>
                  <w:noWrap w:val="0"/>
                  <w:vAlign w:val="center"/>
                </w:tcPr>
                <w:p w14:paraId="0BAB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017" w:type="pct"/>
                  <w:vMerge w:val="continue"/>
                  <w:tcBorders>
                    <w:left w:val="single" w:color="auto" w:sz="4" w:space="0"/>
                    <w:bottom w:val="single" w:color="auto" w:sz="4" w:space="0"/>
                    <w:right w:val="single" w:color="auto" w:sz="4" w:space="0"/>
                  </w:tcBorders>
                  <w:noWrap w:val="0"/>
                  <w:vAlign w:val="center"/>
                </w:tcPr>
                <w:p w14:paraId="3762F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890" w:type="pct"/>
                  <w:tcBorders>
                    <w:top w:val="single" w:color="auto" w:sz="4" w:space="0"/>
                    <w:left w:val="single" w:color="auto" w:sz="4" w:space="0"/>
                    <w:bottom w:val="single" w:color="auto" w:sz="4" w:space="0"/>
                    <w:right w:val="single" w:color="auto" w:sz="4" w:space="0"/>
                  </w:tcBorders>
                  <w:noWrap w:val="0"/>
                  <w:vAlign w:val="center"/>
                </w:tcPr>
                <w:p w14:paraId="36D90D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噪声值</w:t>
                  </w:r>
                  <w:r>
                    <w:rPr>
                      <w:rFonts w:hint="default" w:ascii="Times New Roman" w:hAnsi="Times New Roman" w:eastAsia="宋体" w:cs="Times New Roman"/>
                      <w:color w:val="auto"/>
                      <w:spacing w:val="0"/>
                      <w:sz w:val="18"/>
                      <w:szCs w:val="18"/>
                      <w:highlight w:val="none"/>
                    </w:rPr>
                    <w:t>/dB(</w:t>
                  </w:r>
                  <w:r>
                    <w:rPr>
                      <w:rFonts w:hint="default" w:ascii="Times New Roman" w:hAnsi="Times New Roman" w:eastAsia="宋体" w:cs="Times New Roman"/>
                      <w:color w:val="auto"/>
                      <w:spacing w:val="0"/>
                      <w:sz w:val="18"/>
                      <w:szCs w:val="18"/>
                      <w:highlight w:val="none"/>
                      <w:lang w:val="en-US" w:eastAsia="zh-CN"/>
                    </w:rPr>
                    <w:t>A</w:t>
                  </w:r>
                  <w:r>
                    <w:rPr>
                      <w:rFonts w:hint="default" w:ascii="Times New Roman" w:hAnsi="Times New Roman" w:eastAsia="宋体" w:cs="Times New Roman"/>
                      <w:color w:val="auto"/>
                      <w:spacing w:val="0"/>
                      <w:sz w:val="18"/>
                      <w:szCs w:val="18"/>
                      <w:highlight w:val="none"/>
                    </w:rPr>
                    <w:t>)</w:t>
                  </w:r>
                </w:p>
              </w:tc>
              <w:tc>
                <w:tcPr>
                  <w:tcW w:w="650" w:type="pct"/>
                  <w:tcBorders>
                    <w:top w:val="single" w:color="auto" w:sz="4" w:space="0"/>
                    <w:left w:val="single" w:color="auto" w:sz="4" w:space="0"/>
                    <w:bottom w:val="single" w:color="auto" w:sz="4" w:space="0"/>
                    <w:right w:val="nil"/>
                  </w:tcBorders>
                  <w:noWrap w:val="0"/>
                  <w:vAlign w:val="center"/>
                </w:tcPr>
                <w:p w14:paraId="2D7E9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bCs/>
                      <w:color w:val="auto"/>
                      <w:sz w:val="18"/>
                      <w:szCs w:val="18"/>
                      <w:highlight w:val="none"/>
                    </w:rPr>
                    <w:t>工艺</w:t>
                  </w:r>
                </w:p>
              </w:tc>
              <w:tc>
                <w:tcPr>
                  <w:tcW w:w="617" w:type="pct"/>
                  <w:tcBorders>
                    <w:left w:val="single" w:color="auto" w:sz="4" w:space="0"/>
                    <w:bottom w:val="single" w:color="auto" w:sz="4" w:space="0"/>
                    <w:right w:val="nil"/>
                  </w:tcBorders>
                  <w:noWrap w:val="0"/>
                  <w:vAlign w:val="center"/>
                </w:tcPr>
                <w:p w14:paraId="3854CC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bCs/>
                      <w:color w:val="auto"/>
                      <w:sz w:val="18"/>
                      <w:szCs w:val="18"/>
                      <w:highlight w:val="none"/>
                    </w:rPr>
                    <w:t>降噪效果/(dB)</w:t>
                  </w:r>
                </w:p>
              </w:tc>
              <w:tc>
                <w:tcPr>
                  <w:tcW w:w="652" w:type="pct"/>
                  <w:tcBorders>
                    <w:top w:val="single" w:color="auto" w:sz="4" w:space="0"/>
                    <w:left w:val="single" w:color="auto" w:sz="4" w:space="0"/>
                    <w:bottom w:val="single" w:color="auto" w:sz="4" w:space="0"/>
                    <w:right w:val="nil"/>
                  </w:tcBorders>
                  <w:noWrap w:val="0"/>
                  <w:vAlign w:val="center"/>
                </w:tcPr>
                <w:p w14:paraId="1A713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bCs/>
                      <w:color w:val="auto"/>
                      <w:sz w:val="18"/>
                      <w:szCs w:val="18"/>
                      <w:highlight w:val="none"/>
                    </w:rPr>
                    <w:t>噪声值/(dB)</w:t>
                  </w:r>
                </w:p>
              </w:tc>
              <w:tc>
                <w:tcPr>
                  <w:tcW w:w="389" w:type="pct"/>
                  <w:vMerge w:val="continue"/>
                  <w:tcBorders>
                    <w:left w:val="single" w:color="auto" w:sz="4" w:space="0"/>
                    <w:bottom w:val="single" w:color="auto" w:sz="4" w:space="0"/>
                    <w:right w:val="nil"/>
                  </w:tcBorders>
                  <w:noWrap w:val="0"/>
                  <w:vAlign w:val="center"/>
                </w:tcPr>
                <w:p w14:paraId="2ACE89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p>
              </w:tc>
            </w:tr>
            <w:tr w14:paraId="504FA688">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top w:val="single" w:color="auto" w:sz="4" w:space="0"/>
                    <w:left w:val="nil"/>
                    <w:right w:val="single" w:color="auto" w:sz="4" w:space="0"/>
                  </w:tcBorders>
                  <w:noWrap w:val="0"/>
                  <w:vAlign w:val="center"/>
                </w:tcPr>
                <w:p w14:paraId="09AA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1</w:t>
                  </w:r>
                </w:p>
              </w:tc>
              <w:tc>
                <w:tcPr>
                  <w:tcW w:w="512" w:type="pct"/>
                  <w:vMerge w:val="restart"/>
                  <w:tcBorders>
                    <w:top w:val="single" w:color="auto" w:sz="4" w:space="0"/>
                    <w:left w:val="nil"/>
                    <w:right w:val="single" w:color="auto" w:sz="4" w:space="0"/>
                  </w:tcBorders>
                  <w:noWrap w:val="0"/>
                  <w:vAlign w:val="center"/>
                </w:tcPr>
                <w:p w14:paraId="73C302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烘干</w:t>
                  </w:r>
                </w:p>
                <w:p w14:paraId="553E5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工序</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64399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eastAsia" w:eastAsia="宋体"/>
                      <w:color w:val="auto"/>
                      <w:sz w:val="18"/>
                      <w:szCs w:val="18"/>
                      <w:lang w:val="en-US" w:eastAsia="zh-CN"/>
                    </w:rPr>
                    <w:t>提升机</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4626D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80</w:t>
                  </w:r>
                </w:p>
              </w:tc>
              <w:tc>
                <w:tcPr>
                  <w:tcW w:w="650" w:type="pct"/>
                  <w:tcBorders>
                    <w:top w:val="single" w:color="auto" w:sz="4" w:space="0"/>
                    <w:left w:val="single" w:color="auto" w:sz="4" w:space="0"/>
                    <w:right w:val="nil"/>
                  </w:tcBorders>
                  <w:noWrap w:val="0"/>
                  <w:vAlign w:val="center"/>
                </w:tcPr>
                <w:p w14:paraId="136B8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rPr>
                    <w:t>低噪声设备、基础减振</w:t>
                  </w:r>
                </w:p>
              </w:tc>
              <w:tc>
                <w:tcPr>
                  <w:tcW w:w="617" w:type="pct"/>
                  <w:tcBorders>
                    <w:top w:val="single" w:color="auto" w:sz="4" w:space="0"/>
                    <w:left w:val="single" w:color="auto" w:sz="4" w:space="0"/>
                    <w:right w:val="nil"/>
                  </w:tcBorders>
                  <w:noWrap w:val="0"/>
                  <w:vAlign w:val="center"/>
                </w:tcPr>
                <w:p w14:paraId="5AACEC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652" w:type="pct"/>
                  <w:tcBorders>
                    <w:top w:val="single" w:color="auto" w:sz="4" w:space="0"/>
                    <w:left w:val="single" w:color="auto" w:sz="4" w:space="0"/>
                    <w:right w:val="nil"/>
                  </w:tcBorders>
                  <w:noWrap w:val="0"/>
                  <w:vAlign w:val="center"/>
                </w:tcPr>
                <w:p w14:paraId="3C385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389" w:type="pct"/>
                  <w:vMerge w:val="restart"/>
                  <w:tcBorders>
                    <w:top w:val="single" w:color="auto" w:sz="4" w:space="0"/>
                    <w:left w:val="single" w:color="auto" w:sz="4" w:space="0"/>
                    <w:right w:val="nil"/>
                  </w:tcBorders>
                  <w:noWrap w:val="0"/>
                  <w:vAlign w:val="center"/>
                </w:tcPr>
                <w:p w14:paraId="340A2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5040</w:t>
                  </w:r>
                </w:p>
              </w:tc>
            </w:tr>
            <w:tr w14:paraId="26C3FEF3">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left w:val="nil"/>
                    <w:right w:val="single" w:color="auto" w:sz="4" w:space="0"/>
                  </w:tcBorders>
                  <w:noWrap w:val="0"/>
                  <w:vAlign w:val="center"/>
                </w:tcPr>
                <w:p w14:paraId="745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ascii="Times New Roman" w:hAnsi="Times New Roman" w:eastAsia="宋体" w:cs="Times New Roman"/>
                      <w:color w:val="auto"/>
                      <w:spacing w:val="0"/>
                      <w:sz w:val="18"/>
                      <w:szCs w:val="18"/>
                      <w:highlight w:val="none"/>
                      <w:lang w:val="en-US" w:eastAsia="zh-CN"/>
                    </w:rPr>
                    <w:t>2</w:t>
                  </w:r>
                </w:p>
              </w:tc>
              <w:tc>
                <w:tcPr>
                  <w:tcW w:w="512" w:type="pct"/>
                  <w:vMerge w:val="continue"/>
                  <w:tcBorders>
                    <w:left w:val="nil"/>
                    <w:right w:val="single" w:color="auto" w:sz="4" w:space="0"/>
                  </w:tcBorders>
                  <w:noWrap w:val="0"/>
                  <w:vAlign w:val="center"/>
                </w:tcPr>
                <w:p w14:paraId="5CFF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62F04B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eastAsia" w:eastAsia="宋体"/>
                      <w:color w:val="auto"/>
                      <w:sz w:val="18"/>
                      <w:szCs w:val="18"/>
                      <w:lang w:val="en-US" w:eastAsia="zh-CN"/>
                    </w:rPr>
                    <w:t>输送机</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132AE6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650" w:type="pct"/>
                  <w:tcBorders>
                    <w:left w:val="single" w:color="auto" w:sz="4" w:space="0"/>
                    <w:right w:val="nil"/>
                  </w:tcBorders>
                  <w:noWrap w:val="0"/>
                  <w:vAlign w:val="center"/>
                </w:tcPr>
                <w:p w14:paraId="76F589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低噪声设备、基础减振</w:t>
                  </w:r>
                </w:p>
              </w:tc>
              <w:tc>
                <w:tcPr>
                  <w:tcW w:w="617" w:type="pct"/>
                  <w:tcBorders>
                    <w:left w:val="single" w:color="auto" w:sz="4" w:space="0"/>
                    <w:right w:val="nil"/>
                  </w:tcBorders>
                  <w:noWrap w:val="0"/>
                  <w:vAlign w:val="center"/>
                </w:tcPr>
                <w:p w14:paraId="572F56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rPr>
                  </w:pPr>
                  <w:r>
                    <w:rPr>
                      <w:rFonts w:hint="eastAsia" w:cs="Times New Roman"/>
                      <w:color w:val="auto"/>
                      <w:spacing w:val="0"/>
                      <w:sz w:val="18"/>
                      <w:szCs w:val="18"/>
                      <w:highlight w:val="none"/>
                      <w:lang w:val="en-US" w:eastAsia="zh-CN"/>
                    </w:rPr>
                    <w:t>8</w:t>
                  </w:r>
                </w:p>
              </w:tc>
              <w:tc>
                <w:tcPr>
                  <w:tcW w:w="652" w:type="pct"/>
                  <w:tcBorders>
                    <w:left w:val="single" w:color="auto" w:sz="4" w:space="0"/>
                    <w:right w:val="nil"/>
                  </w:tcBorders>
                  <w:noWrap w:val="0"/>
                  <w:vAlign w:val="center"/>
                </w:tcPr>
                <w:p w14:paraId="06BBAD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62</w:t>
                  </w:r>
                </w:p>
              </w:tc>
              <w:tc>
                <w:tcPr>
                  <w:tcW w:w="389" w:type="pct"/>
                  <w:vMerge w:val="continue"/>
                  <w:tcBorders>
                    <w:left w:val="single" w:color="auto" w:sz="4" w:space="0"/>
                    <w:right w:val="nil"/>
                  </w:tcBorders>
                  <w:noWrap w:val="0"/>
                  <w:vAlign w:val="center"/>
                </w:tcPr>
                <w:p w14:paraId="3E48C3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r>
            <w:tr w14:paraId="5A5E1E8A">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top w:val="single" w:color="auto" w:sz="4" w:space="0"/>
                    <w:left w:val="nil"/>
                    <w:bottom w:val="single" w:color="auto" w:sz="4" w:space="0"/>
                    <w:right w:val="single" w:color="auto" w:sz="4" w:space="0"/>
                  </w:tcBorders>
                  <w:noWrap w:val="0"/>
                  <w:vAlign w:val="center"/>
                </w:tcPr>
                <w:p w14:paraId="32F0DC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3</w:t>
                  </w:r>
                </w:p>
              </w:tc>
              <w:tc>
                <w:tcPr>
                  <w:tcW w:w="512" w:type="pct"/>
                  <w:vMerge w:val="continue"/>
                  <w:tcBorders>
                    <w:left w:val="nil"/>
                    <w:right w:val="single" w:color="auto" w:sz="4" w:space="0"/>
                  </w:tcBorders>
                  <w:noWrap w:val="0"/>
                  <w:vAlign w:val="center"/>
                </w:tcPr>
                <w:p w14:paraId="6ACA7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3E26C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i w:val="0"/>
                      <w:iCs w:val="0"/>
                      <w:caps w:val="0"/>
                      <w:color w:val="auto"/>
                      <w:spacing w:val="0"/>
                      <w:kern w:val="0"/>
                      <w:sz w:val="18"/>
                      <w:szCs w:val="18"/>
                      <w:highlight w:val="none"/>
                      <w:u w:val="none"/>
                      <w:lang w:val="en-US" w:eastAsia="zh-CN" w:bidi="ar"/>
                    </w:rPr>
                  </w:pPr>
                  <w:r>
                    <w:rPr>
                      <w:rFonts w:hint="eastAsia" w:cs="Times New Roman"/>
                      <w:i w:val="0"/>
                      <w:iCs w:val="0"/>
                      <w:caps w:val="0"/>
                      <w:color w:val="auto"/>
                      <w:spacing w:val="0"/>
                      <w:kern w:val="0"/>
                      <w:sz w:val="18"/>
                      <w:szCs w:val="18"/>
                      <w:highlight w:val="none"/>
                      <w:u w:val="none"/>
                      <w:lang w:val="en-US" w:eastAsia="zh-CN" w:bidi="ar"/>
                    </w:rPr>
                    <w:t>初清筛</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5CED7B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650" w:type="pct"/>
                  <w:vMerge w:val="restart"/>
                  <w:tcBorders>
                    <w:left w:val="single" w:color="auto" w:sz="4" w:space="0"/>
                    <w:right w:val="nil"/>
                  </w:tcBorders>
                  <w:noWrap w:val="0"/>
                  <w:vAlign w:val="center"/>
                </w:tcPr>
                <w:p w14:paraId="0FC64E88">
                  <w:pPr>
                    <w:pStyle w:val="168"/>
                    <w:keepNext w:val="0"/>
                    <w:keepLines w:val="0"/>
                    <w:suppressLineNumbers w:val="0"/>
                    <w:spacing w:beforeAutospacing="0" w:afterAutospacing="0"/>
                    <w:ind w:left="0" w:right="0" w:firstLine="0" w:firstLineChars="0"/>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b w:val="0"/>
                      <w:color w:val="auto"/>
                      <w:spacing w:val="0"/>
                      <w:kern w:val="2"/>
                      <w:sz w:val="18"/>
                      <w:szCs w:val="18"/>
                      <w:highlight w:val="none"/>
                      <w:lang w:val="en-US" w:eastAsia="zh-CN" w:bidi="ar-SA"/>
                    </w:rPr>
                    <w:t>减振</w:t>
                  </w:r>
                  <w:r>
                    <w:rPr>
                      <w:rFonts w:hint="eastAsia" w:ascii="Times New Roman" w:hAnsi="Times New Roman" w:eastAsia="宋体" w:cs="Times New Roman"/>
                      <w:b w:val="0"/>
                      <w:color w:val="auto"/>
                      <w:spacing w:val="0"/>
                      <w:kern w:val="2"/>
                      <w:sz w:val="18"/>
                      <w:szCs w:val="18"/>
                      <w:highlight w:val="none"/>
                      <w:lang w:val="en-US" w:eastAsia="zh-CN" w:bidi="ar-SA"/>
                    </w:rPr>
                    <w:t>、塔体四周设置围挡隔声</w:t>
                  </w:r>
                </w:p>
              </w:tc>
              <w:tc>
                <w:tcPr>
                  <w:tcW w:w="617" w:type="pct"/>
                  <w:tcBorders>
                    <w:left w:val="single" w:color="auto" w:sz="4" w:space="0"/>
                    <w:right w:val="nil"/>
                  </w:tcBorders>
                  <w:noWrap w:val="0"/>
                  <w:vAlign w:val="center"/>
                </w:tcPr>
                <w:p w14:paraId="738EC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652" w:type="pct"/>
                  <w:tcBorders>
                    <w:left w:val="single" w:color="auto" w:sz="4" w:space="0"/>
                    <w:right w:val="nil"/>
                  </w:tcBorders>
                  <w:noWrap w:val="0"/>
                  <w:vAlign w:val="center"/>
                </w:tcPr>
                <w:p w14:paraId="3B71B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89" w:type="pct"/>
                  <w:vMerge w:val="continue"/>
                  <w:tcBorders>
                    <w:left w:val="single" w:color="auto" w:sz="4" w:space="0"/>
                    <w:right w:val="nil"/>
                  </w:tcBorders>
                  <w:noWrap w:val="0"/>
                  <w:vAlign w:val="center"/>
                </w:tcPr>
                <w:p w14:paraId="1E7B5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r w14:paraId="4379AF97">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top w:val="single" w:color="auto" w:sz="4" w:space="0"/>
                    <w:left w:val="nil"/>
                    <w:bottom w:val="single" w:color="auto" w:sz="4" w:space="0"/>
                    <w:right w:val="single" w:color="auto" w:sz="4" w:space="0"/>
                  </w:tcBorders>
                  <w:noWrap w:val="0"/>
                  <w:vAlign w:val="center"/>
                </w:tcPr>
                <w:p w14:paraId="27F20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w:t>
                  </w:r>
                </w:p>
              </w:tc>
              <w:tc>
                <w:tcPr>
                  <w:tcW w:w="512" w:type="pct"/>
                  <w:vMerge w:val="continue"/>
                  <w:tcBorders>
                    <w:left w:val="nil"/>
                    <w:right w:val="single" w:color="auto" w:sz="4" w:space="0"/>
                  </w:tcBorders>
                  <w:noWrap w:val="0"/>
                  <w:vAlign w:val="center"/>
                </w:tcPr>
                <w:p w14:paraId="34B32A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0DA8B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i w:val="0"/>
                      <w:iCs w:val="0"/>
                      <w:caps w:val="0"/>
                      <w:color w:val="auto"/>
                      <w:spacing w:val="0"/>
                      <w:kern w:val="0"/>
                      <w:sz w:val="18"/>
                      <w:szCs w:val="18"/>
                      <w:highlight w:val="none"/>
                      <w:u w:val="none"/>
                      <w:lang w:val="en-US" w:eastAsia="zh-CN" w:bidi="ar"/>
                    </w:rPr>
                  </w:pPr>
                  <w:r>
                    <w:rPr>
                      <w:rFonts w:hint="eastAsia" w:eastAsia="宋体"/>
                      <w:color w:val="auto"/>
                      <w:sz w:val="18"/>
                      <w:szCs w:val="18"/>
                      <w:lang w:val="en-US" w:eastAsia="zh-CN"/>
                    </w:rPr>
                    <w:t>烘干塔</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562F21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650" w:type="pct"/>
                  <w:vMerge w:val="continue"/>
                  <w:tcBorders>
                    <w:left w:val="single" w:color="auto" w:sz="4" w:space="0"/>
                    <w:right w:val="nil"/>
                  </w:tcBorders>
                  <w:noWrap w:val="0"/>
                  <w:vAlign w:val="center"/>
                </w:tcPr>
                <w:p w14:paraId="06FFB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617" w:type="pct"/>
                  <w:tcBorders>
                    <w:left w:val="single" w:color="auto" w:sz="4" w:space="0"/>
                    <w:right w:val="nil"/>
                  </w:tcBorders>
                  <w:noWrap w:val="0"/>
                  <w:vAlign w:val="center"/>
                </w:tcPr>
                <w:p w14:paraId="5903D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652" w:type="pct"/>
                  <w:tcBorders>
                    <w:left w:val="single" w:color="auto" w:sz="4" w:space="0"/>
                    <w:right w:val="nil"/>
                  </w:tcBorders>
                  <w:noWrap w:val="0"/>
                  <w:vAlign w:val="center"/>
                </w:tcPr>
                <w:p w14:paraId="5025C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89" w:type="pct"/>
                  <w:vMerge w:val="continue"/>
                  <w:tcBorders>
                    <w:left w:val="single" w:color="auto" w:sz="4" w:space="0"/>
                    <w:right w:val="nil"/>
                  </w:tcBorders>
                  <w:noWrap w:val="0"/>
                  <w:vAlign w:val="center"/>
                </w:tcPr>
                <w:p w14:paraId="4BCD9D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r w14:paraId="4DB35E25">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top w:val="single" w:color="auto" w:sz="4" w:space="0"/>
                    <w:left w:val="nil"/>
                    <w:bottom w:val="single" w:color="auto" w:sz="4" w:space="0"/>
                    <w:right w:val="single" w:color="auto" w:sz="4" w:space="0"/>
                  </w:tcBorders>
                  <w:noWrap w:val="0"/>
                  <w:vAlign w:val="center"/>
                </w:tcPr>
                <w:p w14:paraId="30B76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w:t>
                  </w:r>
                </w:p>
              </w:tc>
              <w:tc>
                <w:tcPr>
                  <w:tcW w:w="512" w:type="pct"/>
                  <w:vMerge w:val="continue"/>
                  <w:tcBorders>
                    <w:left w:val="nil"/>
                    <w:right w:val="single" w:color="auto" w:sz="4" w:space="0"/>
                  </w:tcBorders>
                  <w:noWrap w:val="0"/>
                  <w:vAlign w:val="center"/>
                </w:tcPr>
                <w:p w14:paraId="62B11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561AEE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lang w:val="en-US" w:eastAsia="zh-CN"/>
                    </w:rPr>
                  </w:pPr>
                  <w:r>
                    <w:rPr>
                      <w:rFonts w:hint="eastAsia"/>
                      <w:color w:val="auto"/>
                      <w:sz w:val="18"/>
                      <w:szCs w:val="18"/>
                      <w:lang w:val="en-US" w:eastAsia="zh-CN"/>
                    </w:rPr>
                    <w:t>热风机</w:t>
                  </w:r>
                </w:p>
              </w:tc>
              <w:tc>
                <w:tcPr>
                  <w:tcW w:w="89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0E29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85</w:t>
                  </w:r>
                </w:p>
              </w:tc>
              <w:tc>
                <w:tcPr>
                  <w:tcW w:w="650" w:type="pct"/>
                  <w:vMerge w:val="restart"/>
                  <w:tcBorders>
                    <w:left w:val="single" w:color="auto" w:sz="4" w:space="0"/>
                    <w:right w:val="nil"/>
                  </w:tcBorders>
                  <w:shd w:val="clear" w:color="auto" w:fill="auto"/>
                  <w:noWrap w:val="0"/>
                  <w:vAlign w:val="center"/>
                </w:tcPr>
                <w:p w14:paraId="5B72B189">
                  <w:pPr>
                    <w:pStyle w:val="168"/>
                    <w:keepNext w:val="0"/>
                    <w:keepLines w:val="0"/>
                    <w:suppressLineNumbers w:val="0"/>
                    <w:spacing w:beforeAutospacing="0" w:afterAutospacing="0"/>
                    <w:ind w:left="0" w:right="0" w:firstLine="0" w:firstLineChars="0"/>
                    <w:rPr>
                      <w:rFonts w:hint="default" w:ascii="Times New Roman" w:hAnsi="Times New Roman" w:eastAsia="宋体" w:cs="Times New Roman"/>
                      <w:b w:val="0"/>
                      <w:color w:val="auto"/>
                      <w:spacing w:val="0"/>
                      <w:kern w:val="2"/>
                      <w:sz w:val="18"/>
                      <w:szCs w:val="18"/>
                      <w:highlight w:val="none"/>
                      <w:lang w:val="en-US" w:eastAsia="zh-CN" w:bidi="ar-SA"/>
                    </w:rPr>
                  </w:pPr>
                  <w:r>
                    <w:rPr>
                      <w:rFonts w:hint="eastAsia" w:ascii="Times New Roman" w:hAnsi="Times New Roman" w:eastAsia="宋体" w:cs="Times New Roman"/>
                      <w:b w:val="0"/>
                      <w:color w:val="auto"/>
                      <w:spacing w:val="0"/>
                      <w:kern w:val="2"/>
                      <w:sz w:val="18"/>
                      <w:szCs w:val="18"/>
                      <w:highlight w:val="none"/>
                      <w:lang w:val="en-US" w:eastAsia="zh-CN" w:bidi="ar-SA"/>
                    </w:rPr>
                    <w:t>进风口消声器、管道外壳阻尼</w:t>
                  </w:r>
                </w:p>
              </w:tc>
              <w:tc>
                <w:tcPr>
                  <w:tcW w:w="617" w:type="pct"/>
                  <w:tcBorders>
                    <w:left w:val="single" w:color="auto" w:sz="4" w:space="0"/>
                    <w:right w:val="nil"/>
                  </w:tcBorders>
                  <w:noWrap w:val="0"/>
                  <w:vAlign w:val="center"/>
                </w:tcPr>
                <w:p w14:paraId="02A58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12</w:t>
                  </w:r>
                </w:p>
              </w:tc>
              <w:tc>
                <w:tcPr>
                  <w:tcW w:w="652" w:type="pct"/>
                  <w:tcBorders>
                    <w:left w:val="single" w:color="auto" w:sz="4" w:space="0"/>
                    <w:right w:val="nil"/>
                  </w:tcBorders>
                  <w:noWrap w:val="0"/>
                  <w:vAlign w:val="center"/>
                </w:tcPr>
                <w:p w14:paraId="342E6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73</w:t>
                  </w:r>
                </w:p>
              </w:tc>
              <w:tc>
                <w:tcPr>
                  <w:tcW w:w="389" w:type="pct"/>
                  <w:vMerge w:val="continue"/>
                  <w:tcBorders>
                    <w:left w:val="single" w:color="auto" w:sz="4" w:space="0"/>
                    <w:right w:val="nil"/>
                  </w:tcBorders>
                  <w:noWrap w:val="0"/>
                  <w:vAlign w:val="center"/>
                </w:tcPr>
                <w:p w14:paraId="46A7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r w14:paraId="6DA8CF56">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tcBorders>
                    <w:top w:val="single" w:color="auto" w:sz="4" w:space="0"/>
                    <w:left w:val="nil"/>
                    <w:bottom w:val="single" w:color="auto" w:sz="4" w:space="0"/>
                    <w:right w:val="single" w:color="auto" w:sz="4" w:space="0"/>
                  </w:tcBorders>
                  <w:noWrap w:val="0"/>
                  <w:vAlign w:val="center"/>
                </w:tcPr>
                <w:p w14:paraId="388579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w:t>
                  </w:r>
                </w:p>
              </w:tc>
              <w:tc>
                <w:tcPr>
                  <w:tcW w:w="512" w:type="pct"/>
                  <w:vMerge w:val="continue"/>
                  <w:tcBorders>
                    <w:left w:val="nil"/>
                    <w:right w:val="single" w:color="auto" w:sz="4" w:space="0"/>
                  </w:tcBorders>
                  <w:noWrap w:val="0"/>
                  <w:vAlign w:val="center"/>
                </w:tcPr>
                <w:p w14:paraId="18F57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0CB3FA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lang w:val="en-US" w:eastAsia="zh-CN"/>
                    </w:rPr>
                  </w:pPr>
                  <w:r>
                    <w:rPr>
                      <w:rFonts w:hint="eastAsia"/>
                      <w:color w:val="auto"/>
                      <w:sz w:val="18"/>
                      <w:szCs w:val="18"/>
                      <w:lang w:val="en-US" w:eastAsia="zh-CN"/>
                    </w:rPr>
                    <w:t>冷风机</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7DE4D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50" w:type="pct"/>
                  <w:vMerge w:val="continue"/>
                  <w:tcBorders>
                    <w:left w:val="single" w:color="auto" w:sz="4" w:space="0"/>
                    <w:right w:val="nil"/>
                  </w:tcBorders>
                  <w:noWrap w:val="0"/>
                  <w:vAlign w:val="center"/>
                </w:tcPr>
                <w:p w14:paraId="42B9E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b w:val="0"/>
                      <w:bCs/>
                      <w:color w:val="auto"/>
                      <w:spacing w:val="0"/>
                      <w:kern w:val="2"/>
                      <w:sz w:val="18"/>
                      <w:szCs w:val="18"/>
                      <w:highlight w:val="none"/>
                      <w:lang w:val="en-US" w:eastAsia="zh-CN" w:bidi="ar-SA"/>
                    </w:rPr>
                  </w:pPr>
                </w:p>
              </w:tc>
              <w:tc>
                <w:tcPr>
                  <w:tcW w:w="617" w:type="pct"/>
                  <w:tcBorders>
                    <w:left w:val="single" w:color="auto" w:sz="4" w:space="0"/>
                    <w:right w:val="nil"/>
                  </w:tcBorders>
                  <w:noWrap w:val="0"/>
                  <w:vAlign w:val="center"/>
                </w:tcPr>
                <w:p w14:paraId="7617FD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12</w:t>
                  </w:r>
                </w:p>
              </w:tc>
              <w:tc>
                <w:tcPr>
                  <w:tcW w:w="652" w:type="pct"/>
                  <w:tcBorders>
                    <w:left w:val="single" w:color="auto" w:sz="4" w:space="0"/>
                    <w:right w:val="nil"/>
                  </w:tcBorders>
                  <w:noWrap w:val="0"/>
                  <w:vAlign w:val="center"/>
                </w:tcPr>
                <w:p w14:paraId="4BC587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73</w:t>
                  </w:r>
                </w:p>
              </w:tc>
              <w:tc>
                <w:tcPr>
                  <w:tcW w:w="389" w:type="pct"/>
                  <w:vMerge w:val="continue"/>
                  <w:tcBorders>
                    <w:left w:val="single" w:color="auto" w:sz="4" w:space="0"/>
                    <w:right w:val="nil"/>
                  </w:tcBorders>
                  <w:noWrap w:val="0"/>
                  <w:vAlign w:val="center"/>
                </w:tcPr>
                <w:p w14:paraId="5CEE26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r w14:paraId="6D825A8E">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8" w:type="pct"/>
                  <w:vMerge w:val="restart"/>
                  <w:tcBorders>
                    <w:top w:val="single" w:color="auto" w:sz="4" w:space="0"/>
                    <w:left w:val="nil"/>
                    <w:right w:val="single" w:color="auto" w:sz="4" w:space="0"/>
                  </w:tcBorders>
                  <w:noWrap w:val="0"/>
                  <w:vAlign w:val="center"/>
                </w:tcPr>
                <w:p w14:paraId="7ADC5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w:t>
                  </w:r>
                </w:p>
              </w:tc>
              <w:tc>
                <w:tcPr>
                  <w:tcW w:w="512" w:type="pct"/>
                  <w:vMerge w:val="restart"/>
                  <w:tcBorders>
                    <w:left w:val="nil"/>
                    <w:right w:val="single" w:color="auto" w:sz="4" w:space="0"/>
                  </w:tcBorders>
                  <w:noWrap w:val="0"/>
                  <w:vAlign w:val="center"/>
                </w:tcPr>
                <w:p w14:paraId="07F1C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bCs/>
                      <w:color w:val="auto"/>
                      <w:kern w:val="0"/>
                      <w:sz w:val="18"/>
                      <w:szCs w:val="18"/>
                      <w:highlight w:val="none"/>
                      <w:lang w:val="en-US" w:eastAsia="zh-CN"/>
                    </w:rPr>
                    <w:t>热风炉房</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28C30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热风炉</w:t>
                  </w:r>
                  <w:r>
                    <w:rPr>
                      <w:rFonts w:hint="default" w:ascii="Times New Roman" w:hAnsi="Times New Roman" w:eastAsia="宋体" w:cs="Times New Roman"/>
                      <w:color w:val="auto"/>
                      <w:spacing w:val="0"/>
                      <w:sz w:val="18"/>
                      <w:szCs w:val="18"/>
                      <w:highlight w:val="none"/>
                      <w:lang w:val="en-US" w:eastAsia="zh-CN"/>
                    </w:rPr>
                    <w:t>风机</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1DFBE9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50" w:type="pct"/>
                  <w:tcBorders>
                    <w:left w:val="single" w:color="auto" w:sz="4" w:space="0"/>
                    <w:right w:val="nil"/>
                  </w:tcBorders>
                  <w:noWrap w:val="0"/>
                  <w:vAlign w:val="center"/>
                </w:tcPr>
                <w:p w14:paraId="0926AAB8">
                  <w:pPr>
                    <w:pStyle w:val="168"/>
                    <w:keepNext w:val="0"/>
                    <w:keepLines w:val="0"/>
                    <w:suppressLineNumbers w:val="0"/>
                    <w:spacing w:beforeAutospacing="0" w:afterAutospacing="0"/>
                    <w:ind w:left="0" w:right="0" w:firstLine="0" w:firstLineChars="0"/>
                    <w:rPr>
                      <w:rFonts w:hint="default" w:ascii="Times New Roman" w:hAnsi="Times New Roman" w:eastAsia="宋体" w:cs="Times New Roman"/>
                      <w:b w:val="0"/>
                      <w:bCs/>
                      <w:color w:val="auto"/>
                      <w:spacing w:val="0"/>
                      <w:kern w:val="2"/>
                      <w:sz w:val="18"/>
                      <w:szCs w:val="18"/>
                      <w:highlight w:val="none"/>
                      <w:lang w:val="en-US" w:eastAsia="zh-CN" w:bidi="ar-SA"/>
                    </w:rPr>
                  </w:pPr>
                  <w:r>
                    <w:rPr>
                      <w:rFonts w:hint="eastAsia" w:ascii="Times New Roman" w:hAnsi="Times New Roman" w:eastAsia="宋体" w:cs="Times New Roman"/>
                      <w:b w:val="0"/>
                      <w:bCs/>
                      <w:color w:val="auto"/>
                      <w:spacing w:val="0"/>
                      <w:kern w:val="2"/>
                      <w:sz w:val="18"/>
                      <w:szCs w:val="18"/>
                      <w:highlight w:val="none"/>
                      <w:lang w:val="en-US" w:eastAsia="zh-CN" w:bidi="ar-SA"/>
                    </w:rPr>
                    <w:t>进风口消声器、管道外壳阻尼</w:t>
                  </w:r>
                  <w:r>
                    <w:rPr>
                      <w:rFonts w:hint="eastAsia" w:cs="Times New Roman"/>
                      <w:b w:val="0"/>
                      <w:bCs/>
                      <w:color w:val="auto"/>
                      <w:spacing w:val="0"/>
                      <w:kern w:val="2"/>
                      <w:sz w:val="18"/>
                      <w:szCs w:val="18"/>
                      <w:highlight w:val="none"/>
                      <w:lang w:val="en-US" w:eastAsia="zh-CN" w:bidi="ar-SA"/>
                    </w:rPr>
                    <w:t>、厂房隔声</w:t>
                  </w:r>
                </w:p>
              </w:tc>
              <w:tc>
                <w:tcPr>
                  <w:tcW w:w="617" w:type="pct"/>
                  <w:tcBorders>
                    <w:left w:val="single" w:color="auto" w:sz="4" w:space="0"/>
                    <w:right w:val="nil"/>
                  </w:tcBorders>
                  <w:noWrap w:val="0"/>
                  <w:vAlign w:val="center"/>
                </w:tcPr>
                <w:p w14:paraId="10EE0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12</w:t>
                  </w:r>
                </w:p>
              </w:tc>
              <w:tc>
                <w:tcPr>
                  <w:tcW w:w="652" w:type="pct"/>
                  <w:tcBorders>
                    <w:left w:val="single" w:color="auto" w:sz="4" w:space="0"/>
                    <w:right w:val="nil"/>
                  </w:tcBorders>
                  <w:noWrap w:val="0"/>
                  <w:vAlign w:val="center"/>
                </w:tcPr>
                <w:p w14:paraId="394D80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73</w:t>
                  </w:r>
                </w:p>
              </w:tc>
              <w:tc>
                <w:tcPr>
                  <w:tcW w:w="389" w:type="pct"/>
                  <w:vMerge w:val="continue"/>
                  <w:tcBorders>
                    <w:left w:val="single" w:color="auto" w:sz="4" w:space="0"/>
                    <w:right w:val="nil"/>
                  </w:tcBorders>
                  <w:noWrap w:val="0"/>
                  <w:vAlign w:val="center"/>
                </w:tcPr>
                <w:p w14:paraId="7D90A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r w14:paraId="2F98214A">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tcBorders>
                    <w:left w:val="nil"/>
                    <w:bottom w:val="single" w:color="auto" w:sz="4" w:space="0"/>
                    <w:right w:val="single" w:color="auto" w:sz="4" w:space="0"/>
                  </w:tcBorders>
                  <w:noWrap w:val="0"/>
                  <w:vAlign w:val="center"/>
                </w:tcPr>
                <w:p w14:paraId="4C82A4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lang w:val="en-US" w:eastAsia="zh-CN"/>
                    </w:rPr>
                  </w:pPr>
                </w:p>
              </w:tc>
              <w:tc>
                <w:tcPr>
                  <w:tcW w:w="512" w:type="pct"/>
                  <w:vMerge w:val="continue"/>
                  <w:tcBorders>
                    <w:left w:val="nil"/>
                    <w:right w:val="single" w:color="auto" w:sz="4" w:space="0"/>
                  </w:tcBorders>
                  <w:noWrap w:val="0"/>
                  <w:vAlign w:val="center"/>
                </w:tcPr>
                <w:p w14:paraId="0C35C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bCs/>
                      <w:color w:val="auto"/>
                      <w:kern w:val="0"/>
                      <w:sz w:val="18"/>
                      <w:szCs w:val="18"/>
                      <w:highlight w:val="none"/>
                      <w:lang w:val="en-US" w:eastAsia="zh-CN"/>
                    </w:rPr>
                  </w:pPr>
                </w:p>
              </w:tc>
              <w:tc>
                <w:tcPr>
                  <w:tcW w:w="1017" w:type="pct"/>
                  <w:tcBorders>
                    <w:top w:val="single" w:color="auto" w:sz="4" w:space="0"/>
                    <w:left w:val="single" w:color="auto" w:sz="4" w:space="0"/>
                    <w:bottom w:val="single" w:color="auto" w:sz="4" w:space="0"/>
                    <w:right w:val="single" w:color="auto" w:sz="4" w:space="0"/>
                  </w:tcBorders>
                  <w:noWrap w:val="0"/>
                  <w:vAlign w:val="center"/>
                </w:tcPr>
                <w:p w14:paraId="124C7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热风炉</w:t>
                  </w:r>
                </w:p>
              </w:tc>
              <w:tc>
                <w:tcPr>
                  <w:tcW w:w="890" w:type="pct"/>
                  <w:tcBorders>
                    <w:top w:val="single" w:color="auto" w:sz="4" w:space="0"/>
                    <w:left w:val="single" w:color="auto" w:sz="4" w:space="0"/>
                    <w:bottom w:val="single" w:color="auto" w:sz="4" w:space="0"/>
                    <w:right w:val="single" w:color="auto" w:sz="4" w:space="0"/>
                  </w:tcBorders>
                  <w:noWrap w:val="0"/>
                  <w:vAlign w:val="center"/>
                </w:tcPr>
                <w:p w14:paraId="728B4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650" w:type="pct"/>
                  <w:tcBorders>
                    <w:left w:val="single" w:color="auto" w:sz="4" w:space="0"/>
                    <w:right w:val="nil"/>
                  </w:tcBorders>
                  <w:noWrap w:val="0"/>
                  <w:vAlign w:val="center"/>
                </w:tcPr>
                <w:p w14:paraId="0663FD78">
                  <w:pPr>
                    <w:pStyle w:val="168"/>
                    <w:keepNext w:val="0"/>
                    <w:keepLines w:val="0"/>
                    <w:suppressLineNumbers w:val="0"/>
                    <w:spacing w:beforeAutospacing="0" w:afterAutospacing="0"/>
                    <w:ind w:left="0" w:right="0" w:firstLine="0" w:firstLineChars="0"/>
                    <w:rPr>
                      <w:rFonts w:hint="default" w:ascii="Times New Roman" w:hAnsi="Times New Roman" w:eastAsia="宋体" w:cs="Times New Roman"/>
                      <w:b w:val="0"/>
                      <w:bCs/>
                      <w:color w:val="auto"/>
                      <w:spacing w:val="0"/>
                      <w:kern w:val="2"/>
                      <w:sz w:val="18"/>
                      <w:szCs w:val="18"/>
                      <w:highlight w:val="none"/>
                      <w:lang w:val="en-US" w:eastAsia="zh-CN" w:bidi="ar-SA"/>
                    </w:rPr>
                  </w:pPr>
                  <w:r>
                    <w:rPr>
                      <w:rFonts w:hint="eastAsia" w:cs="Times New Roman"/>
                      <w:b w:val="0"/>
                      <w:bCs/>
                      <w:color w:val="auto"/>
                      <w:spacing w:val="0"/>
                      <w:kern w:val="2"/>
                      <w:sz w:val="18"/>
                      <w:szCs w:val="18"/>
                      <w:highlight w:val="none"/>
                      <w:lang w:val="en-US" w:eastAsia="zh-CN" w:bidi="ar-SA"/>
                    </w:rPr>
                    <w:t>基础减震、厂房隔声</w:t>
                  </w:r>
                </w:p>
              </w:tc>
              <w:tc>
                <w:tcPr>
                  <w:tcW w:w="617" w:type="pct"/>
                  <w:tcBorders>
                    <w:left w:val="single" w:color="auto" w:sz="4" w:space="0"/>
                    <w:right w:val="nil"/>
                  </w:tcBorders>
                  <w:noWrap w:val="0"/>
                  <w:vAlign w:val="center"/>
                </w:tcPr>
                <w:p w14:paraId="4898A5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652" w:type="pct"/>
                  <w:tcBorders>
                    <w:left w:val="single" w:color="auto" w:sz="4" w:space="0"/>
                    <w:right w:val="nil"/>
                  </w:tcBorders>
                  <w:noWrap w:val="0"/>
                  <w:vAlign w:val="center"/>
                </w:tcPr>
                <w:p w14:paraId="7276CF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89" w:type="pct"/>
                  <w:vMerge w:val="continue"/>
                  <w:tcBorders>
                    <w:left w:val="single" w:color="auto" w:sz="4" w:space="0"/>
                    <w:right w:val="nil"/>
                  </w:tcBorders>
                  <w:noWrap w:val="0"/>
                  <w:vAlign w:val="center"/>
                </w:tcPr>
                <w:p w14:paraId="088E2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p>
              </w:tc>
            </w:tr>
          </w:tbl>
          <w:p w14:paraId="233B8AAD">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①预测模式</w:t>
            </w:r>
          </w:p>
          <w:p w14:paraId="0E78B4D2">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lang w:val="en-US" w:eastAsia="zh-CN" w:bidi="ar-SA"/>
              </w:rPr>
              <w:t>根据《环境影响评价技术导则声环境》（HJ2.4-2021），预测点的A声级</w:t>
            </w:r>
            <w:r>
              <w:rPr>
                <w:rFonts w:hint="default" w:ascii="Times New Roman" w:hAnsi="Times New Roman" w:eastAsia="宋体" w:cs="Times New Roman"/>
                <w:color w:val="auto"/>
                <w:kern w:val="2"/>
                <w:sz w:val="21"/>
                <w:szCs w:val="21"/>
                <w:highlight w:val="none"/>
                <w:lang w:val="en-US" w:eastAsia="zh-CN" w:bidi="ar-SA"/>
              </w:rPr>
              <w:object>
                <v:shape id="_x0000_i1027" o:spt="75" type="#_x0000_t75" style="height:17.25pt;width:30.75pt;" o:ole="t" fillcolor="#6D6D6D" filled="f" o:preferrelative="t" stroked="f" coordsize="21600,21600">
                  <v:path/>
                  <v:fill on="f" focussize="0,0"/>
                  <v:stroke on="f"/>
                  <v:imagedata r:id="rId23" o:title=""/>
                  <o:lock v:ext="edit" aspectratio="t"/>
                  <w10:wrap type="none"/>
                  <w10:anchorlock/>
                </v:shape>
                <o:OLEObject Type="Embed" ProgID="Equation.3" ShapeID="_x0000_i1027" DrawAspect="Content" ObjectID="_1468075727" r:id="rId22">
                  <o:LockedField>false</o:LockedField>
                </o:OLEObject>
              </w:object>
            </w:r>
            <w:r>
              <w:rPr>
                <w:rFonts w:hint="default" w:ascii="Times New Roman" w:hAnsi="Times New Roman" w:eastAsia="宋体" w:cs="Times New Roman"/>
                <w:color w:val="auto"/>
                <w:kern w:val="2"/>
                <w:sz w:val="21"/>
                <w:szCs w:val="21"/>
                <w:highlight w:val="none"/>
                <w:lang w:val="en-US" w:eastAsia="zh-CN" w:bidi="ar-SA"/>
              </w:rPr>
              <w:t>可按下式计算，即将8个倍频带声压级合成，计算出预测点的A声级</w:t>
            </w:r>
            <w:r>
              <w:rPr>
                <w:rFonts w:hint="default" w:ascii="Times New Roman" w:hAnsi="Times New Roman" w:eastAsia="宋体" w:cs="Times New Roman"/>
                <w:color w:val="auto"/>
                <w:kern w:val="2"/>
                <w:sz w:val="21"/>
                <w:szCs w:val="21"/>
                <w:highlight w:val="none"/>
                <w:lang w:val="en-US" w:eastAsia="zh-CN" w:bidi="ar-SA"/>
              </w:rPr>
              <w:object>
                <v:shape id="_x0000_i1028" o:spt="75" type="#_x0000_t75" style="height:17.25pt;width:30.75pt;" o:ole="t" fillcolor="#6D6D6D" filled="f" o:preferrelative="t" stroked="f" coordsize="21600,21600">
                  <v:path/>
                  <v:fill on="f" focussize="0,0"/>
                  <v:stroke on="f"/>
                  <v:imagedata r:id="rId25" o:title=""/>
                  <o:lock v:ext="edit" aspectratio="t"/>
                  <w10:wrap type="none"/>
                  <w10:anchorlock/>
                </v:shape>
                <o:OLEObject Type="Embed" ProgID="Equation.3" ShapeID="_x0000_i1028" DrawAspect="Content" ObjectID="_1468075728" r:id="rId24">
                  <o:LockedField>false</o:LockedField>
                </o:OLEObject>
              </w:object>
            </w:r>
            <w:r>
              <w:rPr>
                <w:rFonts w:hint="default" w:ascii="Times New Roman" w:hAnsi="Times New Roman" w:eastAsia="宋体" w:cs="Times New Roman"/>
                <w:color w:val="auto"/>
                <w:kern w:val="2"/>
                <w:sz w:val="21"/>
                <w:szCs w:val="21"/>
                <w:highlight w:val="none"/>
                <w:lang w:val="en-US" w:eastAsia="zh-CN" w:bidi="ar-SA"/>
              </w:rPr>
              <w:t>：</w:t>
            </w:r>
          </w:p>
          <w:p w14:paraId="2B87CB14">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position w:val="-28"/>
                <w:highlight w:val="none"/>
              </w:rPr>
              <w:object>
                <v:shape id="_x0000_i1029" o:spt="75" type="#_x0000_t75" style="height:36pt;width:147pt;" o:ole="t" fillcolor="#6D6D6D" filled="f" o:preferrelative="t" stroked="f" coordsize="21600,21600">
                  <v:path/>
                  <v:fill on="f" focussize="0,0"/>
                  <v:stroke on="f"/>
                  <v:imagedata r:id="rId27" o:title=""/>
                  <o:lock v:ext="edit" aspectratio="t"/>
                  <w10:wrap type="none"/>
                  <w10:anchorlock/>
                </v:shape>
                <o:OLEObject Type="Embed" ProgID="Equation.3" ShapeID="_x0000_i1029" DrawAspect="Content" ObjectID="_1468075729" r:id="rId26">
                  <o:LockedField>false</o:LockedField>
                </o:OLEObject>
              </w:object>
            </w:r>
          </w:p>
          <w:p w14:paraId="410DFB0E">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式中：LA(r) ——距声源r 处的A 声级，dB(A)；</w:t>
            </w:r>
          </w:p>
          <w:p w14:paraId="608268E0">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Lpi(r) ——预测点（r）处，第i 倍频带声压级，dB；</w:t>
            </w:r>
          </w:p>
          <w:p w14:paraId="6588F774">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ΔLi ——第 i 倍频带的A 计权网络修正值，dB。</w:t>
            </w:r>
          </w:p>
          <w:p w14:paraId="2EA1C2F3">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预测点声压级公式为：</w:t>
            </w:r>
          </w:p>
          <w:p w14:paraId="440A2B2A">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3647440" cy="304800"/>
                  <wp:effectExtent l="0" t="0" r="10160" b="0"/>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pic:cNvPicPr>
                        </pic:nvPicPr>
                        <pic:blipFill>
                          <a:blip r:embed="rId28"/>
                          <a:stretch>
                            <a:fillRect/>
                          </a:stretch>
                        </pic:blipFill>
                        <pic:spPr>
                          <a:xfrm>
                            <a:off x="0" y="0"/>
                            <a:ext cx="3647440" cy="304800"/>
                          </a:xfrm>
                          <a:prstGeom prst="rect">
                            <a:avLst/>
                          </a:prstGeom>
                          <a:noFill/>
                          <a:ln>
                            <a:noFill/>
                          </a:ln>
                        </pic:spPr>
                      </pic:pic>
                    </a:graphicData>
                  </a:graphic>
                </wp:inline>
              </w:drawing>
            </w:r>
          </w:p>
          <w:p w14:paraId="0FF9B8A7">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式中：Lp(r)——预测点处声压级，dB；</w:t>
            </w:r>
          </w:p>
          <w:p w14:paraId="0BA06667">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Lp(r0)——参考位置r0处的声压级，dB；</w:t>
            </w:r>
          </w:p>
          <w:p w14:paraId="63EB70A9">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DC ——指向性校正，它描述点声源的等效连续声压级与产生声功率级Lw的全向点声源在规定方向的声级的偏差程度，dB；</w:t>
            </w:r>
          </w:p>
          <w:p w14:paraId="62EB8727">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Adiv——几何发散引起的衰减，dB；</w:t>
            </w:r>
          </w:p>
          <w:p w14:paraId="1DB4A3BE">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Aatm——大气吸收引起的衰减，dB；</w:t>
            </w:r>
          </w:p>
          <w:p w14:paraId="4041F202">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Agr——地面效应引起的衰减，dB；</w:t>
            </w:r>
          </w:p>
          <w:p w14:paraId="56AA9FFA">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Abar——障碍物屏蔽引起的衰减，dB；</w:t>
            </w:r>
          </w:p>
          <w:p w14:paraId="3F5D0E69">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Amisc——其他多方面效应引起的衰减，dB。</w:t>
            </w:r>
          </w:p>
          <w:p w14:paraId="1C725826">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A.无指向性点声源几何发散衰减公式</w:t>
            </w:r>
          </w:p>
          <w:p w14:paraId="19B100EA">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2106295" cy="361950"/>
                  <wp:effectExtent l="0" t="0" r="8255" b="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29"/>
                          <a:stretch>
                            <a:fillRect/>
                          </a:stretch>
                        </pic:blipFill>
                        <pic:spPr>
                          <a:xfrm>
                            <a:off x="0" y="0"/>
                            <a:ext cx="2106295" cy="361950"/>
                          </a:xfrm>
                          <a:prstGeom prst="rect">
                            <a:avLst/>
                          </a:prstGeom>
                          <a:noFill/>
                          <a:ln>
                            <a:noFill/>
                          </a:ln>
                        </pic:spPr>
                      </pic:pic>
                    </a:graphicData>
                  </a:graphic>
                </wp:inline>
              </w:drawing>
            </w:r>
          </w:p>
          <w:p w14:paraId="44CED2DD">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式中：Lp(r) ——预测点处声压级，dB；</w:t>
            </w:r>
          </w:p>
          <w:p w14:paraId="712C2997">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Lp(r0) ——参考位置r0处的声压级，dB； </w:t>
            </w:r>
          </w:p>
          <w:p w14:paraId="438937C3">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r ——预测点距声源的距离； </w:t>
            </w:r>
          </w:p>
          <w:p w14:paraId="2E8D5890">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r0——参考位置距声源的距离。</w:t>
            </w:r>
          </w:p>
          <w:p w14:paraId="11974163">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B.大气吸收引起的衰减</w:t>
            </w:r>
          </w:p>
          <w:p w14:paraId="05A38CA7">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09675" cy="476250"/>
                  <wp:effectExtent l="0" t="0" r="9525" b="0"/>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30"/>
                          <a:stretch>
                            <a:fillRect/>
                          </a:stretch>
                        </pic:blipFill>
                        <pic:spPr>
                          <a:xfrm>
                            <a:off x="0" y="0"/>
                            <a:ext cx="1209675" cy="476250"/>
                          </a:xfrm>
                          <a:prstGeom prst="rect">
                            <a:avLst/>
                          </a:prstGeom>
                          <a:noFill/>
                          <a:ln>
                            <a:noFill/>
                          </a:ln>
                        </pic:spPr>
                      </pic:pic>
                    </a:graphicData>
                  </a:graphic>
                </wp:inline>
              </w:drawing>
            </w:r>
          </w:p>
          <w:p w14:paraId="7FD0FFD3">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式中：a——与温度、湿度和声波频率有关的大气吸收衰减系数。</w:t>
            </w:r>
          </w:p>
          <w:p w14:paraId="15BB68A4">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C.地面效应衰减</w:t>
            </w:r>
          </w:p>
          <w:p w14:paraId="6C1E44C9">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object>
                <v:shape id="_x0000_i1030" o:spt="75" type="#_x0000_t75" style="height:30.75pt;width:143.3pt;" o:ole="t" fillcolor="#6D6D6D" filled="f" o:preferrelative="t" stroked="f" coordsize="21600,21600">
                  <v:path/>
                  <v:fill on="f" focussize="0,0"/>
                  <v:stroke on="f"/>
                  <v:imagedata r:id="rId32" o:title=""/>
                  <o:lock v:ext="edit" aspectratio="t"/>
                  <w10:wrap type="none"/>
                  <w10:anchorlock/>
                </v:shape>
                <o:OLEObject Type="Embed" ProgID="Equation.3" ShapeID="_x0000_i1030" DrawAspect="Content" ObjectID="_1468075730" r:id="rId31">
                  <o:LockedField>false</o:LockedField>
                </o:OLEObject>
              </w:object>
            </w:r>
          </w:p>
          <w:p w14:paraId="5B1DD011">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式中：hm—— 传播路径的平均离地高度，m。</w:t>
            </w:r>
          </w:p>
          <w:p w14:paraId="2DC507CD">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D.障碍物屏障引起的衰减</w:t>
            </w:r>
          </w:p>
          <w:p w14:paraId="1504603C">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object>
                <v:shape id="_x0000_i1031" o:spt="75" type="#_x0000_t75" style="height:33.75pt;width:227.25pt;" o:ole="t" fillcolor="#6D6D6D" filled="f" o:preferrelative="t" stroked="f" coordsize="21600,21600">
                  <v:path/>
                  <v:fill on="f" focussize="0,0"/>
                  <v:stroke on="f"/>
                  <v:imagedata r:id="rId34" o:title=""/>
                  <o:lock v:ext="edit" aspectratio="t"/>
                  <w10:wrap type="none"/>
                  <w10:anchorlock/>
                </v:shape>
                <o:OLEObject Type="Embed" ProgID="Equation.3" ShapeID="_x0000_i1031" DrawAspect="Content" ObjectID="_1468075731" r:id="rId33">
                  <o:LockedField>false</o:LockedField>
                </o:OLEObject>
              </w:object>
            </w:r>
          </w:p>
          <w:p w14:paraId="40534DA5">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式中：N1、N2、N3——三个传播途径的声程差δ1、δ2、δ3相应的菲涅尔数。</w:t>
            </w:r>
          </w:p>
          <w:p w14:paraId="7D8D929D">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②</w:t>
            </w:r>
            <w:r>
              <w:rPr>
                <w:rFonts w:hint="default" w:ascii="Times New Roman" w:hAnsi="Times New Roman" w:eastAsia="宋体" w:cs="Times New Roman"/>
                <w:color w:val="auto"/>
                <w:kern w:val="2"/>
                <w:sz w:val="21"/>
                <w:szCs w:val="21"/>
                <w:highlight w:val="none"/>
                <w:lang w:val="en-US" w:eastAsia="zh-CN" w:bidi="ar-SA"/>
              </w:rPr>
              <w:t>预测结果</w:t>
            </w:r>
          </w:p>
          <w:p w14:paraId="38A46836">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本次预测不考虑大气吸收、地面效应等衰减因素，仅考虑建筑隔声及距离衰减，预测结果见表4-</w:t>
            </w:r>
            <w:r>
              <w:rPr>
                <w:rFonts w:hint="eastAsia" w:ascii="Times New Roman" w:hAnsi="Times New Roman" w:eastAsia="宋体" w:cs="Times New Roman"/>
                <w:color w:val="auto"/>
                <w:kern w:val="2"/>
                <w:sz w:val="21"/>
                <w:szCs w:val="21"/>
                <w:highlight w:val="none"/>
                <w:lang w:val="en-US" w:eastAsia="zh-CN" w:bidi="ar-SA"/>
              </w:rPr>
              <w:t>8</w:t>
            </w:r>
            <w:r>
              <w:rPr>
                <w:rFonts w:hint="default" w:ascii="Times New Roman" w:hAnsi="Times New Roman" w:eastAsia="宋体" w:cs="Times New Roman"/>
                <w:color w:val="auto"/>
                <w:kern w:val="2"/>
                <w:sz w:val="21"/>
                <w:szCs w:val="21"/>
                <w:highlight w:val="none"/>
                <w:lang w:val="en-US" w:eastAsia="zh-CN" w:bidi="ar-SA"/>
              </w:rPr>
              <w:t>。</w:t>
            </w:r>
          </w:p>
          <w:p w14:paraId="6B7F6EAC">
            <w:pPr>
              <w:pStyle w:val="72"/>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ascii="Times New Roman" w:hAnsi="Times New Roman" w:eastAsia="宋体" w:cs="Times New Roman"/>
                <w:b/>
                <w:color w:val="auto"/>
                <w:kern w:val="2"/>
                <w:sz w:val="21"/>
                <w:szCs w:val="21"/>
                <w:highlight w:val="none"/>
                <w:lang w:val="en-US" w:eastAsia="zh-CN" w:bidi="ar-SA"/>
              </w:rPr>
              <w:t xml:space="preserve">-8 </w:t>
            </w:r>
            <w:r>
              <w:rPr>
                <w:rFonts w:hint="default" w:ascii="Times New Roman" w:hAnsi="Times New Roman" w:eastAsia="宋体" w:cs="Times New Roman"/>
                <w:b/>
                <w:color w:val="auto"/>
                <w:kern w:val="2"/>
                <w:sz w:val="21"/>
                <w:szCs w:val="21"/>
                <w:highlight w:val="none"/>
                <w:lang w:val="en-US" w:eastAsia="zh-CN" w:bidi="ar-SA"/>
              </w:rPr>
              <w:t>运营期间厂界噪声预测结果    单位：dB（A）</w:t>
            </w:r>
          </w:p>
          <w:tbl>
            <w:tblPr>
              <w:tblStyle w:val="35"/>
              <w:tblW w:w="8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964"/>
              <w:gridCol w:w="1342"/>
              <w:gridCol w:w="1342"/>
              <w:gridCol w:w="1343"/>
              <w:gridCol w:w="1343"/>
            </w:tblGrid>
            <w:tr w14:paraId="7699C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Merge w:val="restart"/>
                </w:tcPr>
                <w:p w14:paraId="57BFA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编号</w:t>
                  </w:r>
                </w:p>
              </w:tc>
              <w:tc>
                <w:tcPr>
                  <w:tcW w:w="1964" w:type="dxa"/>
                  <w:vMerge w:val="restart"/>
                </w:tcPr>
                <w:p w14:paraId="07368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预测点</w:t>
                  </w:r>
                </w:p>
              </w:tc>
              <w:tc>
                <w:tcPr>
                  <w:tcW w:w="2684" w:type="dxa"/>
                  <w:gridSpan w:val="2"/>
                </w:tcPr>
                <w:p w14:paraId="25EBB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贡献值</w:t>
                  </w:r>
                </w:p>
              </w:tc>
              <w:tc>
                <w:tcPr>
                  <w:tcW w:w="2686" w:type="dxa"/>
                  <w:gridSpan w:val="2"/>
                  <w:tcBorders>
                    <w:right w:val="nil"/>
                  </w:tcBorders>
                </w:tcPr>
                <w:p w14:paraId="2B0B0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标准值</w:t>
                  </w:r>
                </w:p>
              </w:tc>
            </w:tr>
            <w:tr w14:paraId="5D7CF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Merge w:val="continue"/>
                  <w:tcBorders>
                    <w:left w:val="nil"/>
                  </w:tcBorders>
                </w:tcPr>
                <w:p w14:paraId="45B3F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964" w:type="dxa"/>
                  <w:vMerge w:val="continue"/>
                </w:tcPr>
                <w:p w14:paraId="440D35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342" w:type="dxa"/>
                </w:tcPr>
                <w:p w14:paraId="3F62F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昼间</w:t>
                  </w:r>
                </w:p>
              </w:tc>
              <w:tc>
                <w:tcPr>
                  <w:tcW w:w="1342" w:type="dxa"/>
                </w:tcPr>
                <w:p w14:paraId="2370E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夜间</w:t>
                  </w:r>
                </w:p>
              </w:tc>
              <w:tc>
                <w:tcPr>
                  <w:tcW w:w="1343" w:type="dxa"/>
                  <w:shd w:val="clear" w:color="auto" w:fill="auto"/>
                  <w:vAlign w:val="top"/>
                </w:tcPr>
                <w:p w14:paraId="4D1C2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昼间</w:t>
                  </w:r>
                </w:p>
              </w:tc>
              <w:tc>
                <w:tcPr>
                  <w:tcW w:w="1343" w:type="dxa"/>
                  <w:tcBorders>
                    <w:right w:val="nil"/>
                  </w:tcBorders>
                  <w:shd w:val="clear" w:color="auto" w:fill="auto"/>
                  <w:vAlign w:val="top"/>
                </w:tcPr>
                <w:p w14:paraId="11D96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夜间</w:t>
                  </w:r>
                </w:p>
              </w:tc>
            </w:tr>
            <w:tr w14:paraId="0BF6C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Borders>
                    <w:left w:val="nil"/>
                  </w:tcBorders>
                  <w:vAlign w:val="center"/>
                </w:tcPr>
                <w:p w14:paraId="57EC4AD9">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eastAsia="仿宋"/>
                      <w:color w:val="auto"/>
                      <w:sz w:val="18"/>
                      <w:szCs w:val="18"/>
                      <w:highlight w:val="none"/>
                    </w:rPr>
                    <w:t>1</w:t>
                  </w:r>
                </w:p>
              </w:tc>
              <w:tc>
                <w:tcPr>
                  <w:tcW w:w="1964" w:type="dxa"/>
                  <w:vAlign w:val="center"/>
                </w:tcPr>
                <w:p w14:paraId="791FFA7E">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0"/>
                      <w:color w:val="auto"/>
                      <w:sz w:val="18"/>
                      <w:szCs w:val="18"/>
                      <w:highlight w:val="none"/>
                    </w:rPr>
                    <w:t>东侧厂界外1m</w:t>
                  </w:r>
                </w:p>
              </w:tc>
              <w:tc>
                <w:tcPr>
                  <w:tcW w:w="1342" w:type="dxa"/>
                  <w:vAlign w:val="center"/>
                </w:tcPr>
                <w:p w14:paraId="3F004221">
                  <w:pPr>
                    <w:pStyle w:val="92"/>
                    <w:keepNext w:val="0"/>
                    <w:keepLines w:val="0"/>
                    <w:suppressLineNumbers w:val="0"/>
                    <w:spacing w:before="0" w:beforeAutospacing="0" w:after="0" w:afterAutospacing="0"/>
                    <w:ind w:left="0" w:leftChars="0" w:right="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36.84</w:t>
                  </w:r>
                </w:p>
              </w:tc>
              <w:tc>
                <w:tcPr>
                  <w:tcW w:w="1342" w:type="dxa"/>
                  <w:vAlign w:val="center"/>
                </w:tcPr>
                <w:p w14:paraId="7E482BBD">
                  <w:pPr>
                    <w:pStyle w:val="92"/>
                    <w:keepNext w:val="0"/>
                    <w:keepLines w:val="0"/>
                    <w:suppressLineNumbers w:val="0"/>
                    <w:spacing w:before="0" w:beforeAutospacing="0" w:after="0" w:afterAutospacing="0"/>
                    <w:ind w:left="0" w:leftChars="0" w:right="0" w:rightChars="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36.84</w:t>
                  </w:r>
                </w:p>
              </w:tc>
              <w:tc>
                <w:tcPr>
                  <w:tcW w:w="1343" w:type="dxa"/>
                  <w:vAlign w:val="center"/>
                </w:tcPr>
                <w:p w14:paraId="37AA8535">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60</w:t>
                  </w:r>
                </w:p>
              </w:tc>
              <w:tc>
                <w:tcPr>
                  <w:tcW w:w="1343" w:type="dxa"/>
                  <w:tcBorders>
                    <w:right w:val="nil"/>
                  </w:tcBorders>
                  <w:vAlign w:val="center"/>
                </w:tcPr>
                <w:p w14:paraId="53EE99DB">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50</w:t>
                  </w:r>
                </w:p>
              </w:tc>
            </w:tr>
            <w:tr w14:paraId="49B7C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Borders>
                    <w:left w:val="nil"/>
                  </w:tcBorders>
                  <w:vAlign w:val="center"/>
                </w:tcPr>
                <w:p w14:paraId="2D62C27F">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eastAsia="仿宋"/>
                      <w:color w:val="auto"/>
                      <w:sz w:val="18"/>
                      <w:szCs w:val="18"/>
                      <w:highlight w:val="none"/>
                    </w:rPr>
                    <w:t>2</w:t>
                  </w:r>
                </w:p>
              </w:tc>
              <w:tc>
                <w:tcPr>
                  <w:tcW w:w="1964" w:type="dxa"/>
                  <w:vAlign w:val="center"/>
                </w:tcPr>
                <w:p w14:paraId="1BC5E37F">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0"/>
                      <w:color w:val="auto"/>
                      <w:sz w:val="18"/>
                      <w:szCs w:val="18"/>
                      <w:highlight w:val="none"/>
                    </w:rPr>
                    <w:t>南侧厂界外1m</w:t>
                  </w:r>
                </w:p>
              </w:tc>
              <w:tc>
                <w:tcPr>
                  <w:tcW w:w="1342" w:type="dxa"/>
                  <w:vAlign w:val="center"/>
                </w:tcPr>
                <w:p w14:paraId="1F86BCFD">
                  <w:pPr>
                    <w:pStyle w:val="92"/>
                    <w:keepNext w:val="0"/>
                    <w:keepLines w:val="0"/>
                    <w:suppressLineNumbers w:val="0"/>
                    <w:spacing w:before="0" w:beforeAutospacing="0" w:after="0" w:afterAutospacing="0"/>
                    <w:ind w:left="0" w:leftChars="0" w:right="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32.42</w:t>
                  </w:r>
                </w:p>
              </w:tc>
              <w:tc>
                <w:tcPr>
                  <w:tcW w:w="1342" w:type="dxa"/>
                  <w:shd w:val="clear" w:color="auto" w:fill="auto"/>
                  <w:vAlign w:val="center"/>
                </w:tcPr>
                <w:p w14:paraId="67083545">
                  <w:pPr>
                    <w:pStyle w:val="92"/>
                    <w:keepNext w:val="0"/>
                    <w:keepLines w:val="0"/>
                    <w:suppressLineNumbers w:val="0"/>
                    <w:spacing w:before="0" w:beforeAutospacing="0" w:after="0" w:afterAutospacing="0"/>
                    <w:ind w:left="0" w:leftChars="0" w:right="0" w:rightChars="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32.42</w:t>
                  </w:r>
                </w:p>
              </w:tc>
              <w:tc>
                <w:tcPr>
                  <w:tcW w:w="1343" w:type="dxa"/>
                  <w:vAlign w:val="center"/>
                </w:tcPr>
                <w:p w14:paraId="5A78BBB4">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60</w:t>
                  </w:r>
                </w:p>
              </w:tc>
              <w:tc>
                <w:tcPr>
                  <w:tcW w:w="1343" w:type="dxa"/>
                  <w:tcBorders>
                    <w:right w:val="nil"/>
                  </w:tcBorders>
                  <w:vAlign w:val="center"/>
                </w:tcPr>
                <w:p w14:paraId="06883C32">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50</w:t>
                  </w:r>
                </w:p>
              </w:tc>
            </w:tr>
            <w:tr w14:paraId="29ADD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Borders>
                    <w:left w:val="nil"/>
                  </w:tcBorders>
                  <w:vAlign w:val="center"/>
                </w:tcPr>
                <w:p w14:paraId="76D31ECC">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eastAsia="仿宋"/>
                      <w:color w:val="auto"/>
                      <w:sz w:val="18"/>
                      <w:szCs w:val="18"/>
                      <w:highlight w:val="none"/>
                    </w:rPr>
                    <w:t>3</w:t>
                  </w:r>
                </w:p>
              </w:tc>
              <w:tc>
                <w:tcPr>
                  <w:tcW w:w="1964" w:type="dxa"/>
                  <w:vAlign w:val="center"/>
                </w:tcPr>
                <w:p w14:paraId="03C5636C">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0"/>
                      <w:color w:val="auto"/>
                      <w:sz w:val="18"/>
                      <w:szCs w:val="18"/>
                      <w:highlight w:val="none"/>
                    </w:rPr>
                    <w:t>西侧厂界外1m</w:t>
                  </w:r>
                </w:p>
              </w:tc>
              <w:tc>
                <w:tcPr>
                  <w:tcW w:w="1342" w:type="dxa"/>
                  <w:vAlign w:val="center"/>
                </w:tcPr>
                <w:p w14:paraId="079C2397">
                  <w:pPr>
                    <w:pStyle w:val="92"/>
                    <w:keepNext w:val="0"/>
                    <w:keepLines w:val="0"/>
                    <w:suppressLineNumbers w:val="0"/>
                    <w:spacing w:before="0" w:beforeAutospacing="0" w:after="0" w:afterAutospacing="0"/>
                    <w:ind w:left="0" w:leftChars="0" w:right="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43.16</w:t>
                  </w:r>
                </w:p>
              </w:tc>
              <w:tc>
                <w:tcPr>
                  <w:tcW w:w="1342" w:type="dxa"/>
                  <w:vAlign w:val="center"/>
                </w:tcPr>
                <w:p w14:paraId="377338C3">
                  <w:pPr>
                    <w:pStyle w:val="92"/>
                    <w:keepNext w:val="0"/>
                    <w:keepLines w:val="0"/>
                    <w:suppressLineNumbers w:val="0"/>
                    <w:spacing w:before="0" w:beforeAutospacing="0" w:after="0" w:afterAutospacing="0"/>
                    <w:ind w:left="0" w:leftChars="0" w:right="0" w:rightChars="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43.16</w:t>
                  </w:r>
                </w:p>
              </w:tc>
              <w:tc>
                <w:tcPr>
                  <w:tcW w:w="1343" w:type="dxa"/>
                  <w:vAlign w:val="center"/>
                </w:tcPr>
                <w:p w14:paraId="683AF76E">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60</w:t>
                  </w:r>
                </w:p>
              </w:tc>
              <w:tc>
                <w:tcPr>
                  <w:tcW w:w="1343" w:type="dxa"/>
                  <w:tcBorders>
                    <w:right w:val="nil"/>
                  </w:tcBorders>
                  <w:vAlign w:val="center"/>
                </w:tcPr>
                <w:p w14:paraId="3F0DD235">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50</w:t>
                  </w:r>
                </w:p>
              </w:tc>
            </w:tr>
            <w:tr w14:paraId="29452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Borders>
                    <w:left w:val="nil"/>
                  </w:tcBorders>
                  <w:vAlign w:val="center"/>
                </w:tcPr>
                <w:p w14:paraId="216200AA">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eastAsia="仿宋"/>
                      <w:color w:val="auto"/>
                      <w:sz w:val="18"/>
                      <w:szCs w:val="18"/>
                      <w:highlight w:val="none"/>
                    </w:rPr>
                    <w:t>4</w:t>
                  </w:r>
                </w:p>
              </w:tc>
              <w:tc>
                <w:tcPr>
                  <w:tcW w:w="1964" w:type="dxa"/>
                  <w:vAlign w:val="center"/>
                </w:tcPr>
                <w:p w14:paraId="10195D08">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0"/>
                      <w:color w:val="auto"/>
                      <w:sz w:val="18"/>
                      <w:szCs w:val="18"/>
                      <w:highlight w:val="none"/>
                    </w:rPr>
                    <w:t>北侧厂界外1m</w:t>
                  </w:r>
                </w:p>
              </w:tc>
              <w:tc>
                <w:tcPr>
                  <w:tcW w:w="1342" w:type="dxa"/>
                  <w:vAlign w:val="center"/>
                </w:tcPr>
                <w:p w14:paraId="700C4ADD">
                  <w:pPr>
                    <w:pStyle w:val="92"/>
                    <w:keepNext w:val="0"/>
                    <w:keepLines w:val="0"/>
                    <w:suppressLineNumbers w:val="0"/>
                    <w:spacing w:before="0" w:beforeAutospacing="0" w:after="0" w:afterAutospacing="0"/>
                    <w:ind w:left="0" w:leftChars="0" w:right="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32.66</w:t>
                  </w:r>
                </w:p>
              </w:tc>
              <w:tc>
                <w:tcPr>
                  <w:tcW w:w="1342" w:type="dxa"/>
                  <w:shd w:val="clear" w:color="auto" w:fill="auto"/>
                  <w:vAlign w:val="center"/>
                </w:tcPr>
                <w:p w14:paraId="3DE7DECC">
                  <w:pPr>
                    <w:pStyle w:val="92"/>
                    <w:keepNext w:val="0"/>
                    <w:keepLines w:val="0"/>
                    <w:suppressLineNumbers w:val="0"/>
                    <w:spacing w:before="0" w:beforeAutospacing="0" w:after="0" w:afterAutospacing="0"/>
                    <w:ind w:left="0" w:leftChars="0" w:right="0" w:rightChars="0" w:firstLine="0" w:firstLineChars="0"/>
                    <w:jc w:val="center"/>
                    <w:rPr>
                      <w:rStyle w:val="170"/>
                      <w:rFonts w:hint="default" w:ascii="Times New Roman" w:hAnsi="Times New Roman" w:eastAsia="仿宋" w:cs="Times New Roman"/>
                      <w:color w:val="auto"/>
                      <w:sz w:val="18"/>
                      <w:szCs w:val="18"/>
                      <w:highlight w:val="none"/>
                      <w:lang w:val="en-US" w:eastAsia="zh-CN"/>
                    </w:rPr>
                  </w:pPr>
                  <w:r>
                    <w:rPr>
                      <w:rStyle w:val="170"/>
                      <w:rFonts w:hint="eastAsia" w:eastAsia="仿宋" w:cs="Times New Roman"/>
                      <w:color w:val="auto"/>
                      <w:sz w:val="18"/>
                      <w:szCs w:val="18"/>
                      <w:highlight w:val="none"/>
                      <w:lang w:val="en-US" w:eastAsia="zh-CN"/>
                    </w:rPr>
                    <w:t>32.66</w:t>
                  </w:r>
                </w:p>
              </w:tc>
              <w:tc>
                <w:tcPr>
                  <w:tcW w:w="1343" w:type="dxa"/>
                  <w:vAlign w:val="center"/>
                </w:tcPr>
                <w:p w14:paraId="6096FBB0">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60</w:t>
                  </w:r>
                </w:p>
              </w:tc>
              <w:tc>
                <w:tcPr>
                  <w:tcW w:w="1343" w:type="dxa"/>
                  <w:tcBorders>
                    <w:right w:val="nil"/>
                  </w:tcBorders>
                  <w:vAlign w:val="center"/>
                </w:tcPr>
                <w:p w14:paraId="7049F619">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0"/>
                      <w:rFonts w:hint="eastAsia" w:eastAsia="仿宋"/>
                      <w:color w:val="auto"/>
                      <w:sz w:val="18"/>
                      <w:szCs w:val="18"/>
                      <w:highlight w:val="none"/>
                      <w:lang w:val="en-US" w:eastAsia="zh-CN"/>
                    </w:rPr>
                    <w:t>50</w:t>
                  </w:r>
                </w:p>
              </w:tc>
            </w:tr>
          </w:tbl>
          <w:p w14:paraId="1F31B74C">
            <w:pPr>
              <w:pStyle w:val="72"/>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bCs/>
                <w:color w:val="auto"/>
                <w:szCs w:val="21"/>
                <w:highlight w:val="none"/>
              </w:rPr>
            </w:pPr>
            <w:r>
              <w:rPr>
                <w:rFonts w:hint="eastAsia" w:ascii="Times New Roman" w:hAnsi="Times New Roman" w:eastAsia="宋体" w:cs="Times New Roman"/>
                <w:b/>
                <w:color w:val="auto"/>
                <w:kern w:val="2"/>
                <w:sz w:val="21"/>
                <w:szCs w:val="21"/>
                <w:highlight w:val="none"/>
                <w:lang w:val="en-US" w:eastAsia="zh-CN" w:bidi="ar-SA"/>
              </w:rPr>
              <w:t>表4-9声环境保护目标噪声预测结果与达标分析表</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ascii="Times New Roman" w:eastAsia="宋体"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单位：dB（A）</w:t>
            </w:r>
          </w:p>
          <w:tbl>
            <w:tblPr>
              <w:tblStyle w:val="35"/>
              <w:tblW w:w="805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5"/>
              <w:gridCol w:w="825"/>
              <w:gridCol w:w="615"/>
              <w:gridCol w:w="615"/>
              <w:gridCol w:w="555"/>
              <w:gridCol w:w="600"/>
              <w:gridCol w:w="570"/>
              <w:gridCol w:w="615"/>
              <w:gridCol w:w="570"/>
              <w:gridCol w:w="555"/>
              <w:gridCol w:w="490"/>
              <w:gridCol w:w="544"/>
              <w:gridCol w:w="549"/>
              <w:gridCol w:w="578"/>
            </w:tblGrid>
            <w:tr w14:paraId="2B4C48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375" w:type="dxa"/>
                  <w:vMerge w:val="restart"/>
                  <w:tcBorders>
                    <w:tl2br w:val="nil"/>
                    <w:tr2bl w:val="nil"/>
                  </w:tcBorders>
                  <w:vAlign w:val="center"/>
                </w:tcPr>
                <w:p w14:paraId="3C971972">
                  <w:pPr>
                    <w:pStyle w:val="43"/>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序号</w:t>
                  </w:r>
                </w:p>
              </w:tc>
              <w:tc>
                <w:tcPr>
                  <w:tcW w:w="825" w:type="dxa"/>
                  <w:vMerge w:val="restart"/>
                  <w:tcBorders>
                    <w:tl2br w:val="nil"/>
                    <w:tr2bl w:val="nil"/>
                  </w:tcBorders>
                  <w:vAlign w:val="center"/>
                </w:tcPr>
                <w:p w14:paraId="01861B1D">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环境保护目标名称</w:t>
                  </w:r>
                </w:p>
              </w:tc>
              <w:tc>
                <w:tcPr>
                  <w:tcW w:w="1230" w:type="dxa"/>
                  <w:gridSpan w:val="2"/>
                  <w:tcBorders>
                    <w:tl2br w:val="nil"/>
                    <w:tr2bl w:val="nil"/>
                  </w:tcBorders>
                  <w:vAlign w:val="center"/>
                </w:tcPr>
                <w:p w14:paraId="27986802">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3129174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现状值</w:t>
                  </w:r>
                </w:p>
              </w:tc>
              <w:tc>
                <w:tcPr>
                  <w:tcW w:w="1155" w:type="dxa"/>
                  <w:gridSpan w:val="2"/>
                  <w:tcBorders>
                    <w:tl2br w:val="nil"/>
                    <w:tr2bl w:val="nil"/>
                  </w:tcBorders>
                  <w:vAlign w:val="center"/>
                </w:tcPr>
                <w:p w14:paraId="55E126EC">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69066C2B">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标准</w:t>
                  </w:r>
                </w:p>
              </w:tc>
              <w:tc>
                <w:tcPr>
                  <w:tcW w:w="1185" w:type="dxa"/>
                  <w:gridSpan w:val="2"/>
                  <w:tcBorders>
                    <w:tl2br w:val="nil"/>
                    <w:tr2bl w:val="nil"/>
                  </w:tcBorders>
                  <w:vAlign w:val="center"/>
                </w:tcPr>
                <w:p w14:paraId="5372F854">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432268A1">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贡献值</w:t>
                  </w:r>
                </w:p>
              </w:tc>
              <w:tc>
                <w:tcPr>
                  <w:tcW w:w="1125" w:type="dxa"/>
                  <w:gridSpan w:val="2"/>
                  <w:tcBorders>
                    <w:tl2br w:val="nil"/>
                    <w:tr2bl w:val="nil"/>
                  </w:tcBorders>
                  <w:vAlign w:val="center"/>
                </w:tcPr>
                <w:p w14:paraId="4D37B294">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4A99A72C">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预测值</w:t>
                  </w:r>
                </w:p>
              </w:tc>
              <w:tc>
                <w:tcPr>
                  <w:tcW w:w="1034" w:type="dxa"/>
                  <w:gridSpan w:val="2"/>
                  <w:tcBorders>
                    <w:tl2br w:val="nil"/>
                    <w:tr2bl w:val="nil"/>
                  </w:tcBorders>
                  <w:vAlign w:val="center"/>
                </w:tcPr>
                <w:p w14:paraId="1D4F376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较现状增量</w:t>
                  </w:r>
                </w:p>
              </w:tc>
              <w:tc>
                <w:tcPr>
                  <w:tcW w:w="1127" w:type="dxa"/>
                  <w:gridSpan w:val="2"/>
                  <w:tcBorders>
                    <w:tl2br w:val="nil"/>
                    <w:tr2bl w:val="nil"/>
                  </w:tcBorders>
                  <w:vAlign w:val="center"/>
                </w:tcPr>
                <w:p w14:paraId="59182F77">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超标和达标情况</w:t>
                  </w:r>
                </w:p>
              </w:tc>
            </w:tr>
            <w:tr w14:paraId="3430A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375" w:type="dxa"/>
                  <w:vMerge w:val="continue"/>
                  <w:tcBorders>
                    <w:tl2br w:val="nil"/>
                    <w:tr2bl w:val="nil"/>
                  </w:tcBorders>
                  <w:vAlign w:val="center"/>
                </w:tcPr>
                <w:p w14:paraId="3E37AC33">
                  <w:pPr>
                    <w:pStyle w:val="43"/>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p>
              </w:tc>
              <w:tc>
                <w:tcPr>
                  <w:tcW w:w="825" w:type="dxa"/>
                  <w:vMerge w:val="continue"/>
                  <w:tcBorders>
                    <w:tl2br w:val="nil"/>
                    <w:tr2bl w:val="nil"/>
                  </w:tcBorders>
                  <w:vAlign w:val="center"/>
                </w:tcPr>
                <w:p w14:paraId="1C62E7EC">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615" w:type="dxa"/>
                  <w:tcBorders>
                    <w:tl2br w:val="nil"/>
                    <w:tr2bl w:val="nil"/>
                  </w:tcBorders>
                  <w:vAlign w:val="center"/>
                </w:tcPr>
                <w:p w14:paraId="66D7CF0D">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615" w:type="dxa"/>
                  <w:tcBorders>
                    <w:tl2br w:val="nil"/>
                    <w:tr2bl w:val="nil"/>
                  </w:tcBorders>
                  <w:vAlign w:val="center"/>
                </w:tcPr>
                <w:p w14:paraId="3CF8ADD8">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55" w:type="dxa"/>
                  <w:tcBorders>
                    <w:tl2br w:val="nil"/>
                    <w:tr2bl w:val="nil"/>
                  </w:tcBorders>
                  <w:vAlign w:val="center"/>
                </w:tcPr>
                <w:p w14:paraId="3B40A9EE">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600" w:type="dxa"/>
                  <w:tcBorders>
                    <w:tl2br w:val="nil"/>
                    <w:tr2bl w:val="nil"/>
                  </w:tcBorders>
                  <w:vAlign w:val="center"/>
                </w:tcPr>
                <w:p w14:paraId="7DEB3F8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3CF774A5">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615" w:type="dxa"/>
                  <w:tcBorders>
                    <w:tl2br w:val="nil"/>
                    <w:tr2bl w:val="nil"/>
                  </w:tcBorders>
                  <w:vAlign w:val="center"/>
                </w:tcPr>
                <w:p w14:paraId="18F7E350">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58EDECF2">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55" w:type="dxa"/>
                  <w:tcBorders>
                    <w:tl2br w:val="nil"/>
                    <w:tr2bl w:val="nil"/>
                  </w:tcBorders>
                  <w:vAlign w:val="center"/>
                </w:tcPr>
                <w:p w14:paraId="56984F78">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490" w:type="dxa"/>
                  <w:tcBorders>
                    <w:tl2br w:val="nil"/>
                    <w:tr2bl w:val="nil"/>
                  </w:tcBorders>
                  <w:vAlign w:val="center"/>
                </w:tcPr>
                <w:p w14:paraId="269604C5">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44" w:type="dxa"/>
                  <w:tcBorders>
                    <w:tl2br w:val="nil"/>
                    <w:tr2bl w:val="nil"/>
                  </w:tcBorders>
                  <w:vAlign w:val="center"/>
                </w:tcPr>
                <w:p w14:paraId="29DF952D">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49" w:type="dxa"/>
                  <w:tcBorders>
                    <w:tl2br w:val="nil"/>
                    <w:tr2bl w:val="nil"/>
                  </w:tcBorders>
                  <w:vAlign w:val="center"/>
                </w:tcPr>
                <w:p w14:paraId="19FD7781">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8" w:type="dxa"/>
                  <w:tcBorders>
                    <w:tl2br w:val="nil"/>
                    <w:tr2bl w:val="nil"/>
                  </w:tcBorders>
                  <w:vAlign w:val="center"/>
                </w:tcPr>
                <w:p w14:paraId="4209C25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r>
            <w:tr w14:paraId="6B9E3C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75" w:type="dxa"/>
                  <w:tcBorders>
                    <w:tl2br w:val="nil"/>
                    <w:tr2bl w:val="nil"/>
                  </w:tcBorders>
                  <w:vAlign w:val="center"/>
                </w:tcPr>
                <w:p w14:paraId="33771A12">
                  <w:pPr>
                    <w:pStyle w:val="43"/>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1</w:t>
                  </w:r>
                </w:p>
              </w:tc>
              <w:tc>
                <w:tcPr>
                  <w:tcW w:w="825" w:type="dxa"/>
                  <w:tcBorders>
                    <w:tl2br w:val="nil"/>
                    <w:tr2bl w:val="nil"/>
                  </w:tcBorders>
                  <w:vAlign w:val="center"/>
                </w:tcPr>
                <w:p w14:paraId="0E2B3D1D">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西</w:t>
                  </w:r>
                  <w:r>
                    <w:rPr>
                      <w:rFonts w:hint="eastAsia" w:ascii="Times New Roman" w:hAnsi="Times New Roman" w:eastAsia="宋体" w:cs="Times New Roman"/>
                      <w:bCs/>
                      <w:color w:val="auto"/>
                      <w:kern w:val="2"/>
                      <w:sz w:val="18"/>
                      <w:szCs w:val="18"/>
                      <w:highlight w:val="none"/>
                      <w:vertAlign w:val="baseline"/>
                      <w:lang w:val="en-US" w:eastAsia="zh-CN" w:bidi="ar-SA"/>
                    </w:rPr>
                    <w:t>侧敏感点</w:t>
                  </w:r>
                </w:p>
              </w:tc>
              <w:tc>
                <w:tcPr>
                  <w:tcW w:w="615" w:type="dxa"/>
                  <w:tcBorders>
                    <w:tl2br w:val="nil"/>
                    <w:tr2bl w:val="nil"/>
                  </w:tcBorders>
                  <w:vAlign w:val="center"/>
                </w:tcPr>
                <w:p w14:paraId="7A328BEC">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43.6</w:t>
                  </w:r>
                </w:p>
              </w:tc>
              <w:tc>
                <w:tcPr>
                  <w:tcW w:w="615" w:type="dxa"/>
                  <w:tcBorders>
                    <w:tl2br w:val="nil"/>
                    <w:tr2bl w:val="nil"/>
                  </w:tcBorders>
                  <w:vAlign w:val="center"/>
                </w:tcPr>
                <w:p w14:paraId="09E4275B">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38</w:t>
                  </w:r>
                </w:p>
              </w:tc>
              <w:tc>
                <w:tcPr>
                  <w:tcW w:w="555" w:type="dxa"/>
                  <w:tcBorders>
                    <w:tl2br w:val="nil"/>
                    <w:tr2bl w:val="nil"/>
                  </w:tcBorders>
                  <w:vAlign w:val="center"/>
                </w:tcPr>
                <w:p w14:paraId="77B28E2A">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60</w:t>
                  </w:r>
                </w:p>
              </w:tc>
              <w:tc>
                <w:tcPr>
                  <w:tcW w:w="600" w:type="dxa"/>
                  <w:tcBorders>
                    <w:tl2br w:val="nil"/>
                    <w:tr2bl w:val="nil"/>
                  </w:tcBorders>
                  <w:vAlign w:val="center"/>
                </w:tcPr>
                <w:p w14:paraId="610E96FE">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50</w:t>
                  </w:r>
                </w:p>
              </w:tc>
              <w:tc>
                <w:tcPr>
                  <w:tcW w:w="570" w:type="dxa"/>
                  <w:tcBorders>
                    <w:tl2br w:val="nil"/>
                    <w:tr2bl w:val="nil"/>
                  </w:tcBorders>
                  <w:shd w:val="clear" w:color="auto" w:fill="auto"/>
                  <w:vAlign w:val="center"/>
                </w:tcPr>
                <w:p w14:paraId="628459D5">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41.9</w:t>
                  </w:r>
                </w:p>
              </w:tc>
              <w:tc>
                <w:tcPr>
                  <w:tcW w:w="615" w:type="dxa"/>
                  <w:tcBorders>
                    <w:tl2br w:val="nil"/>
                    <w:tr2bl w:val="nil"/>
                  </w:tcBorders>
                  <w:shd w:val="clear" w:color="auto" w:fill="auto"/>
                  <w:vAlign w:val="center"/>
                </w:tcPr>
                <w:p w14:paraId="684BB285">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41.9</w:t>
                  </w:r>
                </w:p>
              </w:tc>
              <w:tc>
                <w:tcPr>
                  <w:tcW w:w="570" w:type="dxa"/>
                  <w:tcBorders>
                    <w:tl2br w:val="nil"/>
                    <w:tr2bl w:val="nil"/>
                  </w:tcBorders>
                  <w:vAlign w:val="center"/>
                </w:tcPr>
                <w:p w14:paraId="16777572">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45.8</w:t>
                  </w:r>
                </w:p>
              </w:tc>
              <w:tc>
                <w:tcPr>
                  <w:tcW w:w="555" w:type="dxa"/>
                  <w:tcBorders>
                    <w:tl2br w:val="nil"/>
                    <w:tr2bl w:val="nil"/>
                  </w:tcBorders>
                  <w:vAlign w:val="center"/>
                </w:tcPr>
                <w:p w14:paraId="6AE5D59E">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43.4</w:t>
                  </w:r>
                </w:p>
              </w:tc>
              <w:tc>
                <w:tcPr>
                  <w:tcW w:w="490" w:type="dxa"/>
                  <w:tcBorders>
                    <w:tl2br w:val="nil"/>
                    <w:tr2bl w:val="nil"/>
                  </w:tcBorders>
                  <w:vAlign w:val="center"/>
                </w:tcPr>
                <w:p w14:paraId="77451EB1">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2.2</w:t>
                  </w:r>
                </w:p>
              </w:tc>
              <w:tc>
                <w:tcPr>
                  <w:tcW w:w="544" w:type="dxa"/>
                  <w:tcBorders>
                    <w:tl2br w:val="nil"/>
                    <w:tr2bl w:val="nil"/>
                  </w:tcBorders>
                  <w:vAlign w:val="center"/>
                </w:tcPr>
                <w:p w14:paraId="77E1D38E">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5.4</w:t>
                  </w:r>
                </w:p>
              </w:tc>
              <w:tc>
                <w:tcPr>
                  <w:tcW w:w="549" w:type="dxa"/>
                  <w:tcBorders>
                    <w:tl2br w:val="nil"/>
                    <w:tr2bl w:val="nil"/>
                  </w:tcBorders>
                  <w:vAlign w:val="center"/>
                </w:tcPr>
                <w:p w14:paraId="4AD18939">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c>
                <w:tcPr>
                  <w:tcW w:w="578" w:type="dxa"/>
                  <w:tcBorders>
                    <w:tl2br w:val="nil"/>
                    <w:tr2bl w:val="nil"/>
                  </w:tcBorders>
                  <w:vAlign w:val="center"/>
                </w:tcPr>
                <w:p w14:paraId="16AC1386">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r>
            <w:tr w14:paraId="66ACE9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75" w:type="dxa"/>
                  <w:tcBorders>
                    <w:tl2br w:val="nil"/>
                    <w:tr2bl w:val="nil"/>
                  </w:tcBorders>
                  <w:vAlign w:val="center"/>
                </w:tcPr>
                <w:p w14:paraId="4C165D04">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2</w:t>
                  </w:r>
                </w:p>
              </w:tc>
              <w:tc>
                <w:tcPr>
                  <w:tcW w:w="825" w:type="dxa"/>
                  <w:tcBorders>
                    <w:tl2br w:val="nil"/>
                    <w:tr2bl w:val="nil"/>
                  </w:tcBorders>
                  <w:vAlign w:val="center"/>
                </w:tcPr>
                <w:p w14:paraId="594DF27F">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东侧敏感点</w:t>
                  </w:r>
                </w:p>
              </w:tc>
              <w:tc>
                <w:tcPr>
                  <w:tcW w:w="615" w:type="dxa"/>
                  <w:tcBorders>
                    <w:tl2br w:val="nil"/>
                    <w:tr2bl w:val="nil"/>
                  </w:tcBorders>
                  <w:vAlign w:val="center"/>
                </w:tcPr>
                <w:p w14:paraId="41510266">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42.8</w:t>
                  </w:r>
                </w:p>
              </w:tc>
              <w:tc>
                <w:tcPr>
                  <w:tcW w:w="615" w:type="dxa"/>
                  <w:tcBorders>
                    <w:tl2br w:val="nil"/>
                    <w:tr2bl w:val="nil"/>
                  </w:tcBorders>
                  <w:vAlign w:val="center"/>
                </w:tcPr>
                <w:p w14:paraId="151F9432">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35.4</w:t>
                  </w:r>
                </w:p>
              </w:tc>
              <w:tc>
                <w:tcPr>
                  <w:tcW w:w="555" w:type="dxa"/>
                  <w:tcBorders>
                    <w:tl2br w:val="nil"/>
                    <w:tr2bl w:val="nil"/>
                  </w:tcBorders>
                  <w:shd w:val="clear" w:color="auto" w:fill="auto"/>
                  <w:vAlign w:val="center"/>
                </w:tcPr>
                <w:p w14:paraId="5154433D">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60</w:t>
                  </w:r>
                </w:p>
              </w:tc>
              <w:tc>
                <w:tcPr>
                  <w:tcW w:w="600" w:type="dxa"/>
                  <w:tcBorders>
                    <w:tl2br w:val="nil"/>
                    <w:tr2bl w:val="nil"/>
                  </w:tcBorders>
                  <w:shd w:val="clear" w:color="auto" w:fill="auto"/>
                  <w:vAlign w:val="center"/>
                </w:tcPr>
                <w:p w14:paraId="6E22F0B2">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50</w:t>
                  </w:r>
                </w:p>
              </w:tc>
              <w:tc>
                <w:tcPr>
                  <w:tcW w:w="570" w:type="dxa"/>
                  <w:tcBorders>
                    <w:tl2br w:val="nil"/>
                    <w:tr2bl w:val="nil"/>
                  </w:tcBorders>
                  <w:shd w:val="clear" w:color="auto" w:fill="auto"/>
                  <w:vAlign w:val="center"/>
                </w:tcPr>
                <w:p w14:paraId="79BB6852">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36.9</w:t>
                  </w:r>
                </w:p>
              </w:tc>
              <w:tc>
                <w:tcPr>
                  <w:tcW w:w="615" w:type="dxa"/>
                  <w:tcBorders>
                    <w:tl2br w:val="nil"/>
                    <w:tr2bl w:val="nil"/>
                  </w:tcBorders>
                  <w:shd w:val="clear" w:color="auto" w:fill="auto"/>
                  <w:vAlign w:val="center"/>
                </w:tcPr>
                <w:p w14:paraId="56A45F63">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36.9</w:t>
                  </w:r>
                </w:p>
              </w:tc>
              <w:tc>
                <w:tcPr>
                  <w:tcW w:w="570" w:type="dxa"/>
                  <w:tcBorders>
                    <w:tl2br w:val="nil"/>
                    <w:tr2bl w:val="nil"/>
                  </w:tcBorders>
                  <w:vAlign w:val="center"/>
                </w:tcPr>
                <w:p w14:paraId="6CDB6F9F">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43.8</w:t>
                  </w:r>
                </w:p>
              </w:tc>
              <w:tc>
                <w:tcPr>
                  <w:tcW w:w="555" w:type="dxa"/>
                  <w:tcBorders>
                    <w:tl2br w:val="nil"/>
                    <w:tr2bl w:val="nil"/>
                  </w:tcBorders>
                  <w:vAlign w:val="center"/>
                </w:tcPr>
                <w:p w14:paraId="385C91C6">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39.2</w:t>
                  </w:r>
                </w:p>
              </w:tc>
              <w:tc>
                <w:tcPr>
                  <w:tcW w:w="490" w:type="dxa"/>
                  <w:tcBorders>
                    <w:tl2br w:val="nil"/>
                    <w:tr2bl w:val="nil"/>
                  </w:tcBorders>
                  <w:vAlign w:val="center"/>
                </w:tcPr>
                <w:p w14:paraId="0B46B4E9">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1</w:t>
                  </w:r>
                </w:p>
              </w:tc>
              <w:tc>
                <w:tcPr>
                  <w:tcW w:w="544" w:type="dxa"/>
                  <w:tcBorders>
                    <w:tl2br w:val="nil"/>
                    <w:tr2bl w:val="nil"/>
                  </w:tcBorders>
                  <w:vAlign w:val="center"/>
                </w:tcPr>
                <w:p w14:paraId="367D5062">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3.8</w:t>
                  </w:r>
                </w:p>
              </w:tc>
              <w:tc>
                <w:tcPr>
                  <w:tcW w:w="549" w:type="dxa"/>
                  <w:tcBorders>
                    <w:tl2br w:val="nil"/>
                    <w:tr2bl w:val="nil"/>
                  </w:tcBorders>
                  <w:shd w:val="clear" w:color="auto" w:fill="auto"/>
                  <w:vAlign w:val="center"/>
                </w:tcPr>
                <w:p w14:paraId="13418736">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c>
                <w:tcPr>
                  <w:tcW w:w="578" w:type="dxa"/>
                  <w:tcBorders>
                    <w:tl2br w:val="nil"/>
                    <w:tr2bl w:val="nil"/>
                  </w:tcBorders>
                  <w:shd w:val="clear" w:color="auto" w:fill="auto"/>
                  <w:vAlign w:val="center"/>
                </w:tcPr>
                <w:p w14:paraId="0B3F9A93">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r>
            <w:tr w14:paraId="1D7386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75" w:type="dxa"/>
                  <w:tcBorders>
                    <w:tl2br w:val="nil"/>
                    <w:tr2bl w:val="nil"/>
                  </w:tcBorders>
                  <w:vAlign w:val="center"/>
                </w:tcPr>
                <w:p w14:paraId="5C309EC1">
                  <w:pPr>
                    <w:pStyle w:val="43"/>
                    <w:keepNext w:val="0"/>
                    <w:keepLines w:val="0"/>
                    <w:suppressLineNumbers w:val="0"/>
                    <w:spacing w:before="0" w:beforeAutospacing="0" w:after="0" w:afterAutospacing="0"/>
                    <w:ind w:left="0" w:right="0"/>
                    <w:jc w:val="center"/>
                    <w:rPr>
                      <w:rFonts w:hint="default" w:ascii="Times New Roman" w:hAnsi="Times New Roman"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w:t>
                  </w:r>
                </w:p>
              </w:tc>
              <w:tc>
                <w:tcPr>
                  <w:tcW w:w="825" w:type="dxa"/>
                  <w:tcBorders>
                    <w:tl2br w:val="nil"/>
                    <w:tr2bl w:val="nil"/>
                  </w:tcBorders>
                  <w:vAlign w:val="center"/>
                </w:tcPr>
                <w:p w14:paraId="0098D11C">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南侧敏感点</w:t>
                  </w:r>
                </w:p>
              </w:tc>
              <w:tc>
                <w:tcPr>
                  <w:tcW w:w="615" w:type="dxa"/>
                  <w:tcBorders>
                    <w:tl2br w:val="nil"/>
                    <w:tr2bl w:val="nil"/>
                  </w:tcBorders>
                  <w:vAlign w:val="center"/>
                </w:tcPr>
                <w:p w14:paraId="6638D583">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42.5</w:t>
                  </w:r>
                </w:p>
              </w:tc>
              <w:tc>
                <w:tcPr>
                  <w:tcW w:w="615" w:type="dxa"/>
                  <w:tcBorders>
                    <w:tl2br w:val="nil"/>
                    <w:tr2bl w:val="nil"/>
                  </w:tcBorders>
                  <w:vAlign w:val="center"/>
                </w:tcPr>
                <w:p w14:paraId="22A03892">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34.9</w:t>
                  </w:r>
                </w:p>
              </w:tc>
              <w:tc>
                <w:tcPr>
                  <w:tcW w:w="555" w:type="dxa"/>
                  <w:tcBorders>
                    <w:tl2br w:val="nil"/>
                    <w:tr2bl w:val="nil"/>
                  </w:tcBorders>
                  <w:shd w:val="clear" w:color="auto" w:fill="auto"/>
                  <w:vAlign w:val="center"/>
                </w:tcPr>
                <w:p w14:paraId="75DAE4DA">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60</w:t>
                  </w:r>
                </w:p>
              </w:tc>
              <w:tc>
                <w:tcPr>
                  <w:tcW w:w="600" w:type="dxa"/>
                  <w:tcBorders>
                    <w:tl2br w:val="nil"/>
                    <w:tr2bl w:val="nil"/>
                  </w:tcBorders>
                  <w:shd w:val="clear" w:color="auto" w:fill="auto"/>
                  <w:vAlign w:val="center"/>
                </w:tcPr>
                <w:p w14:paraId="0E94808C">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50</w:t>
                  </w:r>
                </w:p>
              </w:tc>
              <w:tc>
                <w:tcPr>
                  <w:tcW w:w="570" w:type="dxa"/>
                  <w:tcBorders>
                    <w:tl2br w:val="nil"/>
                    <w:tr2bl w:val="nil"/>
                  </w:tcBorders>
                  <w:shd w:val="clear" w:color="auto" w:fill="auto"/>
                  <w:vAlign w:val="center"/>
                </w:tcPr>
                <w:p w14:paraId="76C78A60">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31.7</w:t>
                  </w:r>
                </w:p>
              </w:tc>
              <w:tc>
                <w:tcPr>
                  <w:tcW w:w="615" w:type="dxa"/>
                  <w:tcBorders>
                    <w:tl2br w:val="nil"/>
                    <w:tr2bl w:val="nil"/>
                  </w:tcBorders>
                  <w:shd w:val="clear" w:color="auto" w:fill="auto"/>
                  <w:vAlign w:val="center"/>
                </w:tcPr>
                <w:p w14:paraId="774697FD">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31.7</w:t>
                  </w:r>
                </w:p>
              </w:tc>
              <w:tc>
                <w:tcPr>
                  <w:tcW w:w="570" w:type="dxa"/>
                  <w:tcBorders>
                    <w:tl2br w:val="nil"/>
                    <w:tr2bl w:val="nil"/>
                  </w:tcBorders>
                  <w:vAlign w:val="center"/>
                </w:tcPr>
                <w:p w14:paraId="189BFC83">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42.8</w:t>
                  </w:r>
                </w:p>
              </w:tc>
              <w:tc>
                <w:tcPr>
                  <w:tcW w:w="555" w:type="dxa"/>
                  <w:tcBorders>
                    <w:tl2br w:val="nil"/>
                    <w:tr2bl w:val="nil"/>
                  </w:tcBorders>
                  <w:vAlign w:val="center"/>
                </w:tcPr>
                <w:p w14:paraId="22140C15">
                  <w:pPr>
                    <w:pStyle w:val="43"/>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36.6</w:t>
                  </w:r>
                </w:p>
              </w:tc>
              <w:tc>
                <w:tcPr>
                  <w:tcW w:w="490" w:type="dxa"/>
                  <w:tcBorders>
                    <w:tl2br w:val="nil"/>
                    <w:tr2bl w:val="nil"/>
                  </w:tcBorders>
                  <w:vAlign w:val="center"/>
                </w:tcPr>
                <w:p w14:paraId="33CBD714">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0.3</w:t>
                  </w:r>
                </w:p>
              </w:tc>
              <w:tc>
                <w:tcPr>
                  <w:tcW w:w="544" w:type="dxa"/>
                  <w:tcBorders>
                    <w:tl2br w:val="nil"/>
                    <w:tr2bl w:val="nil"/>
                  </w:tcBorders>
                  <w:vAlign w:val="center"/>
                </w:tcPr>
                <w:p w14:paraId="51F20D06">
                  <w:pPr>
                    <w:pStyle w:val="43"/>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1.7</w:t>
                  </w:r>
                </w:p>
              </w:tc>
              <w:tc>
                <w:tcPr>
                  <w:tcW w:w="549" w:type="dxa"/>
                  <w:tcBorders>
                    <w:tl2br w:val="nil"/>
                    <w:tr2bl w:val="nil"/>
                  </w:tcBorders>
                  <w:shd w:val="clear" w:color="auto" w:fill="auto"/>
                  <w:vAlign w:val="center"/>
                </w:tcPr>
                <w:p w14:paraId="38A74363">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c>
                <w:tcPr>
                  <w:tcW w:w="578" w:type="dxa"/>
                  <w:tcBorders>
                    <w:tl2br w:val="nil"/>
                    <w:tr2bl w:val="nil"/>
                  </w:tcBorders>
                  <w:shd w:val="clear" w:color="auto" w:fill="auto"/>
                  <w:vAlign w:val="center"/>
                </w:tcPr>
                <w:p w14:paraId="21C32EA3">
                  <w:pPr>
                    <w:pStyle w:val="43"/>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r>
          </w:tbl>
          <w:p w14:paraId="4683D6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）污染防治措施及环境影响分析</w:t>
            </w:r>
          </w:p>
          <w:p w14:paraId="05A97B3E">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本项目运营期采取如下降噪措施：</w:t>
            </w:r>
          </w:p>
          <w:p w14:paraId="13D6C2F6">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①在厂区总体布置中应注意防噪间距，以减少噪声的污染；</w:t>
            </w:r>
          </w:p>
          <w:p w14:paraId="66F9DAF1">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②</w:t>
            </w:r>
            <w:r>
              <w:rPr>
                <w:rFonts w:hint="eastAsia"/>
                <w:color w:val="auto"/>
                <w:sz w:val="21"/>
                <w:szCs w:val="21"/>
                <w:highlight w:val="none"/>
              </w:rPr>
              <w:t>选用低噪声设备，建筑采取隔声、降噪措施，设置减振器，风机进出口均设软管连接等措施</w:t>
            </w:r>
            <w:r>
              <w:rPr>
                <w:rFonts w:hint="eastAsia"/>
                <w:color w:val="auto"/>
                <w:sz w:val="21"/>
                <w:szCs w:val="21"/>
                <w:highlight w:val="none"/>
                <w:lang w:eastAsia="zh-CN"/>
              </w:rPr>
              <w:t>；</w:t>
            </w:r>
          </w:p>
          <w:p w14:paraId="509A822A">
            <w:pPr>
              <w:pStyle w:val="32"/>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14:paraId="70669C04">
            <w:pPr>
              <w:pStyle w:val="32"/>
              <w:keepNext w:val="0"/>
              <w:keepLines w:val="0"/>
              <w:widowControl w:val="0"/>
              <w:suppressLineNumbers w:val="0"/>
              <w:snapToGrid/>
              <w:spacing w:before="0" w:beforeAutospacing="0" w:after="0" w:afterAutospacing="0" w:line="360" w:lineRule="auto"/>
              <w:ind w:left="0" w:right="0" w:firstLineChars="200"/>
              <w:jc w:val="both"/>
              <w:rPr>
                <w:rFonts w:hint="eastAsia" w:eastAsia="宋体"/>
                <w:color w:val="auto"/>
                <w:sz w:val="21"/>
                <w:szCs w:val="21"/>
                <w:highlight w:val="none"/>
                <w:lang w:eastAsia="zh-CN"/>
              </w:rPr>
            </w:pPr>
            <w:r>
              <w:rPr>
                <w:rFonts w:hint="default"/>
                <w:color w:val="auto"/>
                <w:sz w:val="21"/>
                <w:szCs w:val="21"/>
                <w:highlight w:val="none"/>
              </w:rPr>
              <w:t>④厂房隔声，合理布局，优化平面布局。</w:t>
            </w:r>
          </w:p>
          <w:p w14:paraId="222A4F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本项目选用低噪声设备，基础减振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default" w:ascii="Times New Roman" w:hAnsi="Times New Roman" w:cs="Times New Roman"/>
                <w:color w:val="auto"/>
                <w:szCs w:val="21"/>
                <w:highlight w:val="none"/>
              </w:rPr>
              <w:t>厂界噪声</w:t>
            </w:r>
            <w:r>
              <w:rPr>
                <w:rFonts w:hint="eastAsia" w:cs="Times New Roman"/>
                <w:color w:val="auto"/>
                <w:szCs w:val="21"/>
                <w:highlight w:val="none"/>
                <w:lang w:val="en-US" w:eastAsia="zh-CN"/>
              </w:rPr>
              <w:t>满足</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Cs w:val="21"/>
                <w:highlight w:val="none"/>
              </w:rPr>
              <w:t>工业企业厂界环境噪声排放标准》(GB12348-2008)</w:t>
            </w:r>
            <w:r>
              <w:rPr>
                <w:rFonts w:hint="eastAsia" w:cs="Times New Roman"/>
                <w:color w:val="auto"/>
                <w:szCs w:val="21"/>
                <w:highlight w:val="none"/>
                <w:lang w:val="en-US" w:eastAsia="zh-CN"/>
              </w:rPr>
              <w:t>2388220</w:t>
            </w:r>
            <w:r>
              <w:rPr>
                <w:rFonts w:hint="default" w:ascii="Times New Roman" w:hAnsi="Times New Roman" w:cs="Times New Roman"/>
                <w:color w:val="auto"/>
                <w:szCs w:val="21"/>
                <w:highlight w:val="none"/>
              </w:rPr>
              <w:t>中</w:t>
            </w:r>
            <w:r>
              <w:rPr>
                <w:rFonts w:hint="eastAsia"/>
                <w:color w:val="auto"/>
                <w:sz w:val="21"/>
                <w:szCs w:val="21"/>
                <w:highlight w:val="none"/>
                <w:lang w:val="en-US" w:eastAsia="zh-CN"/>
              </w:rPr>
              <w:t>2</w:t>
            </w:r>
            <w:r>
              <w:rPr>
                <w:rFonts w:hint="default"/>
                <w:color w:val="auto"/>
                <w:sz w:val="21"/>
                <w:szCs w:val="21"/>
                <w:highlight w:val="none"/>
              </w:rPr>
              <w:t>类</w:t>
            </w:r>
            <w:r>
              <w:rPr>
                <w:rFonts w:hint="eastAsia"/>
                <w:color w:val="auto"/>
                <w:sz w:val="21"/>
                <w:szCs w:val="21"/>
                <w:highlight w:val="none"/>
                <w:lang w:val="en-US" w:eastAsia="zh-CN"/>
              </w:rPr>
              <w:t>标准</w:t>
            </w:r>
            <w:r>
              <w:rPr>
                <w:rFonts w:hint="eastAsia"/>
                <w:color w:val="auto"/>
                <w:sz w:val="21"/>
                <w:szCs w:val="21"/>
                <w:highlight w:val="none"/>
                <w:lang w:eastAsia="zh-CN"/>
              </w:rPr>
              <w:t>。</w:t>
            </w:r>
            <w:r>
              <w:rPr>
                <w:rFonts w:hint="default"/>
                <w:color w:val="auto"/>
                <w:sz w:val="21"/>
                <w:szCs w:val="21"/>
                <w:highlight w:val="none"/>
              </w:rPr>
              <w:t>本项目对周围声环境影响较小。</w:t>
            </w:r>
          </w:p>
          <w:p w14:paraId="152215B8">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（3）监测要求</w:t>
            </w:r>
          </w:p>
          <w:p w14:paraId="775A02F0">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总则》（HJ819-2017），本项目噪声监测计划如下：</w:t>
            </w:r>
          </w:p>
          <w:p w14:paraId="00C03632">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-10</w:t>
            </w:r>
            <w:r>
              <w:rPr>
                <w:rFonts w:hint="eastAsia" w:hAnsi="宋体"/>
                <w:b/>
                <w:color w:val="auto"/>
                <w:szCs w:val="21"/>
                <w:highlight w:val="none"/>
              </w:rPr>
              <w:t>项目噪声监测计划表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173"/>
              <w:gridCol w:w="1631"/>
              <w:gridCol w:w="2063"/>
              <w:gridCol w:w="2063"/>
            </w:tblGrid>
            <w:tr w14:paraId="6FA265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tcBorders>
                    <w:left w:val="nil"/>
                    <w:bottom w:val="single" w:color="auto" w:sz="4" w:space="0"/>
                    <w:right w:val="single" w:color="auto" w:sz="4" w:space="0"/>
                  </w:tcBorders>
                  <w:noWrap w:val="0"/>
                  <w:vAlign w:val="center"/>
                </w:tcPr>
                <w:p w14:paraId="7B2590BF">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557" w:type="dxa"/>
                  <w:tcBorders>
                    <w:left w:val="single" w:color="auto" w:sz="4" w:space="0"/>
                    <w:bottom w:val="single" w:color="auto" w:sz="4" w:space="0"/>
                    <w:right w:val="single" w:color="auto" w:sz="4" w:space="0"/>
                  </w:tcBorders>
                  <w:noWrap w:val="0"/>
                  <w:vAlign w:val="center"/>
                </w:tcPr>
                <w:p w14:paraId="0BB1A924">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2200" w:type="dxa"/>
                  <w:tcBorders>
                    <w:left w:val="single" w:color="auto" w:sz="4" w:space="0"/>
                    <w:bottom w:val="single" w:color="auto" w:sz="4" w:space="0"/>
                    <w:right w:val="single" w:color="auto" w:sz="4" w:space="0"/>
                  </w:tcBorders>
                  <w:noWrap w:val="0"/>
                  <w:vAlign w:val="center"/>
                </w:tcPr>
                <w:p w14:paraId="3E0783B3">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807" w:type="dxa"/>
                  <w:tcBorders>
                    <w:left w:val="single" w:color="auto" w:sz="4" w:space="0"/>
                    <w:bottom w:val="single" w:color="auto" w:sz="4" w:space="0"/>
                    <w:right w:val="nil"/>
                  </w:tcBorders>
                  <w:noWrap w:val="0"/>
                  <w:vAlign w:val="center"/>
                </w:tcPr>
                <w:p w14:paraId="3CEC1535">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c>
                <w:tcPr>
                  <w:tcW w:w="2807" w:type="dxa"/>
                  <w:tcBorders>
                    <w:left w:val="single" w:color="auto" w:sz="4" w:space="0"/>
                    <w:bottom w:val="single" w:color="auto" w:sz="4" w:space="0"/>
                    <w:right w:val="nil"/>
                  </w:tcBorders>
                  <w:noWrap w:val="0"/>
                  <w:vAlign w:val="center"/>
                </w:tcPr>
                <w:p w14:paraId="38277E41">
                  <w:pPr>
                    <w:keepNext w:val="0"/>
                    <w:keepLines w:val="0"/>
                    <w:suppressLineNumbers w:val="0"/>
                    <w:spacing w:before="0" w:beforeAutospacing="0" w:after="0" w:afterAutospacing="0"/>
                    <w:ind w:left="0" w:right="0"/>
                    <w:jc w:val="center"/>
                    <w:rPr>
                      <w:rFonts w:hint="default" w:hAnsi="宋体" w:eastAsia="宋体"/>
                      <w:color w:val="auto"/>
                      <w:kern w:val="0"/>
                      <w:sz w:val="18"/>
                      <w:szCs w:val="18"/>
                      <w:highlight w:val="none"/>
                      <w:lang w:val="en-US" w:eastAsia="zh-CN"/>
                    </w:rPr>
                  </w:pPr>
                  <w:r>
                    <w:rPr>
                      <w:rFonts w:hint="eastAsia" w:hAnsi="宋体"/>
                      <w:color w:val="auto"/>
                      <w:kern w:val="0"/>
                      <w:sz w:val="18"/>
                      <w:szCs w:val="18"/>
                      <w:highlight w:val="none"/>
                      <w:lang w:val="en-US" w:eastAsia="zh-CN"/>
                    </w:rPr>
                    <w:t>监测时间</w:t>
                  </w:r>
                </w:p>
              </w:tc>
            </w:tr>
            <w:tr w14:paraId="01D5F2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tcBorders>
                    <w:top w:val="single" w:color="auto" w:sz="4" w:space="0"/>
                    <w:left w:val="nil"/>
                    <w:right w:val="single" w:color="auto" w:sz="4" w:space="0"/>
                  </w:tcBorders>
                  <w:noWrap w:val="0"/>
                  <w:vAlign w:val="center"/>
                </w:tcPr>
                <w:p w14:paraId="1916F6C7">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557" w:type="dxa"/>
                  <w:tcBorders>
                    <w:top w:val="single" w:color="auto" w:sz="4" w:space="0"/>
                    <w:left w:val="single" w:color="auto" w:sz="4" w:space="0"/>
                    <w:right w:val="single" w:color="auto" w:sz="4" w:space="0"/>
                  </w:tcBorders>
                  <w:noWrap w:val="0"/>
                  <w:vAlign w:val="center"/>
                </w:tcPr>
                <w:p w14:paraId="03779C77">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2200" w:type="dxa"/>
                  <w:tcBorders>
                    <w:top w:val="single" w:color="auto" w:sz="4" w:space="0"/>
                    <w:left w:val="single" w:color="auto" w:sz="4" w:space="0"/>
                    <w:right w:val="single" w:color="auto" w:sz="4" w:space="0"/>
                  </w:tcBorders>
                  <w:noWrap w:val="0"/>
                  <w:vAlign w:val="center"/>
                </w:tcPr>
                <w:p w14:paraId="32B0D83A">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807" w:type="dxa"/>
                  <w:tcBorders>
                    <w:top w:val="single" w:color="auto" w:sz="4" w:space="0"/>
                    <w:left w:val="single" w:color="auto" w:sz="4" w:space="0"/>
                    <w:right w:val="nil"/>
                  </w:tcBorders>
                  <w:noWrap w:val="0"/>
                  <w:vAlign w:val="center"/>
                </w:tcPr>
                <w:p w14:paraId="04E6C15B">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rPr>
                    <w:t>季度</w:t>
                  </w:r>
                </w:p>
              </w:tc>
              <w:tc>
                <w:tcPr>
                  <w:tcW w:w="2807" w:type="dxa"/>
                  <w:tcBorders>
                    <w:top w:val="single" w:color="auto" w:sz="4" w:space="0"/>
                    <w:left w:val="single" w:color="auto" w:sz="4" w:space="0"/>
                    <w:right w:val="nil"/>
                  </w:tcBorders>
                  <w:noWrap w:val="0"/>
                  <w:vAlign w:val="center"/>
                </w:tcPr>
                <w:p w14:paraId="103376F8">
                  <w:pPr>
                    <w:keepNext w:val="0"/>
                    <w:keepLines w:val="0"/>
                    <w:suppressLineNumbers w:val="0"/>
                    <w:spacing w:before="0" w:beforeAutospacing="0" w:after="0" w:afterAutospacing="0"/>
                    <w:ind w:left="0" w:right="0"/>
                    <w:jc w:val="center"/>
                    <w:rPr>
                      <w:rFonts w:hint="default" w:hAnsi="宋体" w:eastAsia="宋体"/>
                      <w:color w:val="auto"/>
                      <w:kern w:val="0"/>
                      <w:sz w:val="18"/>
                      <w:szCs w:val="18"/>
                      <w:highlight w:val="none"/>
                      <w:lang w:val="en-US" w:eastAsia="zh-CN"/>
                    </w:rPr>
                  </w:pPr>
                  <w:r>
                    <w:rPr>
                      <w:rFonts w:hint="eastAsia" w:hAnsi="宋体"/>
                      <w:color w:val="auto"/>
                      <w:kern w:val="0"/>
                      <w:sz w:val="18"/>
                      <w:szCs w:val="18"/>
                      <w:highlight w:val="none"/>
                      <w:lang w:val="en-US" w:eastAsia="zh-CN"/>
                    </w:rPr>
                    <w:t>10月-4月</w:t>
                  </w:r>
                </w:p>
              </w:tc>
            </w:tr>
          </w:tbl>
          <w:p w14:paraId="06A01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29BE5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51479BE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11</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4"/>
              <w:tblW w:w="811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1242"/>
              <w:gridCol w:w="1471"/>
              <w:gridCol w:w="818"/>
              <w:gridCol w:w="1597"/>
              <w:gridCol w:w="857"/>
              <w:gridCol w:w="1100"/>
            </w:tblGrid>
            <w:tr w14:paraId="17D4F4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1031" w:type="dxa"/>
                  <w:noWrap w:val="0"/>
                  <w:vAlign w:val="center"/>
                </w:tcPr>
                <w:p w14:paraId="0A18369D">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242" w:type="dxa"/>
                  <w:noWrap w:val="0"/>
                  <w:vAlign w:val="center"/>
                </w:tcPr>
                <w:p w14:paraId="72ABC9DB">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4638C30F">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471" w:type="dxa"/>
                  <w:noWrap w:val="0"/>
                  <w:vAlign w:val="center"/>
                </w:tcPr>
                <w:p w14:paraId="13F0E94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10E6CCF5">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818" w:type="dxa"/>
                  <w:noWrap w:val="0"/>
                  <w:vAlign w:val="center"/>
                </w:tcPr>
                <w:p w14:paraId="633A7A73">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1597" w:type="dxa"/>
                  <w:noWrap w:val="0"/>
                  <w:vAlign w:val="center"/>
                </w:tcPr>
                <w:p w14:paraId="1240AD21">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857" w:type="dxa"/>
                  <w:noWrap w:val="0"/>
                  <w:vAlign w:val="center"/>
                </w:tcPr>
                <w:p w14:paraId="6CE657D8">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100" w:type="dxa"/>
                  <w:noWrap w:val="0"/>
                  <w:vAlign w:val="center"/>
                </w:tcPr>
                <w:p w14:paraId="314F3417">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629D93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1031" w:type="dxa"/>
                  <w:vMerge w:val="restart"/>
                  <w:noWrap w:val="0"/>
                  <w:vAlign w:val="center"/>
                </w:tcPr>
                <w:p w14:paraId="2F62DFB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热风炉</w:t>
                  </w:r>
                </w:p>
              </w:tc>
              <w:tc>
                <w:tcPr>
                  <w:tcW w:w="1242" w:type="dxa"/>
                  <w:noWrap w:val="0"/>
                  <w:vAlign w:val="center"/>
                </w:tcPr>
                <w:p w14:paraId="2AAD1E79">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w:t>
                  </w:r>
                  <w:r>
                    <w:rPr>
                      <w:rFonts w:hint="default" w:ascii="Times New Roman" w:hAnsi="Times New Roman" w:cs="Times New Roman"/>
                      <w:color w:val="auto"/>
                      <w:sz w:val="18"/>
                      <w:szCs w:val="18"/>
                      <w:highlight w:val="none"/>
                    </w:rPr>
                    <w:t>渣</w:t>
                  </w:r>
                  <w:r>
                    <w:rPr>
                      <w:rFonts w:hint="eastAsia" w:cs="Times New Roman"/>
                      <w:color w:val="auto"/>
                      <w:sz w:val="18"/>
                      <w:szCs w:val="18"/>
                      <w:highlight w:val="none"/>
                      <w:lang w:val="en-US" w:eastAsia="zh-CN"/>
                    </w:rPr>
                    <w:t>及除尘器收尘灰</w:t>
                  </w:r>
                </w:p>
              </w:tc>
              <w:tc>
                <w:tcPr>
                  <w:tcW w:w="1471" w:type="dxa"/>
                  <w:noWrap w:val="0"/>
                  <w:vAlign w:val="center"/>
                </w:tcPr>
                <w:p w14:paraId="709400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工业固体废物900-099-S03</w:t>
                  </w:r>
                </w:p>
              </w:tc>
              <w:tc>
                <w:tcPr>
                  <w:tcW w:w="818" w:type="dxa"/>
                  <w:noWrap w:val="0"/>
                  <w:vAlign w:val="center"/>
                </w:tcPr>
                <w:p w14:paraId="5D3B31A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kern w:val="2"/>
                      <w:sz w:val="18"/>
                      <w:szCs w:val="18"/>
                      <w:highlight w:val="none"/>
                      <w:lang w:val="en-US" w:eastAsia="zh-CN" w:bidi="ar-SA"/>
                    </w:rPr>
                    <w:t>800.78</w:t>
                  </w:r>
                </w:p>
              </w:tc>
              <w:tc>
                <w:tcPr>
                  <w:tcW w:w="1597" w:type="dxa"/>
                  <w:noWrap w:val="0"/>
                  <w:vAlign w:val="center"/>
                </w:tcPr>
                <w:p w14:paraId="391C4FD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暂存于封闭灰渣间内，每10天清运1次，不在厂区长期储存</w:t>
                  </w:r>
                </w:p>
              </w:tc>
              <w:tc>
                <w:tcPr>
                  <w:tcW w:w="857" w:type="dxa"/>
                  <w:noWrap w:val="0"/>
                  <w:vAlign w:val="center"/>
                </w:tcPr>
                <w:p w14:paraId="23D3537A">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800.78</w:t>
                  </w:r>
                </w:p>
              </w:tc>
              <w:tc>
                <w:tcPr>
                  <w:tcW w:w="1100" w:type="dxa"/>
                  <w:noWrap w:val="0"/>
                  <w:vAlign w:val="center"/>
                </w:tcPr>
                <w:p w14:paraId="4AD6A92F">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eastAsia" w:cs="Times New Roman"/>
                      <w:color w:val="auto"/>
                      <w:sz w:val="18"/>
                      <w:szCs w:val="18"/>
                      <w:highlight w:val="none"/>
                      <w:lang w:val="en-US" w:eastAsia="zh-CN"/>
                    </w:rPr>
                    <w:t>外售综合利用</w:t>
                  </w:r>
                </w:p>
              </w:tc>
            </w:tr>
            <w:tr w14:paraId="01C22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1031" w:type="dxa"/>
                  <w:vMerge w:val="continue"/>
                  <w:noWrap w:val="0"/>
                  <w:vAlign w:val="center"/>
                </w:tcPr>
                <w:p w14:paraId="2AD189E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p>
              </w:tc>
              <w:tc>
                <w:tcPr>
                  <w:tcW w:w="1242" w:type="dxa"/>
                  <w:noWrap w:val="0"/>
                  <w:vAlign w:val="center"/>
                </w:tcPr>
                <w:p w14:paraId="3088F105">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废布袋</w:t>
                  </w:r>
                </w:p>
              </w:tc>
              <w:tc>
                <w:tcPr>
                  <w:tcW w:w="1471" w:type="dxa"/>
                  <w:noWrap w:val="0"/>
                  <w:vAlign w:val="center"/>
                </w:tcPr>
                <w:p w14:paraId="4D067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其他工业固体废物900-009-S59</w:t>
                  </w:r>
                </w:p>
              </w:tc>
              <w:tc>
                <w:tcPr>
                  <w:tcW w:w="818" w:type="dxa"/>
                  <w:noWrap w:val="0"/>
                  <w:vAlign w:val="center"/>
                </w:tcPr>
                <w:p w14:paraId="7A059B1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0.05</w:t>
                  </w:r>
                </w:p>
              </w:tc>
              <w:tc>
                <w:tcPr>
                  <w:tcW w:w="1597" w:type="dxa"/>
                  <w:noWrap w:val="0"/>
                  <w:vAlign w:val="center"/>
                </w:tcPr>
                <w:p w14:paraId="26DE14E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由厂家更换后回收处置，不在厂区贮存</w:t>
                  </w:r>
                </w:p>
              </w:tc>
              <w:tc>
                <w:tcPr>
                  <w:tcW w:w="857" w:type="dxa"/>
                  <w:shd w:val="clear" w:color="auto" w:fill="auto"/>
                  <w:noWrap w:val="0"/>
                  <w:vAlign w:val="center"/>
                </w:tcPr>
                <w:p w14:paraId="5413A0B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0.05</w:t>
                  </w:r>
                </w:p>
              </w:tc>
              <w:tc>
                <w:tcPr>
                  <w:tcW w:w="1100" w:type="dxa"/>
                  <w:noWrap w:val="0"/>
                  <w:vAlign w:val="center"/>
                </w:tcPr>
                <w:p w14:paraId="768190FC">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厂家回收</w:t>
                  </w:r>
                </w:p>
              </w:tc>
            </w:tr>
            <w:tr w14:paraId="5C6B50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1031" w:type="dxa"/>
                  <w:noWrap w:val="0"/>
                  <w:vAlign w:val="center"/>
                </w:tcPr>
                <w:p w14:paraId="3C58217C">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18"/>
                      <w:szCs w:val="18"/>
                      <w:highlight w:val="none"/>
                    </w:rPr>
                  </w:pPr>
                  <w:r>
                    <w:rPr>
                      <w:rFonts w:hint="eastAsia" w:cs="Times New Roman"/>
                      <w:color w:val="auto"/>
                      <w:sz w:val="18"/>
                      <w:szCs w:val="18"/>
                      <w:highlight w:val="none"/>
                      <w:lang w:val="en-US" w:eastAsia="zh-CN"/>
                    </w:rPr>
                    <w:t>工艺粉尘</w:t>
                  </w:r>
                </w:p>
              </w:tc>
              <w:tc>
                <w:tcPr>
                  <w:tcW w:w="1242" w:type="dxa"/>
                  <w:noWrap w:val="0"/>
                  <w:vAlign w:val="center"/>
                </w:tcPr>
                <w:p w14:paraId="17BF4A1E">
                  <w:pPr>
                    <w:pStyle w:val="131"/>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装卸</w:t>
                  </w:r>
                  <w:r>
                    <w:rPr>
                      <w:rFonts w:hint="eastAsia" w:cs="Times New Roman"/>
                      <w:color w:val="auto"/>
                      <w:sz w:val="18"/>
                      <w:szCs w:val="18"/>
                      <w:highlight w:val="none"/>
                      <w:lang w:val="en-US" w:eastAsia="zh-CN"/>
                    </w:rPr>
                    <w:t>、烘干粉尘</w:t>
                  </w:r>
                </w:p>
              </w:tc>
              <w:tc>
                <w:tcPr>
                  <w:tcW w:w="1471" w:type="dxa"/>
                  <w:noWrap w:val="0"/>
                  <w:vAlign w:val="center"/>
                </w:tcPr>
                <w:p w14:paraId="4FBC8FCA">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818" w:type="dxa"/>
                  <w:noWrap w:val="0"/>
                  <w:vAlign w:val="center"/>
                </w:tcPr>
                <w:p w14:paraId="0868D05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128.745</w:t>
                  </w:r>
                </w:p>
              </w:tc>
              <w:tc>
                <w:tcPr>
                  <w:tcW w:w="1597" w:type="dxa"/>
                  <w:noWrap w:val="0"/>
                  <w:vAlign w:val="center"/>
                </w:tcPr>
                <w:p w14:paraId="720F6A6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57" w:type="dxa"/>
                  <w:noWrap w:val="0"/>
                  <w:vAlign w:val="center"/>
                </w:tcPr>
                <w:p w14:paraId="019CC3C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128.745</w:t>
                  </w:r>
                </w:p>
              </w:tc>
              <w:tc>
                <w:tcPr>
                  <w:tcW w:w="1100" w:type="dxa"/>
                  <w:noWrap w:val="0"/>
                  <w:vAlign w:val="center"/>
                </w:tcPr>
                <w:p w14:paraId="334C4F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default" w:ascii="Times New Roman" w:hAnsi="Times New Roman" w:eastAsia="宋体" w:cs="Times New Roman"/>
                      <w:bCs/>
                      <w:color w:val="auto"/>
                      <w:sz w:val="18"/>
                      <w:szCs w:val="18"/>
                      <w:highlight w:val="none"/>
                      <w:lang w:val="en-US"/>
                    </w:rPr>
                    <w:t>由市政环卫部门统一清运</w:t>
                  </w:r>
                </w:p>
              </w:tc>
            </w:tr>
            <w:tr w14:paraId="41EEAC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1031" w:type="dxa"/>
                  <w:noWrap w:val="0"/>
                  <w:vAlign w:val="center"/>
                </w:tcPr>
                <w:p w14:paraId="131C804C">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员工生活</w:t>
                  </w:r>
                </w:p>
              </w:tc>
              <w:tc>
                <w:tcPr>
                  <w:tcW w:w="1242" w:type="dxa"/>
                  <w:noWrap w:val="0"/>
                  <w:vAlign w:val="center"/>
                </w:tcPr>
                <w:p w14:paraId="12BE6713">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生活垃圾</w:t>
                  </w:r>
                </w:p>
              </w:tc>
              <w:tc>
                <w:tcPr>
                  <w:tcW w:w="1471" w:type="dxa"/>
                  <w:shd w:val="clear" w:color="auto" w:fill="auto"/>
                  <w:noWrap w:val="0"/>
                  <w:vAlign w:val="center"/>
                </w:tcPr>
                <w:p w14:paraId="30E955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厨余垃圾</w:t>
                  </w:r>
                </w:p>
                <w:p w14:paraId="573CC0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900-002-S61</w:t>
                  </w:r>
                </w:p>
              </w:tc>
              <w:tc>
                <w:tcPr>
                  <w:tcW w:w="818" w:type="dxa"/>
                  <w:noWrap w:val="0"/>
                  <w:vAlign w:val="center"/>
                </w:tcPr>
                <w:p w14:paraId="010A5A4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6.275</w:t>
                  </w:r>
                </w:p>
              </w:tc>
              <w:tc>
                <w:tcPr>
                  <w:tcW w:w="1597" w:type="dxa"/>
                  <w:noWrap w:val="0"/>
                  <w:vAlign w:val="center"/>
                </w:tcPr>
                <w:p w14:paraId="6FE2F45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57" w:type="dxa"/>
                  <w:shd w:val="clear" w:color="auto" w:fill="auto"/>
                  <w:noWrap w:val="0"/>
                  <w:vAlign w:val="center"/>
                </w:tcPr>
                <w:p w14:paraId="2D104D1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6.275</w:t>
                  </w:r>
                </w:p>
              </w:tc>
              <w:tc>
                <w:tcPr>
                  <w:tcW w:w="1100" w:type="dxa"/>
                  <w:shd w:val="clear" w:color="auto" w:fill="auto"/>
                  <w:noWrap w:val="0"/>
                  <w:vAlign w:val="center"/>
                </w:tcPr>
                <w:p w14:paraId="5B7364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rPr>
                    <w:t>由市政环卫部门统一清运</w:t>
                  </w:r>
                </w:p>
              </w:tc>
            </w:tr>
            <w:tr w14:paraId="068930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31" w:type="dxa"/>
                  <w:vMerge w:val="restart"/>
                  <w:noWrap w:val="0"/>
                  <w:vAlign w:val="center"/>
                </w:tcPr>
                <w:p w14:paraId="10C45A1C">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设备维护</w:t>
                  </w:r>
                </w:p>
              </w:tc>
              <w:tc>
                <w:tcPr>
                  <w:tcW w:w="1242" w:type="dxa"/>
                  <w:noWrap w:val="0"/>
                  <w:vAlign w:val="center"/>
                </w:tcPr>
                <w:p w14:paraId="6339B613">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eastAsia="zh-CN"/>
                    </w:rPr>
                  </w:pPr>
                  <w:r>
                    <w:rPr>
                      <w:rFonts w:hint="eastAsia" w:cs="Times New Roman"/>
                      <w:color w:val="auto"/>
                      <w:sz w:val="18"/>
                      <w:szCs w:val="18"/>
                      <w:highlight w:val="none"/>
                      <w:lang w:eastAsia="zh-CN"/>
                    </w:rPr>
                    <w:t>废机油</w:t>
                  </w:r>
                </w:p>
              </w:tc>
              <w:tc>
                <w:tcPr>
                  <w:tcW w:w="1471" w:type="dxa"/>
                  <w:shd w:val="clear" w:color="auto" w:fill="auto"/>
                  <w:noWrap w:val="0"/>
                  <w:vAlign w:val="center"/>
                </w:tcPr>
                <w:p w14:paraId="68B5A63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危险废物</w:t>
                  </w:r>
                </w:p>
                <w:p w14:paraId="095FF6DB">
                  <w:pPr>
                    <w:pStyle w:val="2"/>
                    <w:keepNext w:val="0"/>
                    <w:keepLines w:val="0"/>
                    <w:suppressLineNumbers w:val="0"/>
                    <w:spacing w:beforeAutospacing="0" w:afterAutospacing="0"/>
                    <w:ind w:left="0"/>
                    <w:jc w:val="center"/>
                    <w:rPr>
                      <w:rFonts w:hint="default"/>
                      <w:color w:val="auto"/>
                      <w:lang w:val="en-US" w:eastAsia="zh-CN"/>
                    </w:rPr>
                  </w:pPr>
                  <w:r>
                    <w:rPr>
                      <w:rFonts w:hint="eastAsia"/>
                      <w:color w:val="auto"/>
                      <w:lang w:val="en-US" w:eastAsia="zh-CN"/>
                    </w:rPr>
                    <w:t>9</w:t>
                  </w:r>
                  <w:r>
                    <w:rPr>
                      <w:rFonts w:hint="eastAsia" w:ascii="Times New Roman" w:hAnsi="Times New Roman" w:eastAsia="宋体" w:cs="Times New Roman"/>
                      <w:color w:val="auto"/>
                      <w:kern w:val="2"/>
                      <w:sz w:val="18"/>
                      <w:szCs w:val="18"/>
                      <w:highlight w:val="none"/>
                      <w:lang w:val="en-US" w:eastAsia="zh-CN" w:bidi="ar-SA"/>
                    </w:rPr>
                    <w:t>00-214-08</w:t>
                  </w:r>
                </w:p>
              </w:tc>
              <w:tc>
                <w:tcPr>
                  <w:tcW w:w="818" w:type="dxa"/>
                  <w:noWrap w:val="0"/>
                  <w:vAlign w:val="center"/>
                </w:tcPr>
                <w:p w14:paraId="77E895A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0.02</w:t>
                  </w:r>
                </w:p>
              </w:tc>
              <w:tc>
                <w:tcPr>
                  <w:tcW w:w="1597" w:type="dxa"/>
                  <w:noWrap w:val="0"/>
                  <w:vAlign w:val="center"/>
                </w:tcPr>
                <w:p w14:paraId="3C3B8EC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暂存危险废物贮存点内密闭废油桶</w:t>
                  </w:r>
                </w:p>
              </w:tc>
              <w:tc>
                <w:tcPr>
                  <w:tcW w:w="857" w:type="dxa"/>
                  <w:shd w:val="clear" w:color="auto" w:fill="auto"/>
                  <w:noWrap w:val="0"/>
                  <w:vAlign w:val="center"/>
                </w:tcPr>
                <w:p w14:paraId="2940945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0.02</w:t>
                  </w:r>
                </w:p>
              </w:tc>
              <w:tc>
                <w:tcPr>
                  <w:tcW w:w="1100" w:type="dxa"/>
                  <w:vMerge w:val="restart"/>
                  <w:shd w:val="clear" w:color="auto" w:fill="auto"/>
                  <w:noWrap w:val="0"/>
                  <w:vAlign w:val="center"/>
                </w:tcPr>
                <w:p w14:paraId="08271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eastAsia" w:ascii="Times New Roman" w:hAnsi="Times New Roman" w:cs="Times New Roman"/>
                      <w:color w:val="auto"/>
                      <w:sz w:val="18"/>
                      <w:szCs w:val="18"/>
                      <w:highlight w:val="none"/>
                      <w:lang w:val="en-US" w:eastAsia="zh-CN"/>
                    </w:rPr>
                    <w:t>委托有资质单位处置</w:t>
                  </w:r>
                </w:p>
              </w:tc>
            </w:tr>
            <w:tr w14:paraId="2DD56B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1031" w:type="dxa"/>
                  <w:vMerge w:val="continue"/>
                  <w:noWrap w:val="0"/>
                  <w:vAlign w:val="center"/>
                </w:tcPr>
                <w:p w14:paraId="4663C59F">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p>
              </w:tc>
              <w:tc>
                <w:tcPr>
                  <w:tcW w:w="1242" w:type="dxa"/>
                  <w:noWrap w:val="0"/>
                  <w:vAlign w:val="center"/>
                </w:tcPr>
                <w:p w14:paraId="77A86CA4">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eastAsia="zh-CN"/>
                    </w:rPr>
                  </w:pPr>
                  <w:r>
                    <w:rPr>
                      <w:rFonts w:hint="eastAsia" w:cs="Times New Roman"/>
                      <w:color w:val="auto"/>
                      <w:sz w:val="18"/>
                      <w:szCs w:val="18"/>
                      <w:highlight w:val="none"/>
                      <w:lang w:eastAsia="zh-CN"/>
                    </w:rPr>
                    <w:t>废弃含油抹布手套</w:t>
                  </w:r>
                </w:p>
              </w:tc>
              <w:tc>
                <w:tcPr>
                  <w:tcW w:w="1471" w:type="dxa"/>
                  <w:shd w:val="clear" w:color="auto" w:fill="auto"/>
                  <w:noWrap w:val="0"/>
                  <w:vAlign w:val="center"/>
                </w:tcPr>
                <w:p w14:paraId="53A64542">
                  <w:pPr>
                    <w:keepNext w:val="0"/>
                    <w:keepLines w:val="0"/>
                    <w:suppressLineNumbers w:val="0"/>
                    <w:spacing w:before="0" w:beforeAutospacing="0" w:after="0" w:afterAutospacing="0"/>
                    <w:ind w:left="0" w:right="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危险废物</w:t>
                  </w:r>
                </w:p>
                <w:p w14:paraId="09B1850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900-041-49</w:t>
                  </w:r>
                </w:p>
              </w:tc>
              <w:tc>
                <w:tcPr>
                  <w:tcW w:w="818" w:type="dxa"/>
                  <w:noWrap w:val="0"/>
                  <w:vAlign w:val="center"/>
                </w:tcPr>
                <w:p w14:paraId="7F4C446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0.01</w:t>
                  </w:r>
                </w:p>
              </w:tc>
              <w:tc>
                <w:tcPr>
                  <w:tcW w:w="1597" w:type="dxa"/>
                  <w:noWrap w:val="0"/>
                  <w:vAlign w:val="center"/>
                </w:tcPr>
                <w:p w14:paraId="2581292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暂存危险废物贮存点内密闭容器内</w:t>
                  </w:r>
                </w:p>
              </w:tc>
              <w:tc>
                <w:tcPr>
                  <w:tcW w:w="857" w:type="dxa"/>
                  <w:shd w:val="clear" w:color="auto" w:fill="auto"/>
                  <w:noWrap w:val="0"/>
                  <w:vAlign w:val="center"/>
                </w:tcPr>
                <w:p w14:paraId="31E5066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0.01</w:t>
                  </w:r>
                </w:p>
              </w:tc>
              <w:tc>
                <w:tcPr>
                  <w:tcW w:w="1100" w:type="dxa"/>
                  <w:vMerge w:val="continue"/>
                  <w:shd w:val="clear" w:color="auto" w:fill="auto"/>
                  <w:noWrap w:val="0"/>
                  <w:vAlign w:val="center"/>
                </w:tcPr>
                <w:p w14:paraId="3E1226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p>
              </w:tc>
            </w:tr>
          </w:tbl>
          <w:p w14:paraId="2D8F4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eastAsia"/>
                <w:color w:val="auto"/>
                <w:highlight w:val="none"/>
                <w:lang w:val="en-US" w:eastAsia="zh-CN"/>
              </w:rPr>
              <w:t>热风炉灰</w:t>
            </w:r>
            <w:r>
              <w:rPr>
                <w:rFonts w:hint="eastAsia"/>
                <w:color w:val="auto"/>
                <w:highlight w:val="none"/>
              </w:rPr>
              <w:t>渣</w:t>
            </w:r>
            <w:r>
              <w:rPr>
                <w:rFonts w:hint="eastAsia"/>
                <w:color w:val="auto"/>
                <w:highlight w:val="none"/>
                <w:lang w:eastAsia="zh-CN"/>
              </w:rPr>
              <w:t>、</w:t>
            </w:r>
            <w:r>
              <w:rPr>
                <w:rFonts w:hint="eastAsia"/>
                <w:color w:val="auto"/>
                <w:highlight w:val="none"/>
                <w:lang w:val="en-US" w:eastAsia="zh-CN"/>
              </w:rPr>
              <w:t>除尘器收尘灰</w:t>
            </w:r>
            <w:r>
              <w:rPr>
                <w:rFonts w:hint="eastAsia"/>
                <w:color w:val="auto"/>
                <w:highlight w:val="none"/>
                <w:lang w:eastAsia="zh-CN"/>
              </w:rPr>
              <w:t>、</w:t>
            </w:r>
            <w:r>
              <w:rPr>
                <w:rFonts w:hint="eastAsia"/>
                <w:color w:val="auto"/>
                <w:highlight w:val="none"/>
                <w:lang w:val="en-US" w:eastAsia="zh-CN"/>
              </w:rPr>
              <w:t>废布袋、</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装卸、烘干</w:t>
            </w:r>
            <w:r>
              <w:rPr>
                <w:rFonts w:hint="default" w:ascii="Times New Roman" w:hAnsi="Times New Roman" w:cs="Times New Roman"/>
                <w:color w:val="auto"/>
                <w:sz w:val="21"/>
                <w:szCs w:val="21"/>
                <w:highlight w:val="none"/>
              </w:rPr>
              <w:t>粉尘</w:t>
            </w:r>
            <w:r>
              <w:rPr>
                <w:rFonts w:hint="eastAsia"/>
                <w:color w:val="auto"/>
                <w:highlight w:val="none"/>
              </w:rPr>
              <w:t>。</w:t>
            </w:r>
          </w:p>
          <w:p w14:paraId="2BBC50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①生活垃圾：本项</w:t>
            </w:r>
            <w:r>
              <w:rPr>
                <w:rFonts w:hint="eastAsia" w:ascii="Times New Roman" w:hAnsi="Times New Roman" w:eastAsia="宋体" w:cs="Times New Roman"/>
                <w:color w:val="auto"/>
                <w:sz w:val="21"/>
                <w:szCs w:val="21"/>
                <w:highlight w:val="none"/>
                <w:lang w:val="en-US" w:eastAsia="zh-CN"/>
              </w:rPr>
              <w:t>目办公室工作人员25</w:t>
            </w:r>
            <w:r>
              <w:rPr>
                <w:rFonts w:hint="default" w:ascii="Times New Roman" w:hAnsi="Times New Roman" w:eastAsia="宋体" w:cs="Times New Roman"/>
                <w:color w:val="auto"/>
                <w:sz w:val="21"/>
                <w:szCs w:val="21"/>
                <w:highlight w:val="none"/>
              </w:rPr>
              <w:t>人，</w:t>
            </w:r>
            <w:r>
              <w:rPr>
                <w:rFonts w:hint="eastAsia" w:ascii="Times New Roman" w:hAnsi="Times New Roman" w:eastAsia="宋体" w:cs="Times New Roman"/>
                <w:color w:val="auto"/>
                <w:sz w:val="21"/>
                <w:szCs w:val="21"/>
                <w:highlight w:val="none"/>
                <w:lang w:val="en-US" w:eastAsia="zh-CN"/>
              </w:rPr>
              <w:t>烘干塔工作人员30人，</w:t>
            </w:r>
            <w:r>
              <w:rPr>
                <w:rFonts w:hint="default" w:ascii="Times New Roman" w:hAnsi="Times New Roman" w:eastAsia="宋体" w:cs="Times New Roman"/>
                <w:color w:val="auto"/>
                <w:sz w:val="21"/>
                <w:szCs w:val="21"/>
                <w:highlight w:val="none"/>
              </w:rPr>
              <w:t>生活垃圾按0.5kg/人·d计，</w:t>
            </w:r>
            <w:r>
              <w:rPr>
                <w:rFonts w:hint="eastAsia" w:ascii="Times New Roman" w:hAnsi="Times New Roman" w:eastAsia="宋体" w:cs="Times New Roman"/>
                <w:color w:val="auto"/>
                <w:sz w:val="21"/>
                <w:szCs w:val="21"/>
                <w:highlight w:val="none"/>
                <w:lang w:val="en-US" w:eastAsia="zh-CN"/>
              </w:rPr>
              <w:t>办公室年工作</w:t>
            </w:r>
            <w:r>
              <w:rPr>
                <w:rFonts w:hint="default" w:ascii="Times New Roman" w:hAnsi="Times New Roman" w:eastAsia="宋体" w:cs="Times New Roman"/>
                <w:color w:val="auto"/>
                <w:sz w:val="21"/>
                <w:szCs w:val="21"/>
                <w:highlight w:val="none"/>
              </w:rPr>
              <w:t>按</w:t>
            </w:r>
            <w:r>
              <w:rPr>
                <w:rFonts w:hint="eastAsia" w:ascii="Times New Roman" w:hAnsi="Times New Roman" w:eastAsia="宋体" w:cs="Times New Roman"/>
                <w:color w:val="auto"/>
                <w:sz w:val="21"/>
                <w:szCs w:val="21"/>
                <w:highlight w:val="none"/>
                <w:lang w:val="en-US" w:eastAsia="zh-CN"/>
              </w:rPr>
              <w:t>250</w:t>
            </w:r>
            <w:r>
              <w:rPr>
                <w:rFonts w:hint="default" w:ascii="Times New Roman" w:hAnsi="Times New Roman" w:eastAsia="宋体" w:cs="Times New Roman"/>
                <w:color w:val="auto"/>
                <w:sz w:val="21"/>
                <w:szCs w:val="21"/>
                <w:highlight w:val="none"/>
              </w:rPr>
              <w:t>d计，</w:t>
            </w:r>
            <w:r>
              <w:rPr>
                <w:rFonts w:hint="eastAsia" w:ascii="Times New Roman" w:hAnsi="Times New Roman" w:eastAsia="宋体" w:cs="Times New Roman"/>
                <w:color w:val="auto"/>
                <w:sz w:val="21"/>
                <w:szCs w:val="21"/>
                <w:highlight w:val="none"/>
                <w:lang w:val="en-US" w:eastAsia="zh-CN"/>
              </w:rPr>
              <w:t>烘干塔工作人员按210d计，</w:t>
            </w:r>
            <w:r>
              <w:rPr>
                <w:rFonts w:hint="default" w:ascii="Times New Roman" w:hAnsi="Times New Roman" w:eastAsia="宋体" w:cs="Times New Roman"/>
                <w:color w:val="auto"/>
                <w:sz w:val="21"/>
                <w:szCs w:val="21"/>
                <w:highlight w:val="none"/>
              </w:rPr>
              <w:t>则生活垃圾产生量为</w:t>
            </w:r>
            <w:r>
              <w:rPr>
                <w:rFonts w:hint="eastAsia" w:cs="Times New Roman"/>
                <w:color w:val="auto"/>
                <w:sz w:val="21"/>
                <w:szCs w:val="21"/>
                <w:highlight w:val="none"/>
                <w:lang w:val="en-US" w:eastAsia="zh-CN"/>
              </w:rPr>
              <w:t>6.275t</w:t>
            </w:r>
            <w:r>
              <w:rPr>
                <w:rFonts w:hint="default" w:ascii="Times New Roman" w:hAnsi="Times New Roman" w:eastAsia="宋体" w:cs="Times New Roman"/>
                <w:color w:val="auto"/>
                <w:sz w:val="21"/>
                <w:szCs w:val="21"/>
                <w:highlight w:val="none"/>
              </w:rPr>
              <w:t>/a，由市政环卫部门统一清运。</w:t>
            </w:r>
          </w:p>
          <w:p w14:paraId="2CF7B3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②</w:t>
            </w:r>
            <w:r>
              <w:rPr>
                <w:rFonts w:hint="default" w:ascii="Times New Roman" w:hAnsi="Times New Roman" w:cs="Times New Roman"/>
                <w:color w:val="auto"/>
                <w:sz w:val="21"/>
                <w:szCs w:val="21"/>
                <w:highlight w:val="none"/>
              </w:rPr>
              <w:t>热风炉</w:t>
            </w:r>
            <w:r>
              <w:rPr>
                <w:rFonts w:hint="eastAsia" w:cs="Times New Roman"/>
                <w:color w:val="auto"/>
                <w:sz w:val="21"/>
                <w:szCs w:val="21"/>
                <w:highlight w:val="none"/>
                <w:lang w:eastAsia="zh-CN"/>
              </w:rPr>
              <w:t>灰渣</w:t>
            </w:r>
            <w:r>
              <w:rPr>
                <w:rFonts w:hint="eastAsia" w:cs="Times New Roman"/>
                <w:color w:val="auto"/>
                <w:sz w:val="21"/>
                <w:szCs w:val="21"/>
                <w:highlight w:val="none"/>
                <w:lang w:val="en-US" w:eastAsia="zh-CN"/>
              </w:rPr>
              <w:t>及除尘器收尘灰</w:t>
            </w:r>
          </w:p>
          <w:p w14:paraId="5120F4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热风炉灰渣产生量参考《污染源源强核算技术指南 锅炉》（HJ 991-2018）中8.1生物质锅炉灰渣产生量计算方法进行核算。</w:t>
            </w:r>
          </w:p>
          <w:p w14:paraId="651DF7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color w:val="auto"/>
                <w:position w:val="-30"/>
                <w:sz w:val="21"/>
                <w:szCs w:val="21"/>
                <w:highlight w:val="none"/>
              </w:rPr>
              <w:object>
                <v:shape id="_x0000_i1032" o:spt="75" type="#_x0000_t75" style="height:36pt;width:147pt;" o:ole="t" filled="f" o:preferrelative="t" stroked="f" coordsize="21600,21600">
                  <v:path/>
                  <v:fill on="f" focussize="0,0"/>
                  <v:stroke on="f"/>
                  <v:imagedata r:id="rId36" o:title=""/>
                  <o:lock v:ext="edit" aspectratio="t"/>
                  <w10:wrap type="none"/>
                  <w10:anchorlock/>
                </v:shape>
                <o:OLEObject Type="Embed" ProgID="Equation.KSEE3" ShapeID="_x0000_i1032" DrawAspect="Content" ObjectID="_1468075732" r:id="rId35">
                  <o:LockedField>false</o:LockedField>
                </o:OLEObject>
              </w:object>
            </w:r>
          </w:p>
          <w:p w14:paraId="068883D7">
            <w:pPr>
              <w:pStyle w:val="32"/>
              <w:keepNext w:val="0"/>
              <w:keepLines w:val="0"/>
              <w:suppressLineNumbers w:val="0"/>
              <w:spacing w:before="0" w:beforeAutospacing="0" w:after="0" w:afterAutospacing="0" w:line="360" w:lineRule="auto"/>
              <w:ind w:left="0" w:right="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----核算时段内灰渣产生量，t；</w:t>
            </w:r>
          </w:p>
          <w:p w14:paraId="5BF480BC">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R----核算时段内锅炉燃料耗量，</w:t>
            </w:r>
            <w:r>
              <w:rPr>
                <w:rFonts w:hint="eastAsia" w:cs="Times New Roman"/>
                <w:color w:val="auto"/>
                <w:sz w:val="21"/>
                <w:szCs w:val="21"/>
                <w:highlight w:val="none"/>
                <w:lang w:val="en-US" w:eastAsia="zh-CN"/>
              </w:rPr>
              <w:t>9015</w:t>
            </w:r>
            <w:r>
              <w:rPr>
                <w:rFonts w:hint="default" w:ascii="Times New Roman" w:hAnsi="Times New Roman" w:cs="Times New Roman"/>
                <w:color w:val="auto"/>
                <w:sz w:val="21"/>
                <w:szCs w:val="21"/>
                <w:highlight w:val="none"/>
              </w:rPr>
              <w:t>t；</w:t>
            </w:r>
          </w:p>
          <w:p w14:paraId="0DF7060C">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----收到基灰分的质量分数，%；取</w:t>
            </w:r>
            <w:r>
              <w:rPr>
                <w:rFonts w:hint="eastAsia"/>
                <w:bCs w:val="0"/>
                <w:color w:val="auto"/>
                <w:highlight w:val="none"/>
                <w:lang w:val="en-US" w:eastAsia="zh-CN"/>
              </w:rPr>
              <w:t>3.71</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p>
          <w:p w14:paraId="69EFC7ED">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----锅炉机械不完全燃烧热损失，%；取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p>
          <w:p w14:paraId="533A6E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----收到基低位发热量，kJ/kg。</w:t>
            </w:r>
            <w:r>
              <w:rPr>
                <w:rFonts w:hint="default"/>
                <w:bCs w:val="0"/>
                <w:color w:val="auto"/>
                <w:highlight w:val="none"/>
                <w:lang w:val="en-US" w:eastAsia="zh-CN"/>
              </w:rPr>
              <w:t>取</w:t>
            </w:r>
            <w:r>
              <w:rPr>
                <w:rFonts w:hint="eastAsia"/>
                <w:bCs w:val="0"/>
                <w:color w:val="auto"/>
                <w:highlight w:val="none"/>
                <w:lang w:val="en-US" w:eastAsia="zh-CN"/>
              </w:rPr>
              <w:t>17.52</w:t>
            </w:r>
            <w:r>
              <w:rPr>
                <w:rFonts w:hint="default" w:ascii="Arial" w:hAnsi="Arial" w:cs="Arial"/>
                <w:color w:val="auto"/>
                <w:highlight w:val="none"/>
              </w:rPr>
              <w:t>×</w:t>
            </w:r>
            <w:r>
              <w:rPr>
                <w:rFonts w:hint="eastAsia"/>
                <w:color w:val="auto"/>
                <w:highlight w:val="none"/>
                <w:lang w:val="en-US" w:eastAsia="zh-CN"/>
              </w:rPr>
              <w:t>10</w:t>
            </w:r>
            <w:r>
              <w:rPr>
                <w:rFonts w:hint="eastAsia"/>
                <w:color w:val="auto"/>
                <w:highlight w:val="none"/>
                <w:vertAlign w:val="superscript"/>
                <w:lang w:val="en-US" w:eastAsia="zh-CN"/>
              </w:rPr>
              <w:t>3</w:t>
            </w:r>
            <w:r>
              <w:rPr>
                <w:rFonts w:hint="default" w:ascii="Times New Roman" w:hAnsi="Times New Roman" w:cs="Times New Roman"/>
                <w:color w:val="auto"/>
                <w:sz w:val="21"/>
                <w:szCs w:val="21"/>
                <w:highlight w:val="none"/>
              </w:rPr>
              <w:t>；（根据生物质成分分析报告）；</w:t>
            </w:r>
          </w:p>
          <w:p w14:paraId="7DA6AF59">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Ehc=</w:t>
            </w:r>
            <w:r>
              <w:rPr>
                <w:rFonts w:hint="eastAsia" w:cs="Times New Roman"/>
                <w:color w:val="auto"/>
                <w:sz w:val="21"/>
                <w:szCs w:val="21"/>
                <w:highlight w:val="none"/>
                <w:lang w:val="en-US" w:eastAsia="zh-CN"/>
              </w:rPr>
              <w:t>9015</w:t>
            </w:r>
            <w:r>
              <w:rPr>
                <w:rFonts w:hint="default" w:ascii="Times New Roman" w:hAnsi="Times New Roman" w:cs="Times New Roman"/>
                <w:color w:val="auto"/>
                <w:sz w:val="21"/>
                <w:szCs w:val="21"/>
                <w:highlight w:val="none"/>
              </w:rPr>
              <w:t>t×（</w:t>
            </w:r>
            <w:r>
              <w:rPr>
                <w:rFonts w:hint="eastAsia"/>
                <w:bCs w:val="0"/>
                <w:color w:val="auto"/>
                <w:highlight w:val="none"/>
                <w:lang w:val="en-US" w:eastAsia="zh-CN"/>
              </w:rPr>
              <w:t>3.71</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eastAsia" w:cs="Times New Roman"/>
                <w:color w:val="auto"/>
                <w:kern w:val="24"/>
                <w:sz w:val="21"/>
                <w:szCs w:val="21"/>
                <w:highlight w:val="none"/>
                <w:lang w:val="en-US" w:eastAsia="zh-CN"/>
              </w:rPr>
              <w:t>17520</w:t>
            </w:r>
            <w:r>
              <w:rPr>
                <w:rFonts w:hint="default" w:ascii="Times New Roman" w:hAnsi="Times New Roman" w:cs="Times New Roman"/>
                <w:color w:val="auto"/>
                <w:sz w:val="21"/>
                <w:szCs w:val="21"/>
                <w:highlight w:val="none"/>
              </w:rPr>
              <w:t>/33870）=</w:t>
            </w:r>
            <w:r>
              <w:rPr>
                <w:rFonts w:hint="eastAsia" w:cs="Times New Roman"/>
                <w:color w:val="auto"/>
                <w:sz w:val="21"/>
                <w:szCs w:val="21"/>
                <w:highlight w:val="none"/>
                <w:lang w:val="en-US" w:eastAsia="zh-CN"/>
              </w:rPr>
              <w:t>800.78</w:t>
            </w:r>
            <w:r>
              <w:rPr>
                <w:rFonts w:hint="default" w:ascii="Times New Roman" w:hAnsi="Times New Roman" w:cs="Times New Roman"/>
                <w:color w:val="auto"/>
                <w:sz w:val="21"/>
                <w:szCs w:val="21"/>
                <w:highlight w:val="none"/>
              </w:rPr>
              <w:t>t/a</w:t>
            </w:r>
          </w:p>
          <w:p w14:paraId="2DB0B240">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rPr>
              <w:t>经计算，本项目</w:t>
            </w:r>
            <w:r>
              <w:rPr>
                <w:rFonts w:hint="eastAsia" w:cs="Times New Roman"/>
                <w:bCs/>
                <w:color w:val="auto"/>
                <w:sz w:val="21"/>
                <w:szCs w:val="21"/>
                <w:highlight w:val="none"/>
                <w:lang w:val="en-US" w:eastAsia="zh-CN"/>
              </w:rPr>
              <w:t>灰</w:t>
            </w:r>
            <w:r>
              <w:rPr>
                <w:rFonts w:hint="default" w:ascii="Times New Roman" w:hAnsi="Times New Roman" w:cs="Times New Roman"/>
                <w:bCs/>
                <w:color w:val="auto"/>
                <w:sz w:val="21"/>
                <w:szCs w:val="21"/>
                <w:highlight w:val="none"/>
              </w:rPr>
              <w:t>渣的产生量为</w:t>
            </w:r>
            <w:r>
              <w:rPr>
                <w:rFonts w:hint="eastAsia" w:ascii="Times New Roman" w:hAnsi="Times New Roman" w:eastAsia="宋体" w:cs="Times New Roman"/>
                <w:color w:val="auto"/>
                <w:kern w:val="2"/>
                <w:sz w:val="21"/>
                <w:szCs w:val="21"/>
                <w:highlight w:val="none"/>
                <w:lang w:val="en-US" w:eastAsia="zh-CN" w:bidi="ar-SA"/>
              </w:rPr>
              <w:t>800.78</w:t>
            </w:r>
            <w:r>
              <w:rPr>
                <w:rFonts w:hint="default" w:ascii="Times New Roman" w:hAnsi="Times New Roman" w:eastAsia="宋体" w:cs="Times New Roman"/>
                <w:color w:val="auto"/>
                <w:kern w:val="2"/>
                <w:sz w:val="21"/>
                <w:szCs w:val="21"/>
                <w:highlight w:val="none"/>
                <w:lang w:val="en-US" w:eastAsia="zh-CN" w:bidi="ar-SA"/>
              </w:rPr>
              <w:t>t/a</w:t>
            </w:r>
            <w:r>
              <w:rPr>
                <w:rFonts w:hint="default" w:ascii="Times New Roman" w:hAnsi="Times New Roman" w:cs="Times New Roman"/>
                <w:bCs/>
                <w:color w:val="auto"/>
                <w:sz w:val="21"/>
                <w:szCs w:val="21"/>
                <w:highlight w:val="none"/>
              </w:rPr>
              <w:t>，</w:t>
            </w:r>
            <w:r>
              <w:rPr>
                <w:rFonts w:hint="eastAsia" w:cs="Times New Roman"/>
                <w:color w:val="auto"/>
                <w:sz w:val="21"/>
                <w:szCs w:val="21"/>
                <w:highlight w:val="none"/>
                <w:lang w:eastAsia="zh-CN"/>
              </w:rPr>
              <w:t>灰渣</w:t>
            </w:r>
            <w:r>
              <w:rPr>
                <w:rFonts w:hint="default" w:ascii="Times New Roman" w:hAnsi="Times New Roman" w:cs="Times New Roman"/>
                <w:color w:val="auto"/>
                <w:sz w:val="21"/>
                <w:szCs w:val="21"/>
                <w:highlight w:val="none"/>
              </w:rPr>
              <w:t>暂存于</w:t>
            </w:r>
            <w:r>
              <w:rPr>
                <w:rFonts w:hint="eastAsia" w:cs="Times New Roman"/>
                <w:bCs/>
                <w:color w:val="auto"/>
                <w:kern w:val="0"/>
                <w:sz w:val="21"/>
                <w:szCs w:val="21"/>
                <w:highlight w:val="none"/>
                <w:lang w:val="en-US" w:eastAsia="zh-CN"/>
              </w:rPr>
              <w:t>热风炉房</w:t>
            </w:r>
            <w:r>
              <w:rPr>
                <w:rFonts w:hint="eastAsia" w:cs="Times New Roman"/>
                <w:color w:val="auto"/>
                <w:sz w:val="21"/>
                <w:szCs w:val="21"/>
                <w:highlight w:val="none"/>
                <w:lang w:val="en-US" w:eastAsia="zh-CN"/>
              </w:rPr>
              <w:t>内封闭灰渣间，</w:t>
            </w:r>
            <w:r>
              <w:rPr>
                <w:rFonts w:hint="default" w:ascii="Times New Roman" w:hAnsi="Times New Roman" w:cs="Times New Roman"/>
                <w:color w:val="auto"/>
                <w:sz w:val="21"/>
                <w:szCs w:val="21"/>
                <w:highlight w:val="none"/>
                <w:lang w:val="en-US" w:eastAsia="zh-CN"/>
              </w:rPr>
              <w:t>每10天清运1</w:t>
            </w:r>
            <w:r>
              <w:rPr>
                <w:rFonts w:hint="eastAsia" w:cs="Times New Roman"/>
                <w:color w:val="auto"/>
                <w:sz w:val="21"/>
                <w:szCs w:val="21"/>
                <w:highlight w:val="none"/>
                <w:lang w:val="en-US" w:eastAsia="zh-CN"/>
              </w:rPr>
              <w:t>次，不在厂区长期储存，外售综合利用。</w:t>
            </w:r>
          </w:p>
          <w:p w14:paraId="6424B960">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③</w:t>
            </w:r>
            <w:r>
              <w:rPr>
                <w:rFonts w:hint="eastAsia" w:cs="Times New Roman"/>
                <w:color w:val="auto"/>
                <w:sz w:val="21"/>
                <w:szCs w:val="21"/>
                <w:highlight w:val="none"/>
                <w:lang w:val="en-US" w:eastAsia="zh-CN"/>
              </w:rPr>
              <w:t>废布袋</w:t>
            </w:r>
          </w:p>
          <w:p w14:paraId="2884AC2B">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default" w:cs="Times New Roman"/>
                <w:color w:val="auto"/>
                <w:sz w:val="21"/>
                <w:szCs w:val="21"/>
                <w:highlight w:val="none"/>
                <w:lang w:val="en-US" w:eastAsia="zh-CN"/>
              </w:rPr>
            </w:pPr>
            <w:r>
              <w:rPr>
                <w:rFonts w:hint="default"/>
                <w:color w:val="auto"/>
                <w:sz w:val="21"/>
                <w:szCs w:val="21"/>
              </w:rPr>
              <w:t>本项目除尘器为保证除尘效率，定期更换布袋，</w:t>
            </w:r>
            <w:r>
              <w:rPr>
                <w:rFonts w:hint="eastAsia" w:ascii="Times New Roman" w:hAnsi="Times New Roman" w:cs="Times New Roman"/>
                <w:color w:val="auto"/>
                <w:sz w:val="21"/>
                <w:szCs w:val="21"/>
                <w:highlight w:val="none"/>
                <w:lang w:eastAsia="zh-CN" w:bidi="ar"/>
              </w:rPr>
              <w:t>每年</w:t>
            </w:r>
            <w:r>
              <w:rPr>
                <w:rFonts w:hint="default"/>
                <w:color w:val="auto"/>
                <w:sz w:val="21"/>
                <w:szCs w:val="21"/>
              </w:rPr>
              <w:t>更换一次，废弃布袋产生量</w:t>
            </w:r>
            <w:r>
              <w:rPr>
                <w:rFonts w:hint="eastAsia"/>
                <w:color w:val="auto"/>
                <w:sz w:val="21"/>
                <w:szCs w:val="21"/>
                <w:lang w:val="en-US" w:eastAsia="zh-CN"/>
              </w:rPr>
              <w:t>约</w:t>
            </w: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t/a</w:t>
            </w:r>
            <w:r>
              <w:rPr>
                <w:rFonts w:hint="default"/>
                <w:color w:val="auto"/>
                <w:sz w:val="21"/>
                <w:szCs w:val="21"/>
              </w:rPr>
              <w:t>，</w:t>
            </w:r>
            <w:r>
              <w:rPr>
                <w:rFonts w:hint="eastAsia"/>
                <w:color w:val="auto"/>
                <w:sz w:val="21"/>
                <w:szCs w:val="21"/>
              </w:rPr>
              <w:t>更换后由厂家直接带走</w:t>
            </w:r>
            <w:r>
              <w:rPr>
                <w:rFonts w:hint="default"/>
                <w:color w:val="auto"/>
                <w:sz w:val="21"/>
                <w:szCs w:val="21"/>
              </w:rPr>
              <w:t>。</w:t>
            </w:r>
          </w:p>
          <w:p w14:paraId="5399B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④</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装卸、烘干</w:t>
            </w:r>
            <w:r>
              <w:rPr>
                <w:rFonts w:hint="default" w:ascii="Times New Roman" w:hAnsi="Times New Roman" w:cs="Times New Roman"/>
                <w:color w:val="auto"/>
                <w:sz w:val="21"/>
                <w:szCs w:val="21"/>
                <w:highlight w:val="none"/>
              </w:rPr>
              <w:t>粉尘</w:t>
            </w:r>
          </w:p>
          <w:p w14:paraId="3DED3D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装卸、烘干</w:t>
            </w:r>
            <w:r>
              <w:rPr>
                <w:rFonts w:hint="eastAsia" w:cs="Times New Roman"/>
                <w:color w:val="auto"/>
                <w:sz w:val="21"/>
                <w:szCs w:val="21"/>
                <w:highlight w:val="none"/>
                <w:lang w:val="en-US" w:eastAsia="zh-CN"/>
              </w:rPr>
              <w:t>、成品输送</w:t>
            </w:r>
            <w:r>
              <w:rPr>
                <w:rFonts w:hint="eastAsia" w:ascii="Times New Roman" w:hAnsi="Times New Roman" w:cs="Times New Roman"/>
                <w:color w:val="auto"/>
                <w:sz w:val="21"/>
                <w:szCs w:val="21"/>
                <w:highlight w:val="none"/>
                <w:lang w:eastAsia="zh-CN"/>
              </w:rPr>
              <w:t>过程</w:t>
            </w:r>
            <w:r>
              <w:rPr>
                <w:rFonts w:hint="eastAsia" w:cs="Times New Roman"/>
                <w:color w:val="auto"/>
                <w:sz w:val="21"/>
                <w:szCs w:val="21"/>
                <w:highlight w:val="none"/>
                <w:lang w:val="en-US" w:eastAsia="zh-CN"/>
              </w:rPr>
              <w:t>新增</w:t>
            </w:r>
            <w:r>
              <w:rPr>
                <w:rFonts w:hint="eastAsia" w:ascii="Times New Roman" w:hAnsi="Times New Roman" w:cs="Times New Roman"/>
                <w:color w:val="auto"/>
                <w:sz w:val="21"/>
                <w:szCs w:val="21"/>
                <w:highlight w:val="none"/>
                <w:lang w:eastAsia="zh-CN"/>
              </w:rPr>
              <w:t>的</w:t>
            </w:r>
            <w:r>
              <w:rPr>
                <w:rFonts w:hint="eastAsia"/>
                <w:color w:val="auto"/>
                <w:highlight w:val="none"/>
                <w:lang w:eastAsia="zh-CN"/>
              </w:rPr>
              <w:t>粉尘</w:t>
            </w:r>
            <w:r>
              <w:rPr>
                <w:rFonts w:hint="default" w:ascii="Times New Roman" w:hAnsi="Times New Roman" w:cs="Times New Roman"/>
                <w:color w:val="auto"/>
                <w:sz w:val="21"/>
                <w:szCs w:val="21"/>
                <w:highlight w:val="none"/>
              </w:rPr>
              <w:t>量为</w:t>
            </w:r>
            <w:r>
              <w:rPr>
                <w:rFonts w:hint="eastAsia" w:cs="Times New Roman"/>
                <w:color w:val="auto"/>
                <w:sz w:val="21"/>
                <w:szCs w:val="21"/>
                <w:highlight w:val="none"/>
                <w:lang w:val="en-US" w:eastAsia="zh-CN"/>
              </w:rPr>
              <w:t>128.745</w:t>
            </w:r>
            <w:r>
              <w:rPr>
                <w:rFonts w:hint="default" w:ascii="Times New Roman" w:hAnsi="Times New Roman"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由市政环卫部门统一清运</w:t>
            </w:r>
            <w:r>
              <w:rPr>
                <w:rFonts w:hint="eastAsia" w:cs="Times New Roman"/>
                <w:color w:val="auto"/>
                <w:sz w:val="21"/>
                <w:szCs w:val="21"/>
                <w:highlight w:val="none"/>
                <w:lang w:val="en-US" w:eastAsia="zh-CN"/>
              </w:rPr>
              <w:t>。</w:t>
            </w:r>
          </w:p>
          <w:p w14:paraId="1298205B">
            <w:pPr>
              <w:pStyle w:val="2"/>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eastAsia"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⑤</w:t>
            </w:r>
            <w:r>
              <w:rPr>
                <w:rFonts w:hint="eastAsia" w:ascii="Times New Roman" w:hAnsi="Times New Roman" w:eastAsia="宋体" w:cs="Times New Roman"/>
                <w:bCs/>
                <w:color w:val="auto"/>
                <w:sz w:val="21"/>
                <w:szCs w:val="21"/>
                <w:highlight w:val="none"/>
                <w:lang w:val="en-US" w:eastAsia="zh-CN"/>
              </w:rPr>
              <w:t>危险</w:t>
            </w:r>
            <w:r>
              <w:rPr>
                <w:rFonts w:hint="eastAsia" w:cs="Times New Roman"/>
                <w:bCs/>
                <w:color w:val="auto"/>
                <w:sz w:val="21"/>
                <w:szCs w:val="21"/>
                <w:highlight w:val="none"/>
                <w:lang w:val="en-US" w:eastAsia="zh-CN"/>
              </w:rPr>
              <w:t>废物</w:t>
            </w:r>
          </w:p>
          <w:p w14:paraId="5D86FB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hAnsi="宋体"/>
                <w:color w:val="auto"/>
                <w:sz w:val="21"/>
                <w:szCs w:val="21"/>
                <w:highlight w:val="none"/>
                <w:lang w:eastAsia="zh-CN"/>
              </w:rPr>
            </w:pPr>
            <w:r>
              <w:rPr>
                <w:rFonts w:hint="eastAsia" w:cs="Times New Roman"/>
                <w:bCs/>
                <w:color w:val="auto"/>
                <w:sz w:val="21"/>
                <w:szCs w:val="21"/>
                <w:highlight w:val="none"/>
                <w:lang w:val="en-US" w:eastAsia="zh-CN"/>
              </w:rPr>
              <w:t>废机油、含油抹布手套等</w:t>
            </w:r>
            <w:r>
              <w:rPr>
                <w:rFonts w:hint="eastAsia" w:ascii="Times New Roman" w:hAnsi="Times New Roman" w:eastAsia="宋体" w:cs="Times New Roman"/>
                <w:bCs/>
                <w:color w:val="auto"/>
                <w:sz w:val="21"/>
                <w:szCs w:val="21"/>
                <w:highlight w:val="none"/>
                <w:lang w:val="en-US" w:eastAsia="zh-CN"/>
              </w:rPr>
              <w:t>统一储存在</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内</w:t>
            </w:r>
            <w:r>
              <w:rPr>
                <w:rFonts w:hint="eastAsia" w:cs="Times New Roman"/>
                <w:bCs/>
                <w:color w:val="auto"/>
                <w:sz w:val="21"/>
                <w:szCs w:val="21"/>
                <w:highlight w:val="none"/>
                <w:lang w:val="en-US" w:eastAsia="zh-CN"/>
              </w:rPr>
              <w:t>密闭废油桶、容器内</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产生量</w:t>
            </w:r>
            <w:r>
              <w:rPr>
                <w:rFonts w:hint="eastAsia"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3</w:t>
            </w:r>
            <w:r>
              <w:rPr>
                <w:rFonts w:hint="eastAsia" w:ascii="Times New Roman" w:hAnsi="Times New Roman" w:eastAsia="宋体" w:cs="Times New Roman"/>
                <w:bCs/>
                <w:color w:val="auto"/>
                <w:sz w:val="21"/>
                <w:szCs w:val="21"/>
                <w:highlight w:val="none"/>
                <w:lang w:val="en-US" w:eastAsia="zh-CN"/>
              </w:rPr>
              <w:t>t/a，集中收集后</w:t>
            </w:r>
            <w:r>
              <w:rPr>
                <w:rFonts w:hint="eastAsia" w:ascii="Times New Roman" w:hAnsi="Times New Roman" w:eastAsia="宋体" w:cs="Times New Roman"/>
                <w:bCs/>
                <w:color w:val="auto"/>
                <w:sz w:val="21"/>
                <w:szCs w:val="21"/>
                <w:highlight w:val="none"/>
                <w:lang w:eastAsia="zh-CN"/>
              </w:rPr>
              <w:t>，定期</w:t>
            </w:r>
            <w:r>
              <w:rPr>
                <w:rFonts w:hint="eastAsia" w:ascii="Times New Roman" w:hAnsi="Times New Roman" w:eastAsia="宋体" w:cs="Times New Roman"/>
                <w:bCs/>
                <w:color w:val="auto"/>
                <w:sz w:val="21"/>
                <w:szCs w:val="21"/>
                <w:highlight w:val="none"/>
                <w:lang w:val="en-US" w:eastAsia="zh-CN"/>
              </w:rPr>
              <w:t>交由有资质单位处理。</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必须地面与裙脚要用坚固、防渗的建筑材料建造，防渗层为至少2mm厚的防渗人工材料，防渗系数≤10</w:t>
            </w:r>
            <w:r>
              <w:rPr>
                <w:rFonts w:hint="eastAsia" w:ascii="Times New Roman" w:hAnsi="Times New Roman" w:eastAsia="宋体" w:cs="Times New Roman"/>
                <w:bCs/>
                <w:color w:val="auto"/>
                <w:sz w:val="21"/>
                <w:szCs w:val="21"/>
                <w:highlight w:val="none"/>
                <w:vertAlign w:val="superscript"/>
                <w:lang w:val="en-US" w:eastAsia="zh-CN"/>
              </w:rPr>
              <w:t>-</w:t>
            </w:r>
            <w:r>
              <w:rPr>
                <w:rFonts w:hint="eastAsia" w:cs="Times New Roman"/>
                <w:bCs/>
                <w:color w:val="auto"/>
                <w:sz w:val="21"/>
                <w:szCs w:val="21"/>
                <w:highlight w:val="none"/>
                <w:vertAlign w:val="superscript"/>
                <w:lang w:val="en-US" w:eastAsia="zh-CN"/>
              </w:rPr>
              <w:t>10</w:t>
            </w:r>
            <w:r>
              <w:rPr>
                <w:rFonts w:hint="eastAsia" w:ascii="Times New Roman" w:hAnsi="Times New Roman" w:eastAsia="宋体" w:cs="Times New Roman"/>
                <w:bCs/>
                <w:color w:val="auto"/>
                <w:sz w:val="21"/>
                <w:szCs w:val="21"/>
                <w:highlight w:val="none"/>
                <w:lang w:val="en-US" w:eastAsia="zh-CN"/>
              </w:rPr>
              <w:t>cm/s，危险废物须做好危险废物情况的记录、记录上须标明危险废物的名</w:t>
            </w:r>
            <w:r>
              <w:rPr>
                <w:rFonts w:hint="eastAsia" w:hAnsi="宋体"/>
                <w:color w:val="auto"/>
                <w:sz w:val="21"/>
                <w:szCs w:val="21"/>
                <w:highlight w:val="none"/>
                <w:lang w:val="en-US" w:eastAsia="zh-CN"/>
              </w:rPr>
              <w:t>称、来源、数量、入库时间、废物出库日期及接收单位名称。危险废物经过统一收集后再交给有资质的危险废物处置单位处理。</w:t>
            </w:r>
          </w:p>
          <w:p w14:paraId="6165B465">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采取上述措施后，运营期产生的固体废物可以得到有效处理处置，不会对周边环境产生危害性影响。</w:t>
            </w:r>
          </w:p>
          <w:p w14:paraId="4A30A68F">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（2）</w:t>
            </w:r>
            <w:r>
              <w:rPr>
                <w:rFonts w:hint="eastAsia" w:ascii="Times New Roman" w:hAnsi="Times New Roman" w:eastAsia="宋体" w:cs="Times New Roman"/>
                <w:bCs/>
                <w:color w:val="auto"/>
                <w:sz w:val="21"/>
                <w:szCs w:val="21"/>
                <w:highlight w:val="none"/>
                <w:lang w:val="en-US" w:eastAsia="zh-CN"/>
              </w:rPr>
              <w:t>危险废物处置措施</w:t>
            </w:r>
          </w:p>
          <w:p w14:paraId="655DFD9A">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①</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设置要求</w:t>
            </w:r>
          </w:p>
          <w:p w14:paraId="08700E9D">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rPr>
            </w:pP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应做到防风、防雨、防晒、防渗漏，贮存设施地面与裙脚应采取表面防渗措施</w:t>
            </w:r>
            <w:r>
              <w:rPr>
                <w:rFonts w:hint="eastAsia" w:cs="Times New Roman"/>
                <w:bCs/>
                <w:color w:val="auto"/>
                <w:sz w:val="21"/>
                <w:szCs w:val="21"/>
                <w:highlight w:val="none"/>
                <w:lang w:val="en-US" w:eastAsia="zh-CN"/>
              </w:rPr>
              <w:t>，防渗、防腐材料应覆盖所有可能与废物及其渗滤液、渗漏液等接触的构筑物表面。</w:t>
            </w:r>
            <w:r>
              <w:rPr>
                <w:rFonts w:hint="eastAsia" w:ascii="Times New Roman" w:hAnsi="Times New Roman" w:eastAsia="宋体" w:cs="Times New Roman"/>
                <w:bCs/>
                <w:color w:val="auto"/>
                <w:sz w:val="21"/>
                <w:szCs w:val="21"/>
                <w:highlight w:val="none"/>
                <w:lang w:val="en-US" w:eastAsia="zh-CN"/>
              </w:rPr>
              <w:t>严格按照《危险废物贮存污染控制标准》（GB18597-20</w:t>
            </w:r>
            <w:r>
              <w:rPr>
                <w:rFonts w:hint="eastAsia" w:cs="Times New Roman"/>
                <w:bCs/>
                <w:color w:val="auto"/>
                <w:sz w:val="21"/>
                <w:szCs w:val="21"/>
                <w:highlight w:val="none"/>
                <w:lang w:val="en-US" w:eastAsia="zh-CN"/>
              </w:rPr>
              <w:t>23</w:t>
            </w:r>
            <w:r>
              <w:rPr>
                <w:rFonts w:hint="eastAsia" w:ascii="Times New Roman" w:hAnsi="Times New Roman" w:eastAsia="宋体" w:cs="Times New Roman"/>
                <w:bCs/>
                <w:color w:val="auto"/>
                <w:sz w:val="21"/>
                <w:szCs w:val="21"/>
                <w:highlight w:val="none"/>
                <w:lang w:val="en-US" w:eastAsia="zh-CN"/>
              </w:rPr>
              <w:t>）的要求进行防渗、防漏</w:t>
            </w:r>
            <w:r>
              <w:rPr>
                <w:rFonts w:hint="eastAsia" w:cs="Times New Roman"/>
                <w:bCs/>
                <w:color w:val="auto"/>
                <w:sz w:val="21"/>
                <w:szCs w:val="21"/>
                <w:highlight w:val="none"/>
                <w:lang w:val="en-US" w:eastAsia="zh-CN"/>
              </w:rPr>
              <w:t>。</w:t>
            </w:r>
          </w:p>
          <w:p w14:paraId="0941B0B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12</w:t>
            </w:r>
            <w:r>
              <w:rPr>
                <w:rFonts w:hint="eastAsia" w:ascii="Times New Roman" w:hAnsi="Times New Roman" w:eastAsia="宋体" w:cs="Times New Roman"/>
                <w:b/>
                <w:bCs/>
                <w:color w:val="auto"/>
                <w:kern w:val="2"/>
                <w:sz w:val="21"/>
                <w:szCs w:val="21"/>
                <w:highlight w:val="none"/>
                <w:lang w:val="en-US" w:eastAsia="zh-CN" w:bidi="ar-SA"/>
              </w:rPr>
              <w:t xml:space="preserve">  危险废物贮存场所基本情况</w:t>
            </w:r>
          </w:p>
          <w:tbl>
            <w:tblPr>
              <w:tblStyle w:val="34"/>
              <w:tblW w:w="80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237"/>
              <w:gridCol w:w="1309"/>
              <w:gridCol w:w="1005"/>
              <w:gridCol w:w="1544"/>
              <w:gridCol w:w="903"/>
              <w:gridCol w:w="899"/>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tcBorders>
                    <w:tl2br w:val="nil"/>
                    <w:tr2bl w:val="nil"/>
                  </w:tcBorders>
                  <w:noWrap w:val="0"/>
                  <w:vAlign w:val="center"/>
                </w:tcPr>
                <w:p w14:paraId="46299BE5">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危险废物名称</w:t>
                  </w:r>
                </w:p>
              </w:tc>
              <w:tc>
                <w:tcPr>
                  <w:tcW w:w="1237" w:type="dxa"/>
                  <w:tcBorders>
                    <w:tl2br w:val="nil"/>
                    <w:tr2bl w:val="nil"/>
                  </w:tcBorders>
                  <w:noWrap w:val="0"/>
                  <w:vAlign w:val="center"/>
                </w:tcPr>
                <w:p w14:paraId="611BAFD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危险废物类别</w:t>
                  </w:r>
                </w:p>
              </w:tc>
              <w:tc>
                <w:tcPr>
                  <w:tcW w:w="1309" w:type="dxa"/>
                  <w:tcBorders>
                    <w:tl2br w:val="nil"/>
                    <w:tr2bl w:val="nil"/>
                  </w:tcBorders>
                  <w:noWrap w:val="0"/>
                  <w:vAlign w:val="center"/>
                </w:tcPr>
                <w:p w14:paraId="4020758F">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危险废物代码</w:t>
                  </w:r>
                </w:p>
              </w:tc>
              <w:tc>
                <w:tcPr>
                  <w:tcW w:w="1005" w:type="dxa"/>
                  <w:tcBorders>
                    <w:tl2br w:val="nil"/>
                    <w:tr2bl w:val="nil"/>
                  </w:tcBorders>
                  <w:noWrap w:val="0"/>
                  <w:vAlign w:val="center"/>
                </w:tcPr>
                <w:p w14:paraId="5DE1A32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年产生量</w:t>
                  </w:r>
                </w:p>
              </w:tc>
              <w:tc>
                <w:tcPr>
                  <w:tcW w:w="1544" w:type="dxa"/>
                  <w:tcBorders>
                    <w:tl2br w:val="nil"/>
                    <w:tr2bl w:val="nil"/>
                  </w:tcBorders>
                  <w:noWrap w:val="0"/>
                  <w:vAlign w:val="center"/>
                </w:tcPr>
                <w:p w14:paraId="13E5C7E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贮存方式</w:t>
                  </w:r>
                </w:p>
              </w:tc>
              <w:tc>
                <w:tcPr>
                  <w:tcW w:w="903" w:type="dxa"/>
                  <w:tcBorders>
                    <w:tl2br w:val="nil"/>
                    <w:tr2bl w:val="nil"/>
                  </w:tcBorders>
                  <w:noWrap w:val="0"/>
                  <w:vAlign w:val="center"/>
                </w:tcPr>
                <w:p w14:paraId="7CC62A0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贮存能力</w:t>
                  </w:r>
                </w:p>
              </w:tc>
              <w:tc>
                <w:tcPr>
                  <w:tcW w:w="899" w:type="dxa"/>
                  <w:tcBorders>
                    <w:tl2br w:val="nil"/>
                    <w:tr2bl w:val="nil"/>
                  </w:tcBorders>
                  <w:noWrap w:val="0"/>
                  <w:vAlign w:val="center"/>
                </w:tcPr>
                <w:p w14:paraId="2F203AE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tcBorders>
                    <w:tl2br w:val="nil"/>
                    <w:tr2bl w:val="nil"/>
                  </w:tcBorders>
                  <w:noWrap w:val="0"/>
                  <w:vAlign w:val="center"/>
                </w:tcPr>
                <w:p w14:paraId="53241F21">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废机油</w:t>
                  </w:r>
                </w:p>
              </w:tc>
              <w:tc>
                <w:tcPr>
                  <w:tcW w:w="1237" w:type="dxa"/>
                  <w:tcBorders>
                    <w:tl2br w:val="nil"/>
                    <w:tr2bl w:val="nil"/>
                  </w:tcBorders>
                  <w:noWrap w:val="0"/>
                  <w:vAlign w:val="center"/>
                </w:tcPr>
                <w:p w14:paraId="1C69FE0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HW08</w:t>
                  </w:r>
                </w:p>
              </w:tc>
              <w:tc>
                <w:tcPr>
                  <w:tcW w:w="1309" w:type="dxa"/>
                  <w:tcBorders>
                    <w:tl2br w:val="nil"/>
                    <w:tr2bl w:val="nil"/>
                  </w:tcBorders>
                  <w:noWrap w:val="0"/>
                  <w:vAlign w:val="center"/>
                </w:tcPr>
                <w:p w14:paraId="1CE5518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900-21</w:t>
                  </w:r>
                  <w:r>
                    <w:rPr>
                      <w:rFonts w:hint="eastAsia" w:ascii="Times New Roman" w:hAnsi="Times New Roman" w:cs="Times New Roman"/>
                      <w:bCs/>
                      <w:color w:val="auto"/>
                      <w:sz w:val="18"/>
                      <w:szCs w:val="18"/>
                      <w:highlight w:val="none"/>
                      <w:lang w:val="en-US" w:eastAsia="zh-CN"/>
                    </w:rPr>
                    <w:t>4</w:t>
                  </w:r>
                  <w:r>
                    <w:rPr>
                      <w:rFonts w:hint="eastAsia" w:ascii="Times New Roman" w:hAnsi="Times New Roman" w:eastAsia="宋体" w:cs="Times New Roman"/>
                      <w:bCs/>
                      <w:color w:val="auto"/>
                      <w:sz w:val="18"/>
                      <w:szCs w:val="18"/>
                      <w:highlight w:val="none"/>
                      <w:lang w:val="en-US" w:eastAsia="zh-CN"/>
                    </w:rPr>
                    <w:t>-08</w:t>
                  </w:r>
                </w:p>
              </w:tc>
              <w:tc>
                <w:tcPr>
                  <w:tcW w:w="1005" w:type="dxa"/>
                  <w:tcBorders>
                    <w:tl2br w:val="nil"/>
                    <w:tr2bl w:val="nil"/>
                  </w:tcBorders>
                  <w:noWrap w:val="0"/>
                  <w:vAlign w:val="center"/>
                </w:tcPr>
                <w:p w14:paraId="53680E4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w:t>
                  </w:r>
                  <w:r>
                    <w:rPr>
                      <w:rFonts w:hint="eastAsia" w:cs="Times New Roman"/>
                      <w:bCs/>
                      <w:color w:val="auto"/>
                      <w:sz w:val="18"/>
                      <w:szCs w:val="18"/>
                      <w:highlight w:val="none"/>
                      <w:lang w:val="en-US" w:eastAsia="zh-CN"/>
                    </w:rPr>
                    <w:t>02t</w:t>
                  </w:r>
                </w:p>
              </w:tc>
              <w:tc>
                <w:tcPr>
                  <w:tcW w:w="1544" w:type="dxa"/>
                  <w:tcBorders>
                    <w:tl2br w:val="nil"/>
                    <w:tr2bl w:val="nil"/>
                  </w:tcBorders>
                  <w:noWrap w:val="0"/>
                  <w:vAlign w:val="center"/>
                </w:tcPr>
                <w:p w14:paraId="20B23EC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暂存于</w:t>
                  </w:r>
                  <w:r>
                    <w:rPr>
                      <w:rFonts w:hint="eastAsia"/>
                      <w:color w:val="auto"/>
                      <w:sz w:val="18"/>
                      <w:szCs w:val="18"/>
                      <w:highlight w:val="none"/>
                      <w:lang w:val="en-US" w:eastAsia="zh-CN"/>
                    </w:rPr>
                    <w:t>危险废物贮存点</w:t>
                  </w:r>
                </w:p>
              </w:tc>
              <w:tc>
                <w:tcPr>
                  <w:tcW w:w="903" w:type="dxa"/>
                  <w:tcBorders>
                    <w:tl2br w:val="nil"/>
                    <w:tr2bl w:val="nil"/>
                  </w:tcBorders>
                  <w:noWrap w:val="0"/>
                  <w:vAlign w:val="center"/>
                </w:tcPr>
                <w:p w14:paraId="55C0D95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30kg</w:t>
                  </w:r>
                </w:p>
              </w:tc>
              <w:tc>
                <w:tcPr>
                  <w:tcW w:w="899" w:type="dxa"/>
                  <w:tcBorders>
                    <w:tl2br w:val="nil"/>
                    <w:tr2bl w:val="nil"/>
                  </w:tcBorders>
                  <w:noWrap w:val="0"/>
                  <w:vAlign w:val="center"/>
                </w:tcPr>
                <w:p w14:paraId="19A343D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4C143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78" w:type="dxa"/>
                  <w:tcBorders>
                    <w:tl2br w:val="nil"/>
                    <w:tr2bl w:val="nil"/>
                  </w:tcBorders>
                  <w:shd w:val="clear" w:color="auto" w:fill="auto"/>
                  <w:noWrap w:val="0"/>
                  <w:vAlign w:val="center"/>
                </w:tcPr>
                <w:p w14:paraId="31872CB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废弃含油抹布手套</w:t>
                  </w:r>
                </w:p>
              </w:tc>
              <w:tc>
                <w:tcPr>
                  <w:tcW w:w="1237" w:type="dxa"/>
                  <w:tcBorders>
                    <w:tl2br w:val="nil"/>
                    <w:tr2bl w:val="nil"/>
                  </w:tcBorders>
                  <w:shd w:val="clear" w:color="auto" w:fill="auto"/>
                  <w:noWrap w:val="0"/>
                  <w:vAlign w:val="center"/>
                </w:tcPr>
                <w:p w14:paraId="2802334C">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HW08</w:t>
                  </w:r>
                </w:p>
              </w:tc>
              <w:tc>
                <w:tcPr>
                  <w:tcW w:w="1309" w:type="dxa"/>
                  <w:tcBorders>
                    <w:tl2br w:val="nil"/>
                    <w:tr2bl w:val="nil"/>
                  </w:tcBorders>
                  <w:shd w:val="clear" w:color="auto" w:fill="auto"/>
                  <w:noWrap w:val="0"/>
                  <w:vAlign w:val="center"/>
                </w:tcPr>
                <w:p w14:paraId="02A4269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900-041-49</w:t>
                  </w:r>
                </w:p>
              </w:tc>
              <w:tc>
                <w:tcPr>
                  <w:tcW w:w="1005" w:type="dxa"/>
                  <w:tcBorders>
                    <w:tl2br w:val="nil"/>
                    <w:tr2bl w:val="nil"/>
                  </w:tcBorders>
                  <w:shd w:val="clear" w:color="auto" w:fill="auto"/>
                  <w:noWrap w:val="0"/>
                  <w:vAlign w:val="center"/>
                </w:tcPr>
                <w:p w14:paraId="2B5390B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0.01</w:t>
                  </w:r>
                </w:p>
              </w:tc>
              <w:tc>
                <w:tcPr>
                  <w:tcW w:w="1544" w:type="dxa"/>
                  <w:tcBorders>
                    <w:tl2br w:val="nil"/>
                    <w:tr2bl w:val="nil"/>
                  </w:tcBorders>
                  <w:shd w:val="clear" w:color="auto" w:fill="auto"/>
                  <w:noWrap w:val="0"/>
                  <w:vAlign w:val="center"/>
                </w:tcPr>
                <w:p w14:paraId="31D81EC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r>
                    <w:rPr>
                      <w:rFonts w:hint="eastAsia" w:ascii="Times New Roman" w:hAnsi="Times New Roman" w:eastAsia="宋体" w:cs="Times New Roman"/>
                      <w:bCs/>
                      <w:color w:val="auto"/>
                      <w:sz w:val="18"/>
                      <w:szCs w:val="18"/>
                      <w:highlight w:val="none"/>
                      <w:lang w:val="en-US" w:eastAsia="zh-CN"/>
                    </w:rPr>
                    <w:t>内</w:t>
                  </w:r>
                  <w:r>
                    <w:rPr>
                      <w:rFonts w:hint="eastAsia" w:cs="Times New Roman"/>
                      <w:bCs/>
                      <w:color w:val="auto"/>
                      <w:sz w:val="18"/>
                      <w:szCs w:val="18"/>
                      <w:highlight w:val="none"/>
                      <w:lang w:val="en-US" w:eastAsia="zh-CN"/>
                    </w:rPr>
                    <w:t>密闭容器内</w:t>
                  </w:r>
                </w:p>
              </w:tc>
              <w:tc>
                <w:tcPr>
                  <w:tcW w:w="903" w:type="dxa"/>
                  <w:tcBorders>
                    <w:tl2br w:val="nil"/>
                    <w:tr2bl w:val="nil"/>
                  </w:tcBorders>
                  <w:shd w:val="clear" w:color="auto" w:fill="auto"/>
                  <w:noWrap w:val="0"/>
                  <w:vAlign w:val="center"/>
                </w:tcPr>
                <w:p w14:paraId="6A79E232">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20kg</w:t>
                  </w:r>
                </w:p>
              </w:tc>
              <w:tc>
                <w:tcPr>
                  <w:tcW w:w="899" w:type="dxa"/>
                  <w:tcBorders>
                    <w:tl2br w:val="nil"/>
                    <w:tr2bl w:val="nil"/>
                  </w:tcBorders>
                  <w:shd w:val="clear" w:color="auto" w:fill="auto"/>
                  <w:noWrap w:val="0"/>
                  <w:vAlign w:val="center"/>
                </w:tcPr>
                <w:p w14:paraId="0856F84B">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bl>
          <w:p w14:paraId="11601ED1">
            <w:pPr>
              <w:pStyle w:val="49"/>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eastAsia" w:ascii="Times New Roman" w:hAnsi="Times New Roman" w:cs="Times New Roman"/>
                <w:b w:val="0"/>
                <w:bCs/>
                <w:color w:val="auto"/>
                <w:sz w:val="21"/>
                <w:szCs w:val="21"/>
                <w:lang w:val="en-US" w:eastAsia="zh-CN"/>
              </w:rPr>
            </w:pPr>
            <w:r>
              <w:rPr>
                <w:rFonts w:hint="eastAsia" w:cs="Times New Roman"/>
                <w:color w:val="auto"/>
                <w:kern w:val="2"/>
                <w:sz w:val="21"/>
                <w:szCs w:val="21"/>
                <w:lang w:val="en-US" w:eastAsia="zh-CN" w:bidi="ar-SA"/>
              </w:rPr>
              <w:t>②危废</w:t>
            </w:r>
            <w:r>
              <w:rPr>
                <w:rFonts w:hint="eastAsia" w:ascii="Times New Roman" w:hAnsi="Times New Roman" w:cs="Times New Roman"/>
                <w:b w:val="0"/>
                <w:bCs/>
                <w:color w:val="auto"/>
                <w:sz w:val="21"/>
                <w:szCs w:val="21"/>
                <w:lang w:val="en-US" w:eastAsia="zh-CN"/>
              </w:rPr>
              <w:t>贮存点贮存可行性分析</w:t>
            </w:r>
          </w:p>
          <w:p w14:paraId="3F9C9F83">
            <w:pPr>
              <w:pStyle w:val="49"/>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color w:val="auto"/>
                <w:szCs w:val="20"/>
                <w:lang w:val="en-US"/>
              </w:rPr>
            </w:pPr>
            <w:r>
              <w:rPr>
                <w:rFonts w:hint="eastAsia" w:ascii="Times New Roman" w:hAnsi="Times New Roman" w:cs="Times New Roman"/>
                <w:b w:val="0"/>
                <w:bCs/>
                <w:color w:val="auto"/>
                <w:sz w:val="21"/>
                <w:szCs w:val="21"/>
                <w:lang w:val="en-US" w:eastAsia="zh-CN"/>
              </w:rPr>
              <w:t>本项目危险废物产生量约为0.02t/a，新建危险废物贮存点位于库房3，面积4m</w:t>
            </w:r>
            <w:r>
              <w:rPr>
                <w:rFonts w:hint="eastAsia" w:ascii="Times New Roman" w:hAnsi="Times New Roman" w:cs="Times New Roman"/>
                <w:b w:val="0"/>
                <w:bCs/>
                <w:color w:val="auto"/>
                <w:sz w:val="21"/>
                <w:szCs w:val="21"/>
                <w:vertAlign w:val="superscript"/>
                <w:lang w:val="en-US" w:eastAsia="zh-CN"/>
              </w:rPr>
              <w:t>2</w:t>
            </w:r>
            <w:r>
              <w:rPr>
                <w:rFonts w:hint="eastAsia" w:ascii="Times New Roman" w:hAnsi="Times New Roman" w:cs="Times New Roman"/>
                <w:b w:val="0"/>
                <w:bCs/>
                <w:color w:val="auto"/>
                <w:sz w:val="21"/>
                <w:szCs w:val="21"/>
                <w:lang w:val="en-US" w:eastAsia="zh-CN"/>
              </w:rPr>
              <w:t>，危险废物贮存点地面及裙脚采用2mm厚的高密度聚乙烯+防渗混凝土进行防渗处理，渗透系数≤10</w:t>
            </w:r>
            <w:r>
              <w:rPr>
                <w:rFonts w:hint="eastAsia" w:ascii="Times New Roman" w:hAnsi="Times New Roman" w:cs="Times New Roman"/>
                <w:b w:val="0"/>
                <w:bCs/>
                <w:color w:val="auto"/>
                <w:sz w:val="21"/>
                <w:szCs w:val="21"/>
                <w:vertAlign w:val="superscript"/>
                <w:lang w:val="en-US" w:eastAsia="zh-CN"/>
              </w:rPr>
              <w:t>-10</w:t>
            </w:r>
            <w:r>
              <w:rPr>
                <w:rFonts w:hint="eastAsia" w:ascii="Times New Roman" w:hAnsi="Times New Roman" w:cs="Times New Roman"/>
                <w:b w:val="0"/>
                <w:bCs/>
                <w:color w:val="auto"/>
                <w:sz w:val="21"/>
                <w:szCs w:val="21"/>
                <w:lang w:val="en-US" w:eastAsia="zh-CN"/>
              </w:rPr>
              <w:t>cm/s，满足《危险废物贮存污染控制标准》（GB18597-2023）。废机油在储存过程中，采用专用的容器存储，容器外侧粘贴符合标准要求的醒目标签。建设单位对危废贮存场的设计、建设和管理严格按照《危险废物贮存污染控制标准》（GB18597-2023）、《环境保护图形标志、固体废物贮存（处置）场》（GB15562.2）和《危险废物收集、贮存、运输技术规范》（HJ2025-2012）的规定进行。因此，危险废物贮存点能够满足本项目要求。</w:t>
            </w:r>
          </w:p>
          <w:p w14:paraId="280AEB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color w:val="auto"/>
                <w:kern w:val="21"/>
                <w:sz w:val="21"/>
                <w:szCs w:val="21"/>
                <w:highlight w:val="none"/>
                <w:lang w:eastAsia="zh-CN"/>
              </w:rPr>
              <w:t>（</w:t>
            </w:r>
            <w:r>
              <w:rPr>
                <w:rFonts w:hint="eastAsia" w:cs="Times New Roman"/>
                <w:color w:val="auto"/>
                <w:kern w:val="21"/>
                <w:sz w:val="21"/>
                <w:szCs w:val="21"/>
                <w:highlight w:val="none"/>
                <w:lang w:val="en-US" w:eastAsia="zh-CN"/>
              </w:rPr>
              <w:t>3</w:t>
            </w:r>
            <w:r>
              <w:rPr>
                <w:rFonts w:hint="default" w:ascii="Times New Roman" w:hAnsi="Times New Roman" w:eastAsia="宋体" w:cs="Times New Roman"/>
                <w:color w:val="auto"/>
                <w:kern w:val="21"/>
                <w:sz w:val="21"/>
                <w:szCs w:val="21"/>
                <w:highlight w:val="none"/>
              </w:rPr>
              <w:t>）环境管理</w:t>
            </w:r>
            <w:r>
              <w:rPr>
                <w:rFonts w:hint="default" w:ascii="Times New Roman" w:hAnsi="Times New Roman" w:cs="Times New Roman"/>
                <w:bCs/>
                <w:color w:val="auto"/>
                <w:sz w:val="21"/>
                <w:szCs w:val="21"/>
                <w:highlight w:val="none"/>
              </w:rPr>
              <w:t>要求</w:t>
            </w:r>
          </w:p>
          <w:p w14:paraId="3FC9D78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default"/>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一般固体废物环境管理要求</w:t>
            </w:r>
          </w:p>
          <w:p w14:paraId="04D9BB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w:t>
            </w:r>
            <w:r>
              <w:rPr>
                <w:rFonts w:hint="eastAsia"/>
                <w:color w:val="auto"/>
                <w:sz w:val="21"/>
                <w:szCs w:val="21"/>
                <w:highlight w:val="none"/>
                <w:lang w:val="en-US" w:eastAsia="zh-CN"/>
              </w:rPr>
              <w:t>热风炉灰</w:t>
            </w:r>
            <w:r>
              <w:rPr>
                <w:rFonts w:hint="eastAsia"/>
                <w:color w:val="auto"/>
                <w:sz w:val="21"/>
                <w:szCs w:val="21"/>
                <w:highlight w:val="none"/>
              </w:rPr>
              <w:t>渣</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集中收集</w:t>
            </w:r>
            <w:r>
              <w:rPr>
                <w:rFonts w:hint="eastAsia" w:cs="Times New Roman"/>
                <w:color w:val="auto"/>
                <w:sz w:val="21"/>
                <w:szCs w:val="21"/>
                <w:highlight w:val="none"/>
                <w:lang w:val="en-US" w:eastAsia="zh-CN"/>
              </w:rPr>
              <w:t>存储于灰渣间，每10天清运1次，不在厂区长期储存，外售综合利用</w:t>
            </w:r>
            <w:r>
              <w:rPr>
                <w:rFonts w:hint="eastAsia" w:cs="Times New Roman"/>
                <w:color w:val="auto"/>
                <w:kern w:val="21"/>
                <w:sz w:val="21"/>
                <w:szCs w:val="21"/>
                <w:highlight w:val="none"/>
                <w:lang w:val="en-US" w:eastAsia="zh-CN"/>
              </w:rPr>
              <w:t>；</w:t>
            </w:r>
            <w:r>
              <w:rPr>
                <w:rFonts w:hint="eastAsia" w:ascii="宋体" w:hAnsi="宋体" w:cs="宋体"/>
                <w:color w:val="auto"/>
                <w:sz w:val="21"/>
                <w:szCs w:val="21"/>
                <w:lang w:val="en-US" w:eastAsia="zh-CN"/>
              </w:rPr>
              <w:t>废布袋，</w:t>
            </w:r>
            <w:r>
              <w:rPr>
                <w:rFonts w:hint="eastAsia" w:ascii="宋体" w:hAnsi="宋体" w:cs="宋体"/>
                <w:color w:val="auto"/>
                <w:sz w:val="21"/>
                <w:szCs w:val="21"/>
              </w:rPr>
              <w:t>由除尘器厂家更换后直接带走</w:t>
            </w:r>
            <w:r>
              <w:rPr>
                <w:rFonts w:hint="eastAsia" w:ascii="宋体" w:hAnsi="宋体" w:cs="宋体"/>
                <w:color w:val="auto"/>
                <w:sz w:val="21"/>
                <w:szCs w:val="21"/>
                <w:lang w:eastAsia="zh-CN"/>
              </w:rPr>
              <w:t>；</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装卸、烘</w:t>
            </w:r>
            <w:r>
              <w:rPr>
                <w:rFonts w:hint="default" w:cs="Times New Roman"/>
                <w:color w:val="auto"/>
                <w:sz w:val="21"/>
                <w:szCs w:val="21"/>
                <w:highlight w:val="none"/>
                <w:lang w:val="en-US" w:eastAsia="zh-CN"/>
              </w:rPr>
              <w:t>干粉尘</w:t>
            </w:r>
            <w:r>
              <w:rPr>
                <w:rFonts w:hint="eastAsia" w:cs="Times New Roman"/>
                <w:color w:val="auto"/>
                <w:sz w:val="21"/>
                <w:szCs w:val="21"/>
                <w:highlight w:val="none"/>
                <w:lang w:val="en-US" w:eastAsia="zh-CN"/>
              </w:rPr>
              <w:t>、生活垃圾</w:t>
            </w:r>
            <w:r>
              <w:rPr>
                <w:rFonts w:hint="default" w:cs="Times New Roman"/>
                <w:color w:val="auto"/>
                <w:sz w:val="21"/>
                <w:szCs w:val="21"/>
                <w:highlight w:val="none"/>
                <w:lang w:val="en-US" w:eastAsia="zh-CN"/>
              </w:rPr>
              <w:t>由市政环卫部门统一清运。</w:t>
            </w:r>
          </w:p>
          <w:p w14:paraId="24047DD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0B81435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2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②</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禁止向生活垃圾收集设施中投放工业固体废物。</w:t>
            </w:r>
          </w:p>
          <w:p w14:paraId="394641C8">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3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③</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2E8036F5">
            <w:pPr>
              <w:pStyle w:val="2"/>
              <w:keepNext w:val="0"/>
              <w:keepLines w:val="0"/>
              <w:suppressLineNumbers w:val="0"/>
              <w:tabs>
                <w:tab w:val="left" w:pos="395"/>
              </w:tabs>
              <w:spacing w:beforeAutospacing="0" w:afterAutospacing="0"/>
              <w:ind w:left="0" w:firstLine="42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危险废物环境管理要求</w:t>
            </w:r>
          </w:p>
          <w:p w14:paraId="023C6E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w:t>
            </w:r>
            <w:r>
              <w:rPr>
                <w:rFonts w:hint="eastAsia" w:cs="Times New Roman"/>
                <w:bCs/>
                <w:color w:val="auto"/>
                <w:sz w:val="21"/>
                <w:szCs w:val="21"/>
                <w:highlight w:val="none"/>
                <w:lang w:eastAsia="zh-CN"/>
              </w:rPr>
              <w:t>危险废物贮存点</w:t>
            </w:r>
            <w:r>
              <w:rPr>
                <w:rFonts w:hint="default" w:ascii="Times New Roman" w:hAnsi="Times New Roman" w:cs="Times New Roman"/>
                <w:bCs/>
                <w:color w:val="auto"/>
                <w:sz w:val="21"/>
                <w:szCs w:val="21"/>
                <w:highlight w:val="none"/>
              </w:rPr>
              <w:t>的设置应按《危险废物贮存污染控制标准》（GB18597-20</w:t>
            </w:r>
            <w:r>
              <w:rPr>
                <w:rFonts w:hint="default" w:ascii="Times New Roman" w:hAnsi="Times New Roman" w:cs="Times New Roman"/>
                <w:bCs/>
                <w:color w:val="auto"/>
                <w:sz w:val="21"/>
                <w:szCs w:val="21"/>
                <w:highlight w:val="none"/>
                <w:lang w:val="en-US" w:eastAsia="zh-CN"/>
              </w:rPr>
              <w:t>23</w:t>
            </w:r>
            <w:r>
              <w:rPr>
                <w:rFonts w:hint="default" w:ascii="Times New Roman" w:hAnsi="Times New Roman" w:cs="Times New Roman"/>
                <w:bCs/>
                <w:color w:val="auto"/>
                <w:sz w:val="21"/>
                <w:szCs w:val="21"/>
                <w:highlight w:val="none"/>
              </w:rPr>
              <w:t>）相关要求进行设置，并做到以下几点：</w:t>
            </w:r>
          </w:p>
          <w:p w14:paraId="76AE7F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①贮存设施运行环境管理要求</w:t>
            </w:r>
          </w:p>
          <w:p w14:paraId="230D98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lang w:val="en-US" w:eastAsia="zh-CN" w:bidi="ar-SA"/>
              </w:rPr>
              <w:t>危险废物存入贮存设施前应对危险废物类别和特性与危险废物标签等危险废物识别标志的一致性进行核验，不一致的或类别、特性不明的不应存入。</w:t>
            </w:r>
          </w:p>
          <w:p w14:paraId="357770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lang w:val="en-US" w:eastAsia="zh-CN" w:bidi="ar-SA"/>
              </w:rPr>
              <w:t xml:space="preserve">应定期检查危险废物的贮存状况，及时清理贮存设施地面，更换破损泄漏的危险废物贮存容器和包装物，保证堆存危险废物的防雨、防风、防扬尘等设施功能完好。                              </w:t>
            </w:r>
          </w:p>
          <w:p w14:paraId="31AD6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lang w:val="en-US" w:eastAsia="zh-CN" w:bidi="ar-SA"/>
              </w:rPr>
              <w:t>作业设备及车辆等结束作业离开贮存设施时，应对其残留的危险废物进行清理，清理的废物或清洗废水应收集处理。</w:t>
            </w:r>
          </w:p>
          <w:p w14:paraId="63E5E22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lang w:val="en-US" w:eastAsia="zh-CN" w:bidi="ar-SA"/>
              </w:rPr>
              <w:t>贮存设施运行期间，应按国家有关标准和规定建立危险废物管理台账并保存。</w:t>
            </w:r>
          </w:p>
          <w:p w14:paraId="4E6BE3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lang w:val="en-US" w:eastAsia="zh-CN" w:bidi="ar-SA"/>
              </w:rPr>
              <w:t>贮存设施所有者或运营者应建立贮存设施环境管理制度、管理人员岗位职责制度、设施运行操作制度、人员岗位培训制度等。</w:t>
            </w:r>
          </w:p>
          <w:p w14:paraId="709FB4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F</w:t>
            </w:r>
            <w:r>
              <w:rPr>
                <w:rFonts w:hint="eastAsia" w:ascii="宋体" w:hAnsi="宋体" w:eastAsia="宋体" w:cs="宋体"/>
                <w:color w:val="auto"/>
                <w:kern w:val="2"/>
                <w:sz w:val="21"/>
                <w:szCs w:val="21"/>
                <w:lang w:val="en-US" w:eastAsia="zh-CN" w:bidi="ar-SA"/>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111EE2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G</w:t>
            </w:r>
            <w:r>
              <w:rPr>
                <w:rFonts w:hint="eastAsia" w:ascii="宋体" w:hAnsi="宋体" w:eastAsia="宋体" w:cs="宋体"/>
                <w:color w:val="auto"/>
                <w:kern w:val="2"/>
                <w:sz w:val="21"/>
                <w:szCs w:val="21"/>
                <w:lang w:val="en-US" w:eastAsia="zh-CN" w:bidi="ar-SA"/>
              </w:rPr>
              <w:t>贮存设施所有者或运营者应建立贮存设施全部档案，包括设计、施工、验收、运行、监测和环境应急等，应按国家有关档案管理的法律法规进行整理和归档。</w:t>
            </w:r>
          </w:p>
          <w:p w14:paraId="3DC9A7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②贮存点环境管理要求</w:t>
            </w:r>
          </w:p>
          <w:p w14:paraId="7D73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lang w:val="en-US" w:eastAsia="zh-CN" w:bidi="ar-SA"/>
              </w:rPr>
              <w:t>贮存点应具有固定的区域边界，并应采取与其他区域进行隔离的措施。</w:t>
            </w:r>
          </w:p>
          <w:p w14:paraId="5F8B2F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lang w:val="en-US" w:eastAsia="zh-CN" w:bidi="ar-SA"/>
              </w:rPr>
              <w:t>贮存点应采取防风、防雨、防晒和防止危险废物流失、扬散等措施。</w:t>
            </w:r>
          </w:p>
          <w:p w14:paraId="2B92BF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lang w:val="en-US" w:eastAsia="zh-CN" w:bidi="ar-SA"/>
              </w:rPr>
              <w:t>贮存点应采取防风、防雨、防晒和防止危险废物流失、扬散等措施。</w:t>
            </w:r>
          </w:p>
          <w:p w14:paraId="3237FC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lang w:val="en-US" w:eastAsia="zh-CN" w:bidi="ar-SA"/>
              </w:rPr>
              <w:t>贮存点应根据危险废物的形态、物理化学性质、包装形式等，采取防渗、防漏等污染防治措施或采用具有相应功能的装置。</w:t>
            </w:r>
          </w:p>
          <w:p w14:paraId="5387BC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lang w:val="en-US" w:eastAsia="zh-CN" w:bidi="ar-SA"/>
              </w:rPr>
              <w:t>贮存点应及时清运贮存的危险废物，实时贮存量不应超过 3 吨。</w:t>
            </w:r>
          </w:p>
          <w:p w14:paraId="3C6A76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③</w:t>
            </w:r>
            <w:r>
              <w:rPr>
                <w:rFonts w:hint="default" w:ascii="Times New Roman" w:hAnsi="Times New Roman" w:cs="Times New Roman"/>
                <w:bCs/>
                <w:color w:val="auto"/>
                <w:sz w:val="21"/>
                <w:szCs w:val="21"/>
                <w:highlight w:val="none"/>
              </w:rPr>
              <w:t>对于委托处理的固体废物，其运输转移过程中需做到以下几点：</w:t>
            </w:r>
          </w:p>
          <w:p w14:paraId="6D8250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A</w:t>
            </w:r>
            <w:r>
              <w:rPr>
                <w:rFonts w:hint="default" w:ascii="Times New Roman" w:hAnsi="Times New Roman" w:cs="Times New Roman"/>
                <w:bCs/>
                <w:color w:val="auto"/>
                <w:sz w:val="21"/>
                <w:szCs w:val="21"/>
                <w:highlight w:val="none"/>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B</w:t>
            </w:r>
            <w:r>
              <w:rPr>
                <w:rFonts w:hint="default" w:ascii="Times New Roman" w:hAnsi="Times New Roman" w:cs="Times New Roman"/>
                <w:bCs/>
                <w:color w:val="auto"/>
                <w:sz w:val="21"/>
                <w:szCs w:val="21"/>
                <w:highlight w:val="none"/>
              </w:rPr>
              <w:t>本项目在危险废物转移的过程中严格执行《危险废物转移管理办法》（生态环境部 公安部 交通运输部 部令 第23号），危险废物的转运必须填写</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五联单</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，且必须</w:t>
            </w:r>
            <w:r>
              <w:rPr>
                <w:rFonts w:hint="default" w:ascii="Times New Roman" w:hAnsi="Times New Roman" w:eastAsia="宋体" w:cs="Times New Roman"/>
                <w:bCs/>
                <w:color w:val="auto"/>
                <w:sz w:val="21"/>
                <w:szCs w:val="21"/>
                <w:highlight w:val="none"/>
              </w:rPr>
              <w:t>符合国家及</w:t>
            </w:r>
            <w:r>
              <w:rPr>
                <w:rFonts w:hint="default" w:ascii="Times New Roman" w:hAnsi="Times New Roman" w:eastAsia="宋体" w:cs="Times New Roman"/>
                <w:bCs/>
                <w:color w:val="auto"/>
                <w:sz w:val="21"/>
                <w:szCs w:val="21"/>
                <w:highlight w:val="none"/>
                <w:lang w:val="en-US" w:eastAsia="zh-CN"/>
              </w:rPr>
              <w:t>黑龙江</w:t>
            </w:r>
            <w:r>
              <w:rPr>
                <w:rFonts w:hint="default" w:ascii="Times New Roman" w:hAnsi="Times New Roman" w:eastAsia="宋体" w:cs="Times New Roman"/>
                <w:bCs/>
                <w:color w:val="auto"/>
                <w:sz w:val="21"/>
                <w:szCs w:val="21"/>
                <w:highlight w:val="none"/>
              </w:rPr>
              <w:t>省对危险废物转运的相关规定；</w:t>
            </w:r>
          </w:p>
          <w:p w14:paraId="73803B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eastAsia="宋体"/>
                <w:color w:val="auto"/>
                <w:sz w:val="21"/>
                <w:szCs w:val="21"/>
                <w:lang w:val="en-US" w:eastAsia="zh-CN"/>
              </w:rPr>
            </w:pPr>
            <w:r>
              <w:rPr>
                <w:rFonts w:hint="eastAsia" w:cs="Times New Roman"/>
                <w:bCs/>
                <w:color w:val="auto"/>
                <w:sz w:val="21"/>
                <w:szCs w:val="21"/>
                <w:highlight w:val="none"/>
                <w:lang w:val="en-US" w:eastAsia="zh-CN"/>
              </w:rPr>
              <w:t>C</w:t>
            </w:r>
            <w:r>
              <w:rPr>
                <w:rFonts w:hint="default" w:ascii="Times New Roman" w:hAnsi="Times New Roman" w:eastAsia="宋体" w:cs="Times New Roman"/>
                <w:bCs/>
                <w:color w:val="auto"/>
                <w:sz w:val="21"/>
                <w:szCs w:val="21"/>
                <w:highlight w:val="none"/>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eastAsia" w:cs="Times New Roman"/>
                <w:bCs/>
                <w:color w:val="auto"/>
                <w:sz w:val="21"/>
                <w:szCs w:val="21"/>
                <w:highlight w:val="none"/>
                <w:lang w:eastAsia="zh-CN"/>
              </w:rPr>
              <w:t>做出</w:t>
            </w:r>
            <w:r>
              <w:rPr>
                <w:rFonts w:hint="default" w:ascii="Times New Roman" w:hAnsi="Times New Roman" w:eastAsia="宋体" w:cs="Times New Roman"/>
                <w:bCs/>
                <w:color w:val="auto"/>
                <w:sz w:val="21"/>
                <w:szCs w:val="21"/>
                <w:highlight w:val="none"/>
              </w:rPr>
              <w:t>周密的运输计划和行驶路线，其中包括有效的废物</w:t>
            </w:r>
            <w:r>
              <w:rPr>
                <w:rFonts w:hint="eastAsia" w:cs="Times New Roman"/>
                <w:bCs/>
                <w:color w:val="auto"/>
                <w:sz w:val="21"/>
                <w:szCs w:val="21"/>
                <w:highlight w:val="none"/>
                <w:lang w:eastAsia="zh-CN"/>
              </w:rPr>
              <w:t>泄漏</w:t>
            </w:r>
            <w:r>
              <w:rPr>
                <w:rFonts w:hint="default" w:ascii="Times New Roman" w:hAnsi="Times New Roman" w:eastAsia="宋体" w:cs="Times New Roman"/>
                <w:bCs/>
                <w:color w:val="auto"/>
                <w:sz w:val="21"/>
                <w:szCs w:val="21"/>
                <w:highlight w:val="none"/>
              </w:rPr>
              <w:t>情况下的应急措施</w:t>
            </w:r>
            <w:r>
              <w:rPr>
                <w:rFonts w:hint="eastAsia" w:ascii="Times New Roman" w:hAnsi="Times New Roman" w:cs="Times New Roman"/>
                <w:bCs/>
                <w:color w:val="auto"/>
                <w:sz w:val="21"/>
                <w:szCs w:val="21"/>
                <w:highlight w:val="none"/>
                <w:lang w:eastAsia="zh-CN"/>
              </w:rPr>
              <w:t>。</w:t>
            </w:r>
          </w:p>
          <w:p w14:paraId="7D404CEE">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（3）环境影响分析</w:t>
            </w:r>
          </w:p>
          <w:p w14:paraId="4B6A570E">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危险废物满</w:t>
            </w:r>
            <w:r>
              <w:rPr>
                <w:rFonts w:hint="eastAsia" w:ascii="Times New Roman" w:hAnsi="Times New Roman" w:cs="Times New Roman"/>
                <w:color w:val="auto"/>
                <w:sz w:val="21"/>
                <w:szCs w:val="21"/>
                <w:highlight w:val="none"/>
                <w:lang w:eastAsia="zh-CN"/>
              </w:rPr>
              <w:t>足</w:t>
            </w:r>
            <w:r>
              <w:rPr>
                <w:rFonts w:hint="default" w:ascii="Times New Roman" w:hAnsi="Times New Roman" w:cs="Times New Roman"/>
                <w:color w:val="auto"/>
                <w:sz w:val="21"/>
                <w:szCs w:val="21"/>
                <w:highlight w:val="none"/>
                <w:lang w:eastAsia="zh-CN"/>
              </w:rPr>
              <w:t>《危险废物贮存污染控制标准</w:t>
            </w:r>
            <w:r>
              <w:rPr>
                <w:rFonts w:hint="eastAsia" w:ascii="Times New Roman" w:hAnsi="Times New Roman" w:cs="Times New Roman"/>
                <w:color w:val="auto"/>
                <w:sz w:val="21"/>
                <w:szCs w:val="21"/>
                <w:highlight w:val="none"/>
                <w:lang w:eastAsia="zh-CN"/>
              </w:rPr>
              <w:t>》、《国家危险废物名录（2021 年版）》，</w:t>
            </w:r>
            <w:r>
              <w:rPr>
                <w:rFonts w:hint="default" w:ascii="Times New Roman" w:hAnsi="Times New Roman" w:cs="Times New Roman"/>
                <w:color w:val="auto"/>
                <w:sz w:val="21"/>
                <w:szCs w:val="21"/>
                <w:highlight w:val="none"/>
              </w:rPr>
              <w:t>本项目产生的固体废物</w:t>
            </w:r>
            <w:r>
              <w:rPr>
                <w:rFonts w:hint="eastAsia" w:cs="Times New Roman"/>
                <w:color w:val="auto"/>
                <w:sz w:val="21"/>
                <w:szCs w:val="21"/>
                <w:highlight w:val="none"/>
                <w:lang w:eastAsia="zh-CN"/>
              </w:rPr>
              <w:t>、危险废物</w:t>
            </w:r>
            <w:r>
              <w:rPr>
                <w:rFonts w:hint="default" w:ascii="Times New Roman" w:hAnsi="Times New Roman" w:cs="Times New Roman"/>
                <w:color w:val="auto"/>
                <w:sz w:val="21"/>
                <w:szCs w:val="21"/>
                <w:highlight w:val="none"/>
              </w:rPr>
              <w:t>经过妥善处理后，处置率达到100%不会影响周边环境。</w:t>
            </w:r>
          </w:p>
          <w:p w14:paraId="2B5C912E">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5、土壤和地下水</w:t>
            </w:r>
          </w:p>
          <w:p w14:paraId="25021ED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default"/>
                <w:snapToGrid w:val="0"/>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本项目不存在土壤、地下水环境污染途径，运营期无地下水、土壤跟踪监测要求。</w:t>
            </w:r>
          </w:p>
          <w:p w14:paraId="22F26A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2" w:firstLineChars="200"/>
              <w:textAlignment w:val="auto"/>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6、环境风险</w:t>
            </w:r>
          </w:p>
          <w:p w14:paraId="2047E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（1）</w:t>
            </w:r>
            <w:r>
              <w:rPr>
                <w:rFonts w:hint="eastAsia" w:ascii="Times New Roman" w:hAnsi="Times New Roman" w:eastAsia="宋体" w:cs="Times New Roman"/>
                <w:color w:val="auto"/>
                <w:sz w:val="21"/>
                <w:szCs w:val="21"/>
                <w:highlight w:val="none"/>
                <w:lang w:val="en-US" w:eastAsia="zh-CN"/>
              </w:rPr>
              <w:t>环境风险识别</w:t>
            </w:r>
          </w:p>
          <w:p w14:paraId="60CC6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依据《建设项目环境风险评价技术导则》（HJ169-2018）中的危险物质或危险化学品，对项目的环境风险物质进行判断，本项目风险物质主要</w:t>
            </w:r>
            <w:r>
              <w:rPr>
                <w:rFonts w:hint="eastAsia" w:ascii="Times New Roman" w:hAnsi="Times New Roman" w:eastAsia="宋体" w:cs="Times New Roman"/>
                <w:color w:val="auto"/>
                <w:sz w:val="21"/>
                <w:szCs w:val="21"/>
                <w:highlight w:val="none"/>
                <w:lang w:val="en-US" w:eastAsia="zh-CN"/>
              </w:rPr>
              <w:t>为废机油</w:t>
            </w:r>
            <w:r>
              <w:rPr>
                <w:rFonts w:hint="default" w:ascii="Times New Roman" w:hAnsi="Times New Roman" w:eastAsia="宋体" w:cs="Times New Roman"/>
                <w:color w:val="auto"/>
                <w:sz w:val="21"/>
                <w:szCs w:val="21"/>
                <w:highlight w:val="none"/>
                <w:lang w:val="en-US"/>
              </w:rPr>
              <w:t>。</w:t>
            </w:r>
          </w:p>
          <w:p w14:paraId="0953C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（2）建设项目风险物质存储情况</w:t>
            </w:r>
          </w:p>
          <w:p w14:paraId="4C7AD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1"/>
                <w:szCs w:val="21"/>
                <w:highlight w:val="none"/>
                <w:lang w:val="en-US" w:eastAsia="zh-CN"/>
              </w:rPr>
              <w:t>废机油，</w:t>
            </w:r>
            <w:r>
              <w:rPr>
                <w:rFonts w:hint="eastAsia" w:hAnsi="宋体"/>
                <w:color w:val="auto"/>
                <w:sz w:val="21"/>
                <w:szCs w:val="21"/>
                <w:highlight w:val="none"/>
                <w:lang w:val="en-US" w:eastAsia="zh-CN"/>
              </w:rPr>
              <w:t>产生的废机油暂存在内的危险废物贮存点，</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内最大储存量</w:t>
            </w:r>
            <w:r>
              <w:rPr>
                <w:rFonts w:hint="eastAsia" w:ascii="Times New Roman" w:hAnsi="Times New Roman" w:cs="Times New Roman"/>
                <w:color w:val="auto"/>
                <w:sz w:val="21"/>
                <w:szCs w:val="21"/>
                <w:highlight w:val="none"/>
                <w:lang w:val="en-US" w:eastAsia="zh-CN"/>
              </w:rPr>
              <w:t>30</w:t>
            </w:r>
            <w:r>
              <w:rPr>
                <w:rFonts w:hint="eastAsia" w:ascii="Times New Roman" w:hAnsi="Times New Roman" w:eastAsia="宋体" w:cs="Times New Roman"/>
                <w:color w:val="auto"/>
                <w:sz w:val="21"/>
                <w:szCs w:val="21"/>
                <w:highlight w:val="none"/>
                <w:lang w:val="en-US" w:eastAsia="zh-CN"/>
              </w:rPr>
              <w:t>kg</w:t>
            </w:r>
            <w:r>
              <w:rPr>
                <w:rFonts w:hint="eastAsia" w:hAnsi="宋体"/>
                <w:color w:val="auto"/>
                <w:sz w:val="21"/>
                <w:szCs w:val="21"/>
                <w:highlight w:val="none"/>
                <w:lang w:val="en-US" w:eastAsia="zh-CN"/>
              </w:rPr>
              <w:t>。</w:t>
            </w:r>
          </w:p>
          <w:p w14:paraId="472B0ED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w:t>
            </w:r>
            <w:r>
              <w:rPr>
                <w:rFonts w:hint="eastAsia" w:ascii="Times New Roman" w:hAnsi="Times New Roman" w:cs="Times New Roman"/>
                <w:b/>
                <w:bCs/>
                <w:color w:val="auto"/>
                <w:kern w:val="2"/>
                <w:sz w:val="21"/>
                <w:szCs w:val="21"/>
                <w:highlight w:val="none"/>
                <w:lang w:val="en-US" w:eastAsia="zh-CN" w:bidi="ar-SA"/>
              </w:rPr>
              <w:t>3</w:t>
            </w:r>
            <w:r>
              <w:rPr>
                <w:rFonts w:hint="eastAsia" w:ascii="Times New Roman" w:hAnsi="Times New Roman" w:eastAsia="宋体" w:cs="Times New Roman"/>
                <w:b/>
                <w:bCs/>
                <w:color w:val="auto"/>
                <w:kern w:val="2"/>
                <w:sz w:val="21"/>
                <w:szCs w:val="21"/>
                <w:highlight w:val="none"/>
                <w:lang w:val="en-US" w:eastAsia="zh-CN" w:bidi="ar-SA"/>
              </w:rPr>
              <w:t xml:space="preserve">  环境风险物质统计表</w:t>
            </w:r>
          </w:p>
          <w:tbl>
            <w:tblPr>
              <w:tblStyle w:val="34"/>
              <w:tblW w:w="4997"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2"/>
              <w:gridCol w:w="3164"/>
              <w:gridCol w:w="1019"/>
              <w:gridCol w:w="1449"/>
              <w:gridCol w:w="1175"/>
              <w:gridCol w:w="730"/>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tcBorders>
                    <w:tl2br w:val="nil"/>
                    <w:tr2bl w:val="nil"/>
                  </w:tcBorders>
                  <w:noWrap w:val="0"/>
                  <w:vAlign w:val="center"/>
                </w:tcPr>
                <w:p w14:paraId="077DB47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序号</w:t>
                  </w:r>
                </w:p>
              </w:tc>
              <w:tc>
                <w:tcPr>
                  <w:tcW w:w="1965" w:type="pct"/>
                  <w:tcBorders>
                    <w:tl2br w:val="nil"/>
                    <w:tr2bl w:val="nil"/>
                  </w:tcBorders>
                  <w:noWrap w:val="0"/>
                  <w:vAlign w:val="center"/>
                </w:tcPr>
                <w:p w14:paraId="30F13A3B">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危险物质</w:t>
                  </w:r>
                </w:p>
              </w:tc>
              <w:tc>
                <w:tcPr>
                  <w:tcW w:w="633" w:type="pct"/>
                  <w:tcBorders>
                    <w:tl2br w:val="nil"/>
                    <w:tr2bl w:val="nil"/>
                  </w:tcBorders>
                  <w:noWrap w:val="0"/>
                  <w:vAlign w:val="center"/>
                </w:tcPr>
                <w:p w14:paraId="6A9DDD8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CAS号</w:t>
                  </w:r>
                </w:p>
              </w:tc>
              <w:tc>
                <w:tcPr>
                  <w:tcW w:w="900" w:type="pct"/>
                  <w:tcBorders>
                    <w:tl2br w:val="nil"/>
                    <w:tr2bl w:val="nil"/>
                  </w:tcBorders>
                  <w:noWrap w:val="0"/>
                  <w:vAlign w:val="center"/>
                </w:tcPr>
                <w:p w14:paraId="7D3B9848">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最大储存量（t）</w:t>
                  </w:r>
                </w:p>
              </w:tc>
              <w:tc>
                <w:tcPr>
                  <w:tcW w:w="729" w:type="pct"/>
                  <w:tcBorders>
                    <w:tl2br w:val="nil"/>
                    <w:tr2bl w:val="nil"/>
                  </w:tcBorders>
                  <w:noWrap w:val="0"/>
                  <w:vAlign w:val="center"/>
                </w:tcPr>
                <w:p w14:paraId="03ED51D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临界量（t）</w:t>
                  </w:r>
                </w:p>
              </w:tc>
              <w:tc>
                <w:tcPr>
                  <w:tcW w:w="453" w:type="pct"/>
                  <w:tcBorders>
                    <w:tl2br w:val="nil"/>
                    <w:tr2bl w:val="nil"/>
                  </w:tcBorders>
                  <w:noWrap w:val="0"/>
                  <w:vAlign w:val="center"/>
                </w:tcPr>
                <w:p w14:paraId="51C3036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tcBorders>
                    <w:tl2br w:val="nil"/>
                    <w:tr2bl w:val="nil"/>
                  </w:tcBorders>
                  <w:noWrap w:val="0"/>
                  <w:vAlign w:val="center"/>
                </w:tcPr>
                <w:p w14:paraId="4615E76C">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1</w:t>
                  </w:r>
                </w:p>
              </w:tc>
              <w:tc>
                <w:tcPr>
                  <w:tcW w:w="1965" w:type="pct"/>
                  <w:tcBorders>
                    <w:tl2br w:val="nil"/>
                    <w:tr2bl w:val="nil"/>
                  </w:tcBorders>
                  <w:noWrap w:val="0"/>
                  <w:vAlign w:val="center"/>
                </w:tcPr>
                <w:p w14:paraId="6F2F6E42">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油类物质（矿物油类，如石油、汽油、柴油；生物柴油等）</w:t>
                  </w:r>
                </w:p>
              </w:tc>
              <w:tc>
                <w:tcPr>
                  <w:tcW w:w="633" w:type="pct"/>
                  <w:tcBorders>
                    <w:tl2br w:val="nil"/>
                    <w:tr2bl w:val="nil"/>
                  </w:tcBorders>
                  <w:noWrap w:val="0"/>
                  <w:vAlign w:val="center"/>
                </w:tcPr>
                <w:p w14:paraId="02DD2D35">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w:t>
                  </w:r>
                </w:p>
              </w:tc>
              <w:tc>
                <w:tcPr>
                  <w:tcW w:w="900" w:type="pct"/>
                  <w:tcBorders>
                    <w:tl2br w:val="nil"/>
                    <w:tr2bl w:val="nil"/>
                  </w:tcBorders>
                  <w:noWrap w:val="0"/>
                  <w:vAlign w:val="center"/>
                </w:tcPr>
                <w:p w14:paraId="4D487598">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0.02</w:t>
                  </w:r>
                </w:p>
              </w:tc>
              <w:tc>
                <w:tcPr>
                  <w:tcW w:w="729" w:type="pct"/>
                  <w:tcBorders>
                    <w:tl2br w:val="nil"/>
                    <w:tr2bl w:val="nil"/>
                  </w:tcBorders>
                  <w:noWrap w:val="0"/>
                  <w:vAlign w:val="center"/>
                </w:tcPr>
                <w:p w14:paraId="38F4F2EE">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2500</w:t>
                  </w:r>
                </w:p>
              </w:tc>
              <w:tc>
                <w:tcPr>
                  <w:tcW w:w="453" w:type="pct"/>
                  <w:tcBorders>
                    <w:tl2br w:val="nil"/>
                    <w:tr2bl w:val="nil"/>
                  </w:tcBorders>
                  <w:noWrap w:val="0"/>
                  <w:vAlign w:val="center"/>
                </w:tcPr>
                <w:p w14:paraId="02AEFB6F">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tl2br w:val="nil"/>
                    <w:tr2bl w:val="nil"/>
                  </w:tcBorders>
                  <w:noWrap w:val="0"/>
                  <w:vAlign w:val="center"/>
                </w:tcPr>
                <w:p w14:paraId="0C631909">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合计</w:t>
                  </w:r>
                </w:p>
              </w:tc>
              <w:tc>
                <w:tcPr>
                  <w:tcW w:w="453" w:type="pct"/>
                  <w:tcBorders>
                    <w:tl2br w:val="nil"/>
                    <w:tr2bl w:val="nil"/>
                  </w:tcBorders>
                  <w:noWrap w:val="0"/>
                  <w:vAlign w:val="center"/>
                </w:tcPr>
                <w:p w14:paraId="635A23DC">
                  <w:pPr>
                    <w:keepNext w:val="0"/>
                    <w:keepLines w:val="0"/>
                    <w:suppressLineNumbers w:val="0"/>
                    <w:bidi w:val="0"/>
                    <w:spacing w:before="0" w:beforeAutospacing="0" w:after="0" w:afterAutospacing="0"/>
                    <w:ind w:left="0" w:right="0"/>
                    <w:jc w:val="center"/>
                    <w:rPr>
                      <w:rFonts w:hint="eastAsia"/>
                      <w:color w:val="auto"/>
                      <w:sz w:val="18"/>
                      <w:szCs w:val="18"/>
                      <w:lang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bl>
          <w:p w14:paraId="0C4DFF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（3）环境风险影响分析</w:t>
            </w:r>
          </w:p>
          <w:p w14:paraId="7B5BB9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rPr>
              <w:t>本项目选址不涉及环境敏感区，不存在重大危险源，风险水平值较低。项目运营期存在一定潜在的环境风险事故，主要为</w:t>
            </w:r>
            <w:r>
              <w:rPr>
                <w:rFonts w:hint="eastAsia" w:ascii="Times New Roman" w:hAnsi="Times New Roman" w:eastAsia="宋体" w:cs="Times New Roman"/>
                <w:color w:val="auto"/>
                <w:sz w:val="21"/>
                <w:szCs w:val="21"/>
                <w:highlight w:val="none"/>
                <w:lang w:val="en-US" w:eastAsia="zh-CN"/>
              </w:rPr>
              <w:t>废机油</w:t>
            </w:r>
            <w:r>
              <w:rPr>
                <w:rFonts w:hint="eastAsia" w:cs="Times New Roman"/>
                <w:color w:val="auto"/>
                <w:sz w:val="21"/>
                <w:szCs w:val="21"/>
                <w:highlight w:val="none"/>
                <w:lang w:val="en-US" w:eastAsia="zh-CN"/>
              </w:rPr>
              <w:t>泄漏</w:t>
            </w:r>
            <w:r>
              <w:rPr>
                <w:rFonts w:hint="eastAsia" w:ascii="Times New Roman" w:hAnsi="Times New Roman" w:eastAsia="宋体" w:cs="Times New Roman"/>
                <w:color w:val="auto"/>
                <w:sz w:val="21"/>
                <w:szCs w:val="21"/>
                <w:highlight w:val="none"/>
                <w:lang w:val="en-US" w:eastAsia="zh-CN"/>
              </w:rPr>
              <w:t>对土壤、地下水造成污染</w:t>
            </w:r>
            <w:r>
              <w:rPr>
                <w:rFonts w:hint="eastAsia" w:ascii="Times New Roman" w:hAnsi="Times New Roman" w:eastAsia="宋体" w:cs="Times New Roman"/>
                <w:color w:val="auto"/>
                <w:sz w:val="21"/>
                <w:szCs w:val="21"/>
                <w:highlight w:val="none"/>
                <w:lang w:val="en-US"/>
              </w:rPr>
              <w:t>。</w:t>
            </w:r>
            <w:r>
              <w:rPr>
                <w:rFonts w:hint="eastAsia" w:ascii="Times New Roman" w:hAnsi="Times New Roman" w:eastAsia="宋体" w:cs="Times New Roman"/>
                <w:color w:val="auto"/>
                <w:sz w:val="21"/>
                <w:szCs w:val="21"/>
                <w:highlight w:val="none"/>
                <w:lang w:val="en-US" w:eastAsia="zh-CN"/>
              </w:rPr>
              <w:t>废机油储存</w:t>
            </w:r>
            <w:r>
              <w:rPr>
                <w:rFonts w:hint="eastAsia" w:cs="Times New Roman"/>
                <w:color w:val="auto"/>
                <w:sz w:val="21"/>
                <w:szCs w:val="21"/>
                <w:highlight w:val="none"/>
                <w:lang w:val="en-US" w:eastAsia="zh-CN"/>
              </w:rPr>
              <w:t>在危险废物贮存点</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内地面硬化，</w:t>
            </w:r>
            <w:r>
              <w:rPr>
                <w:rFonts w:hint="default" w:ascii="Times New Roman" w:hAnsi="Times New Roman" w:eastAsia="宋体" w:cs="Times New Roman"/>
                <w:color w:val="auto"/>
                <w:sz w:val="21"/>
                <w:szCs w:val="21"/>
                <w:highlight w:val="none"/>
                <w:lang w:val="en-US"/>
              </w:rPr>
              <w:t>防渗性能不低于</w:t>
            </w:r>
            <w:r>
              <w:rPr>
                <w:rFonts w:hint="eastAsia" w:cs="Times New Roman"/>
                <w:color w:val="auto"/>
                <w:sz w:val="21"/>
                <w:szCs w:val="21"/>
                <w:highlight w:val="none"/>
                <w:lang w:val="en-US" w:eastAsia="zh-CN"/>
              </w:rPr>
              <w:t>2mm厚的防渗人工材料，防渗</w:t>
            </w:r>
            <w:r>
              <w:rPr>
                <w:rFonts w:hint="default" w:ascii="Times New Roman" w:hAnsi="Times New Roman" w:eastAsia="宋体" w:cs="Times New Roman"/>
                <w:color w:val="auto"/>
                <w:sz w:val="21"/>
                <w:szCs w:val="21"/>
                <w:highlight w:val="none"/>
                <w:lang w:val="en-US"/>
              </w:rPr>
              <w:t>系数为10</w:t>
            </w:r>
            <w:r>
              <w:rPr>
                <w:rFonts w:hint="eastAsia"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rPr>
              <w:t>cm/s</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r>
              <w:rPr>
                <w:rFonts w:hint="eastAsia" w:ascii="Times New Roman" w:hAnsi="Times New Roman" w:cs="Times New Roman"/>
                <w:color w:val="auto"/>
                <w:sz w:val="21"/>
                <w:szCs w:val="21"/>
                <w:highlight w:val="none"/>
                <w:lang w:val="en-US" w:eastAsia="zh-CN"/>
              </w:rPr>
              <w:t>，故</w:t>
            </w:r>
            <w:r>
              <w:rPr>
                <w:rFonts w:hint="eastAsia"/>
                <w:bCs/>
                <w:color w:val="auto"/>
                <w:szCs w:val="21"/>
                <w:highlight w:val="none"/>
                <w:lang w:eastAsia="zh-CN"/>
              </w:rPr>
              <w:t>本次评价仅考虑生物质燃料易燃可能产生的火灾事故风险。</w:t>
            </w:r>
            <w:r>
              <w:rPr>
                <w:rFonts w:hint="eastAsia"/>
                <w:bCs/>
                <w:color w:val="auto"/>
                <w:szCs w:val="21"/>
                <w:highlight w:val="none"/>
              </w:rPr>
              <w:t>火灾爆炸风险防范措施</w:t>
            </w:r>
            <w:r>
              <w:rPr>
                <w:rFonts w:hint="eastAsia"/>
                <w:bCs/>
                <w:color w:val="auto"/>
                <w:szCs w:val="21"/>
                <w:highlight w:val="none"/>
                <w:lang w:eastAsia="zh-CN"/>
              </w:rPr>
              <w:t>为</w:t>
            </w:r>
            <w:r>
              <w:rPr>
                <w:rFonts w:hint="eastAsia" w:cs="Times New Roman"/>
                <w:bCs/>
                <w:color w:val="auto"/>
                <w:kern w:val="0"/>
                <w:sz w:val="21"/>
                <w:szCs w:val="21"/>
                <w:highlight w:val="none"/>
                <w:lang w:val="en-US" w:eastAsia="zh-CN"/>
              </w:rPr>
              <w:t>热风炉房、车间</w:t>
            </w:r>
            <w:r>
              <w:rPr>
                <w:rFonts w:hint="eastAsia"/>
                <w:bCs/>
                <w:color w:val="auto"/>
                <w:szCs w:val="21"/>
                <w:highlight w:val="none"/>
                <w:lang w:eastAsia="zh-CN"/>
              </w:rPr>
              <w:t>内</w:t>
            </w:r>
            <w:r>
              <w:rPr>
                <w:rFonts w:hint="eastAsia"/>
                <w:bCs/>
                <w:color w:val="auto"/>
                <w:szCs w:val="21"/>
                <w:highlight w:val="none"/>
              </w:rPr>
              <w:t>设置灭火器。</w:t>
            </w:r>
            <w:r>
              <w:rPr>
                <w:rFonts w:hint="eastAsia"/>
                <w:bCs/>
                <w:color w:val="auto"/>
                <w:szCs w:val="21"/>
                <w:highlight w:val="none"/>
                <w:lang w:eastAsia="zh-CN"/>
              </w:rPr>
              <w:t>每日对</w:t>
            </w:r>
            <w:r>
              <w:rPr>
                <w:rFonts w:hint="eastAsia"/>
                <w:bCs/>
                <w:color w:val="auto"/>
                <w:szCs w:val="21"/>
                <w:highlight w:val="none"/>
              </w:rPr>
              <w:t>燃料贮存间</w:t>
            </w:r>
            <w:r>
              <w:rPr>
                <w:rFonts w:hint="eastAsia"/>
                <w:bCs/>
                <w:color w:val="auto"/>
                <w:szCs w:val="21"/>
                <w:highlight w:val="none"/>
                <w:lang w:eastAsia="zh-CN"/>
              </w:rPr>
              <w:t>进行查看，</w:t>
            </w:r>
            <w:r>
              <w:rPr>
                <w:rFonts w:hint="eastAsia"/>
                <w:bCs/>
                <w:color w:val="auto"/>
                <w:szCs w:val="21"/>
                <w:highlight w:val="none"/>
              </w:rPr>
              <w:t>并做好防尘、防雨、防渗、防腐“四防”措施，避免火灾</w:t>
            </w:r>
            <w:r>
              <w:rPr>
                <w:rFonts w:hint="eastAsia"/>
                <w:bCs/>
                <w:color w:val="auto"/>
                <w:szCs w:val="21"/>
                <w:highlight w:val="none"/>
                <w:lang w:eastAsia="zh-CN"/>
              </w:rPr>
              <w:t>的</w:t>
            </w:r>
            <w:r>
              <w:rPr>
                <w:rFonts w:hint="eastAsia"/>
                <w:bCs/>
                <w:color w:val="auto"/>
                <w:szCs w:val="21"/>
                <w:highlight w:val="none"/>
              </w:rPr>
              <w:t>引发。</w:t>
            </w:r>
          </w:p>
          <w:p w14:paraId="1E87861B">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2" w:firstLineChars="200"/>
              <w:contextualSpacing/>
              <w:jc w:val="both"/>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lang w:val="en-US" w:eastAsia="zh-CN"/>
              </w:rPr>
              <w:t>、与排污许可证衔接</w:t>
            </w:r>
          </w:p>
          <w:p w14:paraId="0976A3EA">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3023D8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contextualSpacing/>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1A3305C8">
            <w:pPr>
              <w:pStyle w:val="6"/>
              <w:keepNext/>
              <w:keepLines/>
              <w:pageBreakBefore w:val="0"/>
              <w:widowControl/>
              <w:suppressLineNumbers w:val="0"/>
              <w:tabs>
                <w:tab w:val="left" w:pos="3600"/>
              </w:tabs>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环境保护</w:t>
            </w:r>
            <w:r>
              <w:rPr>
                <w:rFonts w:hint="eastAsia" w:ascii="宋体" w:hAnsi="宋体" w:eastAsia="宋体" w:cs="宋体"/>
                <w:b/>
                <w:bCs/>
                <w:color w:val="auto"/>
                <w:sz w:val="21"/>
                <w:szCs w:val="21"/>
                <w:highlight w:val="none"/>
              </w:rPr>
              <w:t>“三同时”</w:t>
            </w:r>
            <w:r>
              <w:rPr>
                <w:rFonts w:hint="default" w:ascii="Times New Roman" w:hAnsi="Times New Roman" w:eastAsia="宋体" w:cs="Times New Roman"/>
                <w:b/>
                <w:bCs/>
                <w:color w:val="auto"/>
                <w:sz w:val="21"/>
                <w:szCs w:val="21"/>
                <w:highlight w:val="none"/>
              </w:rPr>
              <w:t>竣工验收内容</w:t>
            </w:r>
          </w:p>
          <w:p w14:paraId="2AD482AA">
            <w:pPr>
              <w:keepNext/>
              <w:keepLines/>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color w:val="auto"/>
                <w:highlight w:val="none"/>
              </w:rPr>
            </w:pPr>
            <w:r>
              <w:rPr>
                <w:rFonts w:hint="default" w:ascii="Times New Roman" w:hAnsi="Times New Roman" w:eastAsia="宋体" w:cs="Times New Roman"/>
                <w:b w:val="0"/>
                <w:bCs w:val="0"/>
                <w:color w:val="auto"/>
                <w:sz w:val="21"/>
                <w:szCs w:val="21"/>
                <w:highlight w:val="none"/>
              </w:rPr>
              <w:t>根据《建设项目环境保护管理条例》（国务院令第682号）和《建设项目竣工环境保护验收暂行办法》（国环规环评[2017]4号）规定，建设单位是建设项目竣工环境保护验收的责任主体，建设单位应按照《建设项目竣工环境保护验收暂行办法》相关规定对本项目配套建设的环境保护设施进行验收，编制验收报告，公开相关信息，接受社会监督，确保本项目需要配套建设的环境保护设施与主体工程同时投产或者使用，并对验收内容、结论和所公开信息的真实性、准确性和完整性负责，不得在验收过程中弄虚作假。本项目竣工后，建设单位应当如实查验、监测、记载本项目环境保护设施的建设和调试情况，编制验收监测（调查）报告。本项目环保设施竣工验收情况见表</w:t>
            </w:r>
            <w:r>
              <w:rPr>
                <w:rFonts w:hint="eastAsia"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14</w:t>
            </w:r>
            <w:r>
              <w:rPr>
                <w:rFonts w:hint="default" w:ascii="Times New Roman" w:hAnsi="Times New Roman" w:eastAsia="宋体" w:cs="Times New Roman"/>
                <w:b w:val="0"/>
                <w:bCs w:val="0"/>
                <w:color w:val="auto"/>
                <w:sz w:val="21"/>
                <w:szCs w:val="21"/>
                <w:highlight w:val="none"/>
              </w:rPr>
              <w:t>。</w:t>
            </w:r>
          </w:p>
          <w:p w14:paraId="34ADA3F4">
            <w:pPr>
              <w:pStyle w:val="16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bCs/>
                <w:color w:val="auto"/>
                <w:szCs w:val="24"/>
                <w:highlight w:val="none"/>
              </w:rPr>
            </w:pPr>
            <w:r>
              <w:rPr>
                <w:rFonts w:hint="default" w:ascii="Times New Roman" w:hAnsi="Times New Roman" w:eastAsia="宋体" w:cs="Times New Roman"/>
                <w:b/>
                <w:bCs/>
                <w:color w:val="auto"/>
                <w:szCs w:val="24"/>
                <w:highlight w:val="none"/>
              </w:rPr>
              <w:t>表</w:t>
            </w:r>
            <w:r>
              <w:rPr>
                <w:rFonts w:hint="default" w:ascii="Times New Roman" w:hAnsi="Times New Roman" w:eastAsia="宋体" w:cs="Times New Roman"/>
                <w:b/>
                <w:bCs/>
                <w:color w:val="auto"/>
                <w:szCs w:val="24"/>
                <w:highlight w:val="none"/>
                <w:lang w:val="en-US" w:eastAsia="zh-CN"/>
              </w:rPr>
              <w:t>4-</w:t>
            </w:r>
            <w:r>
              <w:rPr>
                <w:rFonts w:hint="eastAsia" w:eastAsia="宋体" w:cs="Times New Roman"/>
                <w:b/>
                <w:bCs/>
                <w:color w:val="auto"/>
                <w:szCs w:val="24"/>
                <w:highlight w:val="none"/>
                <w:lang w:val="en-US" w:eastAsia="zh-CN"/>
              </w:rPr>
              <w:t>14</w:t>
            </w:r>
            <w:r>
              <w:rPr>
                <w:rFonts w:hint="default" w:ascii="Times New Roman" w:hAnsi="Times New Roman" w:eastAsia="宋体" w:cs="Times New Roman"/>
                <w:b/>
                <w:bCs/>
                <w:color w:val="auto"/>
                <w:szCs w:val="24"/>
                <w:highlight w:val="none"/>
              </w:rPr>
              <w:t xml:space="preserve"> 本项目环保措</w:t>
            </w:r>
            <w:r>
              <w:rPr>
                <w:rFonts w:hint="eastAsia" w:ascii="宋体" w:hAnsi="宋体" w:eastAsia="宋体" w:cs="宋体"/>
                <w:b/>
                <w:bCs/>
                <w:color w:val="auto"/>
                <w:szCs w:val="24"/>
                <w:highlight w:val="none"/>
              </w:rPr>
              <w:t>施“三同时”</w:t>
            </w:r>
            <w:r>
              <w:rPr>
                <w:rFonts w:hint="default" w:ascii="Times New Roman" w:hAnsi="Times New Roman" w:eastAsia="宋体" w:cs="Times New Roman"/>
                <w:b/>
                <w:bCs/>
                <w:color w:val="auto"/>
                <w:szCs w:val="24"/>
                <w:highlight w:val="none"/>
              </w:rPr>
              <w:t>验收内容</w:t>
            </w:r>
          </w:p>
          <w:tbl>
            <w:tblPr>
              <w:tblStyle w:val="34"/>
              <w:tblW w:w="5000" w:type="pct"/>
              <w:jc w:val="center"/>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33"/>
              <w:gridCol w:w="910"/>
              <w:gridCol w:w="1542"/>
              <w:gridCol w:w="2396"/>
              <w:gridCol w:w="2573"/>
            </w:tblGrid>
            <w:tr w14:paraId="62052C3D">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PrEx>
              <w:trPr>
                <w:trHeight w:val="340" w:hRule="atLeast"/>
                <w:jc w:val="center"/>
              </w:trPr>
              <w:tc>
                <w:tcPr>
                  <w:tcW w:w="392" w:type="pct"/>
                  <w:noWrap w:val="0"/>
                  <w:vAlign w:val="center"/>
                </w:tcPr>
                <w:p w14:paraId="039E2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类别</w:t>
                  </w:r>
                </w:p>
              </w:tc>
              <w:tc>
                <w:tcPr>
                  <w:tcW w:w="564" w:type="pct"/>
                  <w:noWrap w:val="0"/>
                  <w:vAlign w:val="center"/>
                </w:tcPr>
                <w:p w14:paraId="2CFB4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w:t>
                  </w:r>
                </w:p>
              </w:tc>
              <w:tc>
                <w:tcPr>
                  <w:tcW w:w="957" w:type="pct"/>
                  <w:noWrap w:val="0"/>
                  <w:vAlign w:val="center"/>
                </w:tcPr>
                <w:p w14:paraId="11ABF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1487" w:type="pct"/>
                  <w:noWrap w:val="0"/>
                  <w:vAlign w:val="center"/>
                </w:tcPr>
                <w:p w14:paraId="75B4E0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环境保护措施</w:t>
                  </w:r>
                </w:p>
              </w:tc>
              <w:tc>
                <w:tcPr>
                  <w:tcW w:w="1597" w:type="pct"/>
                  <w:noWrap w:val="0"/>
                  <w:vAlign w:val="center"/>
                </w:tcPr>
                <w:p w14:paraId="65399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执行的环境标准</w:t>
                  </w:r>
                </w:p>
              </w:tc>
            </w:tr>
            <w:tr w14:paraId="0DBD081C">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26" w:hRule="atLeast"/>
                <w:jc w:val="center"/>
              </w:trPr>
              <w:tc>
                <w:tcPr>
                  <w:tcW w:w="392" w:type="pct"/>
                  <w:vMerge w:val="restart"/>
                  <w:noWrap w:val="0"/>
                  <w:vAlign w:val="center"/>
                </w:tcPr>
                <w:p w14:paraId="174AF3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w:t>
                  </w:r>
                </w:p>
              </w:tc>
              <w:tc>
                <w:tcPr>
                  <w:tcW w:w="564" w:type="pct"/>
                  <w:noWrap w:val="0"/>
                  <w:vAlign w:val="center"/>
                </w:tcPr>
                <w:p w14:paraId="403DB1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热风炉烟囱</w:t>
                  </w:r>
                  <w:r>
                    <w:rPr>
                      <w:rFonts w:hint="eastAsia" w:ascii="宋体" w:hAnsi="宋体" w:eastAsia="宋体" w:cs="宋体"/>
                      <w:color w:val="auto"/>
                      <w:sz w:val="18"/>
                      <w:szCs w:val="18"/>
                      <w:highlight w:val="none"/>
                      <w:lang w:eastAsia="zh-CN"/>
                    </w:rPr>
                    <w:t>（</w:t>
                  </w:r>
                  <w:r>
                    <w:rPr>
                      <w:rFonts w:hint="eastAsia" w:ascii="宋体" w:hAnsi="宋体" w:cs="宋体"/>
                      <w:color w:val="auto"/>
                      <w:sz w:val="18"/>
                      <w:szCs w:val="18"/>
                      <w:highlight w:val="none"/>
                      <w:lang w:val="en-US" w:eastAsia="zh-CN"/>
                    </w:rPr>
                    <w:t>DA001</w:t>
                  </w:r>
                  <w:r>
                    <w:rPr>
                      <w:rFonts w:hint="eastAsia" w:ascii="宋体" w:hAnsi="宋体" w:eastAsia="宋体" w:cs="宋体"/>
                      <w:color w:val="auto"/>
                      <w:sz w:val="18"/>
                      <w:szCs w:val="18"/>
                      <w:highlight w:val="none"/>
                      <w:lang w:eastAsia="zh-CN"/>
                    </w:rPr>
                    <w:t>）</w:t>
                  </w:r>
                </w:p>
              </w:tc>
              <w:tc>
                <w:tcPr>
                  <w:tcW w:w="957" w:type="pct"/>
                  <w:noWrap w:val="0"/>
                  <w:vAlign w:val="center"/>
                </w:tcPr>
                <w:p w14:paraId="4DFCF18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颗粒物</w:t>
                  </w:r>
                  <w:r>
                    <w:rPr>
                      <w:rFonts w:hint="default" w:ascii="Times New Roman" w:hAnsi="Times New Roman" w:eastAsia="宋体" w:cs="Times New Roman"/>
                      <w:color w:val="auto"/>
                      <w:sz w:val="18"/>
                      <w:szCs w:val="18"/>
                      <w:highlight w:val="none"/>
                      <w:lang w:eastAsia="zh-CN"/>
                    </w:rPr>
                    <w:t>、</w:t>
                  </w:r>
                  <w:r>
                    <w:rPr>
                      <w:rFonts w:hint="eastAsia" w:cs="Times New Roman"/>
                      <w:color w:val="auto"/>
                      <w:sz w:val="18"/>
                      <w:szCs w:val="18"/>
                      <w:highlight w:val="none"/>
                      <w:lang w:val="en-US" w:eastAsia="zh-CN"/>
                    </w:rPr>
                    <w:t>NOx、</w:t>
                  </w:r>
                  <w:r>
                    <w:rPr>
                      <w:rFonts w:hint="default" w:ascii="Times New Roman" w:hAnsi="Times New Roman" w:eastAsia="宋体" w:cs="Times New Roman"/>
                      <w:color w:val="auto"/>
                      <w:sz w:val="18"/>
                      <w:szCs w:val="18"/>
                      <w:highlight w:val="none"/>
                      <w:lang w:eastAsia="zh-CN"/>
                    </w:rPr>
                    <w:t>SO</w:t>
                  </w:r>
                  <w:r>
                    <w:rPr>
                      <w:rFonts w:hint="default" w:ascii="Times New Roman" w:hAnsi="Times New Roman" w:eastAsia="宋体" w:cs="Times New Roman"/>
                      <w:color w:val="auto"/>
                      <w:sz w:val="18"/>
                      <w:szCs w:val="18"/>
                      <w:highlight w:val="none"/>
                      <w:vertAlign w:val="subscript"/>
                      <w:lang w:eastAsia="zh-CN"/>
                    </w:rPr>
                    <w:t>2</w:t>
                  </w:r>
                  <w:r>
                    <w:rPr>
                      <w:rFonts w:hint="default" w:ascii="Times New Roman" w:hAnsi="Times New Roman" w:eastAsia="宋体" w:cs="Times New Roman"/>
                      <w:color w:val="auto"/>
                      <w:sz w:val="18"/>
                      <w:szCs w:val="18"/>
                      <w:highlight w:val="none"/>
                      <w:lang w:eastAsia="zh-CN"/>
                    </w:rPr>
                    <w:t>、烟气黑度</w:t>
                  </w:r>
                </w:p>
              </w:tc>
              <w:tc>
                <w:tcPr>
                  <w:tcW w:w="1487" w:type="pct"/>
                  <w:noWrap w:val="0"/>
                  <w:vAlign w:val="center"/>
                </w:tcPr>
                <w:p w14:paraId="25334B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25m</w:t>
                  </w:r>
                  <w:r>
                    <w:rPr>
                      <w:rFonts w:hint="default" w:ascii="Times New Roman" w:hAnsi="Times New Roman" w:eastAsia="宋体" w:cs="Times New Roman"/>
                      <w:color w:val="auto"/>
                      <w:sz w:val="18"/>
                      <w:szCs w:val="18"/>
                      <w:highlight w:val="none"/>
                    </w:rPr>
                    <w:t>高</w:t>
                  </w:r>
                  <w:r>
                    <w:rPr>
                      <w:rFonts w:hint="default" w:ascii="Times New Roman" w:hAnsi="Times New Roman"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c>
                <w:tcPr>
                  <w:tcW w:w="1597" w:type="pct"/>
                  <w:noWrap w:val="0"/>
                  <w:vAlign w:val="center"/>
                </w:tcPr>
                <w:p w14:paraId="37A1E5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《工业炉窑大气污染物排放标准》（GB9078-1996）表2和表4中标准要求</w:t>
                  </w:r>
                </w:p>
              </w:tc>
            </w:tr>
            <w:tr w14:paraId="5405DEFE">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5E25E0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64" w:type="pct"/>
                  <w:noWrap w:val="0"/>
                  <w:vAlign w:val="center"/>
                </w:tcPr>
                <w:p w14:paraId="5E7F51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工业炉窑周边无组织</w:t>
                  </w:r>
                </w:p>
              </w:tc>
              <w:tc>
                <w:tcPr>
                  <w:tcW w:w="957" w:type="pct"/>
                  <w:vMerge w:val="restart"/>
                  <w:noWrap w:val="0"/>
                  <w:vAlign w:val="center"/>
                </w:tcPr>
                <w:p w14:paraId="223F478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487" w:type="pct"/>
                  <w:noWrap w:val="0"/>
                  <w:vAlign w:val="center"/>
                </w:tcPr>
                <w:p w14:paraId="47B002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洒水降尘</w:t>
                  </w:r>
                </w:p>
              </w:tc>
              <w:tc>
                <w:tcPr>
                  <w:tcW w:w="1597" w:type="pct"/>
                  <w:noWrap w:val="0"/>
                  <w:vAlign w:val="center"/>
                </w:tcPr>
                <w:p w14:paraId="16E300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《工业炉窑大气污染物排放标准》（GB9078-1996）表</w:t>
                  </w:r>
                  <w:r>
                    <w:rPr>
                      <w:rFonts w:hint="eastAsia"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中标准要求</w:t>
                  </w:r>
                </w:p>
              </w:tc>
            </w:tr>
            <w:tr w14:paraId="0B2763AF">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7DE18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64" w:type="pct"/>
                  <w:shd w:val="clear" w:color="auto" w:fill="auto"/>
                  <w:noWrap w:val="0"/>
                  <w:vAlign w:val="center"/>
                </w:tcPr>
                <w:p w14:paraId="09192B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装卸粉尘</w:t>
                  </w:r>
                </w:p>
              </w:tc>
              <w:tc>
                <w:tcPr>
                  <w:tcW w:w="957" w:type="pct"/>
                  <w:vMerge w:val="continue"/>
                  <w:shd w:val="clear" w:color="auto" w:fill="auto"/>
                  <w:noWrap w:val="0"/>
                  <w:vAlign w:val="center"/>
                </w:tcPr>
                <w:p w14:paraId="5471F89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p>
              </w:tc>
              <w:tc>
                <w:tcPr>
                  <w:tcW w:w="1487" w:type="pct"/>
                  <w:shd w:val="clear" w:color="auto" w:fill="auto"/>
                  <w:noWrap w:val="0"/>
                  <w:vAlign w:val="center"/>
                </w:tcPr>
                <w:p w14:paraId="5C5994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pacing w:val="0"/>
                      <w:kern w:val="0"/>
                      <w:sz w:val="18"/>
                      <w:szCs w:val="18"/>
                      <w:highlight w:val="none"/>
                      <w:lang w:val="en-US" w:eastAsia="zh-CN" w:bidi="ar"/>
                    </w:rPr>
                    <w:t>选用密闭性良好的设备，全封闭输送、原粮入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p>
              </w:tc>
              <w:tc>
                <w:tcPr>
                  <w:tcW w:w="1597" w:type="pct"/>
                  <w:vMerge w:val="restart"/>
                  <w:noWrap w:val="0"/>
                  <w:vAlign w:val="center"/>
                </w:tcPr>
                <w:p w14:paraId="75B41424">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大气污染物综合排放标准》</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GB16297</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1996</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中</w:t>
                  </w:r>
                  <w:r>
                    <w:rPr>
                      <w:rFonts w:hint="default" w:ascii="Times New Roman" w:hAnsi="Times New Roman" w:cs="Times New Roman"/>
                      <w:color w:val="auto"/>
                      <w:sz w:val="18"/>
                      <w:szCs w:val="18"/>
                      <w:highlight w:val="none"/>
                      <w:lang w:eastAsia="zh-CN"/>
                    </w:rPr>
                    <w:t>无组织</w:t>
                  </w:r>
                  <w:r>
                    <w:rPr>
                      <w:rFonts w:hint="default" w:ascii="Times New Roman" w:hAnsi="Times New Roman" w:cs="Times New Roman"/>
                      <w:color w:val="auto"/>
                      <w:sz w:val="18"/>
                      <w:szCs w:val="18"/>
                      <w:highlight w:val="none"/>
                    </w:rPr>
                    <w:t>排放标准</w:t>
                  </w:r>
                </w:p>
              </w:tc>
            </w:tr>
            <w:tr w14:paraId="597EF7B7">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65633F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64" w:type="pct"/>
                  <w:shd w:val="clear" w:color="auto" w:fill="auto"/>
                  <w:noWrap w:val="0"/>
                  <w:vAlign w:val="center"/>
                </w:tcPr>
                <w:p w14:paraId="2BEBF6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筛分粉尘</w:t>
                  </w:r>
                </w:p>
              </w:tc>
              <w:tc>
                <w:tcPr>
                  <w:tcW w:w="957" w:type="pct"/>
                  <w:vMerge w:val="continue"/>
                  <w:shd w:val="clear" w:color="auto" w:fill="auto"/>
                  <w:noWrap w:val="0"/>
                  <w:vAlign w:val="center"/>
                </w:tcPr>
                <w:p w14:paraId="354881F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p>
              </w:tc>
              <w:tc>
                <w:tcPr>
                  <w:tcW w:w="1487" w:type="pct"/>
                  <w:shd w:val="clear" w:color="auto" w:fill="auto"/>
                  <w:noWrap w:val="0"/>
                  <w:vAlign w:val="center"/>
                </w:tcPr>
                <w:p w14:paraId="29E838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default" w:ascii="Times New Roman" w:hAnsi="Times New Roman" w:cs="Times New Roman"/>
                      <w:color w:val="auto"/>
                      <w:sz w:val="18"/>
                      <w:szCs w:val="18"/>
                      <w:highlight w:val="none"/>
                      <w:lang w:eastAsia="zh-CN"/>
                    </w:rPr>
                    <w:t>，产生的粉尘经设备自带</w:t>
                  </w:r>
                  <w:r>
                    <w:rPr>
                      <w:rFonts w:hint="default" w:ascii="Times New Roman" w:hAnsi="Times New Roman" w:cs="Times New Roman"/>
                      <w:color w:val="auto"/>
                      <w:sz w:val="18"/>
                      <w:szCs w:val="18"/>
                      <w:highlight w:val="none"/>
                      <w:lang w:val="en-US" w:eastAsia="zh-CN"/>
                    </w:rPr>
                    <w:t>袋式除尘器</w:t>
                  </w:r>
                  <w:r>
                    <w:rPr>
                      <w:rFonts w:hint="default" w:ascii="Times New Roman" w:hAnsi="Times New Roman" w:cs="Times New Roman"/>
                      <w:color w:val="auto"/>
                      <w:sz w:val="18"/>
                      <w:szCs w:val="18"/>
                      <w:highlight w:val="none"/>
                      <w:lang w:eastAsia="zh-CN"/>
                    </w:rPr>
                    <w:t>处理后排放</w:t>
                  </w:r>
                </w:p>
              </w:tc>
              <w:tc>
                <w:tcPr>
                  <w:tcW w:w="1597" w:type="pct"/>
                  <w:vMerge w:val="continue"/>
                  <w:noWrap w:val="0"/>
                  <w:vAlign w:val="center"/>
                </w:tcPr>
                <w:p w14:paraId="0BB47B41">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rPr>
                  </w:pPr>
                </w:p>
              </w:tc>
            </w:tr>
            <w:tr w14:paraId="3F2D94C3">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PrEx>
              <w:trPr>
                <w:trHeight w:val="340" w:hRule="atLeast"/>
                <w:jc w:val="center"/>
              </w:trPr>
              <w:tc>
                <w:tcPr>
                  <w:tcW w:w="392" w:type="pct"/>
                  <w:vMerge w:val="continue"/>
                  <w:noWrap w:val="0"/>
                  <w:vAlign w:val="center"/>
                </w:tcPr>
                <w:p w14:paraId="6DDA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64" w:type="pct"/>
                  <w:shd w:val="clear" w:color="auto" w:fill="auto"/>
                  <w:noWrap w:val="0"/>
                  <w:vAlign w:val="center"/>
                </w:tcPr>
                <w:p w14:paraId="6037DD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烘干粉尘</w:t>
                  </w:r>
                </w:p>
              </w:tc>
              <w:tc>
                <w:tcPr>
                  <w:tcW w:w="957" w:type="pct"/>
                  <w:vMerge w:val="continue"/>
                  <w:shd w:val="clear" w:color="auto" w:fill="auto"/>
                  <w:noWrap w:val="0"/>
                  <w:vAlign w:val="center"/>
                </w:tcPr>
                <w:p w14:paraId="617415D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p>
              </w:tc>
              <w:tc>
                <w:tcPr>
                  <w:tcW w:w="1487" w:type="pct"/>
                  <w:shd w:val="clear" w:color="auto" w:fill="auto"/>
                  <w:noWrap w:val="0"/>
                  <w:vAlign w:val="center"/>
                </w:tcPr>
                <w:p w14:paraId="1BAF3D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lang w:val="en-US" w:eastAsia="zh-CN"/>
                    </w:rPr>
                    <w:t>烘干塔内部自带重力沉降室，烘干塔底部四周设置防尘挡板，粉尘受挡板</w:t>
                  </w:r>
                  <w:r>
                    <w:rPr>
                      <w:rFonts w:hint="eastAsia" w:cs="Times New Roman"/>
                      <w:b w:val="0"/>
                      <w:bCs w:val="0"/>
                      <w:color w:val="auto"/>
                      <w:sz w:val="18"/>
                      <w:szCs w:val="18"/>
                      <w:highlight w:val="none"/>
                      <w:lang w:val="en-US" w:eastAsia="zh-CN"/>
                    </w:rPr>
                    <w:t>隔</w:t>
                  </w:r>
                  <w:r>
                    <w:rPr>
                      <w:rFonts w:hint="default" w:ascii="Times New Roman" w:hAnsi="Times New Roman" w:eastAsia="宋体" w:cs="Times New Roman"/>
                      <w:b w:val="0"/>
                      <w:bCs w:val="0"/>
                      <w:color w:val="auto"/>
                      <w:sz w:val="18"/>
                      <w:szCs w:val="18"/>
                      <w:highlight w:val="none"/>
                      <w:lang w:val="en-US" w:eastAsia="zh-CN"/>
                    </w:rPr>
                    <w:t>挡后受重力作用回落到烘干塔底部收尘设施中</w:t>
                  </w:r>
                </w:p>
              </w:tc>
              <w:tc>
                <w:tcPr>
                  <w:tcW w:w="1597" w:type="pct"/>
                  <w:vMerge w:val="continue"/>
                  <w:noWrap w:val="0"/>
                  <w:vAlign w:val="center"/>
                </w:tcPr>
                <w:p w14:paraId="2A3BF58B">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rPr>
                  </w:pPr>
                </w:p>
              </w:tc>
            </w:tr>
            <w:tr w14:paraId="7FBB27C1">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7A15D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64" w:type="pct"/>
                  <w:shd w:val="clear" w:color="auto" w:fill="auto"/>
                  <w:noWrap w:val="0"/>
                  <w:vAlign w:val="center"/>
                </w:tcPr>
                <w:p w14:paraId="7EA58F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厂界</w:t>
                  </w:r>
                </w:p>
              </w:tc>
              <w:tc>
                <w:tcPr>
                  <w:tcW w:w="957" w:type="pct"/>
                  <w:vMerge w:val="continue"/>
                  <w:shd w:val="clear" w:color="auto" w:fill="auto"/>
                  <w:noWrap w:val="0"/>
                  <w:vAlign w:val="center"/>
                </w:tcPr>
                <w:p w14:paraId="78CE46B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p>
              </w:tc>
              <w:tc>
                <w:tcPr>
                  <w:tcW w:w="1487" w:type="pct"/>
                  <w:shd w:val="clear" w:color="auto" w:fill="auto"/>
                  <w:noWrap w:val="0"/>
                  <w:vAlign w:val="center"/>
                </w:tcPr>
                <w:p w14:paraId="2897B0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1597" w:type="pct"/>
                  <w:vMerge w:val="continue"/>
                  <w:noWrap w:val="0"/>
                  <w:vAlign w:val="center"/>
                </w:tcPr>
                <w:p w14:paraId="6F2AE89A">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rPr>
                  </w:pPr>
                </w:p>
              </w:tc>
            </w:tr>
            <w:tr w14:paraId="412172E7">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noWrap w:val="0"/>
                  <w:vAlign w:val="center"/>
                </w:tcPr>
                <w:p w14:paraId="5D55B7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p>
              </w:tc>
              <w:tc>
                <w:tcPr>
                  <w:tcW w:w="564" w:type="pct"/>
                  <w:noWrap w:val="0"/>
                  <w:vAlign w:val="center"/>
                </w:tcPr>
                <w:p w14:paraId="3CBAFB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生活污水</w:t>
                  </w:r>
                </w:p>
              </w:tc>
              <w:tc>
                <w:tcPr>
                  <w:tcW w:w="957" w:type="pct"/>
                  <w:noWrap w:val="0"/>
                  <w:vAlign w:val="center"/>
                </w:tcPr>
                <w:p w14:paraId="3CCF6E4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lang w:val="en-US"/>
                    </w:rPr>
                  </w:pPr>
                  <w:r>
                    <w:rPr>
                      <w:rFonts w:hint="eastAsia" w:ascii="Times New Roman" w:hAnsi="Times New Roman" w:eastAsia="宋体" w:cs="Times New Roman"/>
                      <w:color w:val="auto"/>
                      <w:sz w:val="18"/>
                      <w:szCs w:val="18"/>
                      <w:highlight w:val="none"/>
                      <w:lang w:val="en-US" w:eastAsia="zh-CN"/>
                    </w:rPr>
                    <w:t>COD、BOD5、SS、氨氮</w:t>
                  </w:r>
                </w:p>
              </w:tc>
              <w:tc>
                <w:tcPr>
                  <w:tcW w:w="1487" w:type="pct"/>
                  <w:noWrap w:val="0"/>
                  <w:vAlign w:val="center"/>
                </w:tcPr>
                <w:p w14:paraId="25AFDE2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ascii="Times New Roman" w:hAnsi="Times New Roman" w:eastAsia="宋体" w:cs="Times New Roman"/>
                      <w:b w:val="0"/>
                      <w:bCs w:val="0"/>
                      <w:color w:val="auto"/>
                      <w:sz w:val="18"/>
                      <w:szCs w:val="18"/>
                      <w:highlight w:val="none"/>
                      <w:lang w:val="en-US" w:eastAsia="zh-CN"/>
                    </w:rPr>
                    <w:t>排入防渗旱厕，定期清掏外运堆肥，不外排。</w:t>
                  </w:r>
                </w:p>
              </w:tc>
              <w:tc>
                <w:tcPr>
                  <w:tcW w:w="1597" w:type="pct"/>
                  <w:noWrap w:val="0"/>
                  <w:vAlign w:val="center"/>
                </w:tcPr>
                <w:p w14:paraId="30039A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w:t>
                  </w:r>
                </w:p>
              </w:tc>
            </w:tr>
            <w:tr w14:paraId="3C30BAFC">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noWrap w:val="0"/>
                  <w:vAlign w:val="center"/>
                </w:tcPr>
                <w:p w14:paraId="4F3FC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564" w:type="pct"/>
                  <w:noWrap w:val="0"/>
                  <w:vAlign w:val="center"/>
                </w:tcPr>
                <w:p w14:paraId="60E7207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21"/>
                      <w:sz w:val="18"/>
                      <w:szCs w:val="18"/>
                      <w:highlight w:val="none"/>
                    </w:rPr>
                    <w:t>设备运行</w:t>
                  </w:r>
                </w:p>
              </w:tc>
              <w:tc>
                <w:tcPr>
                  <w:tcW w:w="957" w:type="pct"/>
                  <w:noWrap w:val="0"/>
                  <w:vAlign w:val="center"/>
                </w:tcPr>
                <w:p w14:paraId="6F94BF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21"/>
                      <w:sz w:val="18"/>
                      <w:szCs w:val="18"/>
                      <w:highlight w:val="none"/>
                      <w:lang w:val="en-US" w:eastAsia="zh-CN"/>
                    </w:rPr>
                    <w:t>噪声</w:t>
                  </w:r>
                </w:p>
              </w:tc>
              <w:tc>
                <w:tcPr>
                  <w:tcW w:w="1487" w:type="pct"/>
                  <w:noWrap w:val="0"/>
                  <w:vAlign w:val="center"/>
                </w:tcPr>
                <w:p w14:paraId="60BE1B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cs="Times New Roman"/>
                      <w:color w:val="auto"/>
                      <w:sz w:val="18"/>
                      <w:szCs w:val="18"/>
                      <w:highlight w:val="none"/>
                      <w:lang w:val="en-US" w:eastAsia="zh-CN"/>
                    </w:rPr>
                    <w:t>等措施</w:t>
                  </w:r>
                </w:p>
              </w:tc>
              <w:tc>
                <w:tcPr>
                  <w:tcW w:w="1597" w:type="pct"/>
                  <w:noWrap w:val="0"/>
                  <w:vAlign w:val="center"/>
                </w:tcPr>
                <w:p w14:paraId="20C339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《工业企业厂界环境噪声排放标准》(GB12348-2008)表1中</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类</w:t>
                  </w:r>
                  <w:r>
                    <w:rPr>
                      <w:rFonts w:hint="default" w:ascii="Times New Roman" w:hAnsi="Times New Roman" w:cs="Times New Roman"/>
                      <w:color w:val="auto"/>
                      <w:sz w:val="18"/>
                      <w:szCs w:val="18"/>
                      <w:highlight w:val="none"/>
                      <w:lang w:val="en-US" w:eastAsia="zh-CN"/>
                    </w:rPr>
                    <w:t>标准</w:t>
                  </w:r>
                </w:p>
              </w:tc>
            </w:tr>
            <w:tr w14:paraId="1C307460">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restart"/>
                  <w:noWrap w:val="0"/>
                  <w:vAlign w:val="center"/>
                </w:tcPr>
                <w:p w14:paraId="22AD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固废</w:t>
                  </w:r>
                </w:p>
              </w:tc>
              <w:tc>
                <w:tcPr>
                  <w:tcW w:w="1522" w:type="pct"/>
                  <w:gridSpan w:val="2"/>
                  <w:tcBorders>
                    <w:top w:val="single" w:color="auto" w:sz="4" w:space="0"/>
                  </w:tcBorders>
                  <w:noWrap w:val="0"/>
                  <w:vAlign w:val="center"/>
                </w:tcPr>
                <w:p w14:paraId="61576EFA">
                  <w:pPr>
                    <w:pStyle w:val="131"/>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snapToGrid w:val="0"/>
                      <w:color w:val="auto"/>
                      <w:sz w:val="18"/>
                      <w:szCs w:val="18"/>
                      <w:highlight w:val="none"/>
                      <w:lang w:eastAsia="zh-CN"/>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灰渣</w:t>
                  </w:r>
                </w:p>
              </w:tc>
              <w:tc>
                <w:tcPr>
                  <w:tcW w:w="1487" w:type="pct"/>
                  <w:tcBorders>
                    <w:top w:val="single" w:color="auto" w:sz="4" w:space="0"/>
                  </w:tcBorders>
                  <w:noWrap w:val="0"/>
                  <w:vAlign w:val="center"/>
                </w:tcPr>
                <w:p w14:paraId="5CFE979A">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eastAsia="zh-CN"/>
                    </w:rPr>
                    <w:t>外售</w:t>
                  </w:r>
                  <w:r>
                    <w:rPr>
                      <w:rFonts w:hint="eastAsia" w:ascii="Times New Roman" w:hAnsi="Times New Roman" w:cs="Times New Roman"/>
                      <w:color w:val="auto"/>
                      <w:sz w:val="18"/>
                      <w:szCs w:val="18"/>
                      <w:highlight w:val="none"/>
                      <w:lang w:val="en-US" w:eastAsia="zh-CN"/>
                    </w:rPr>
                    <w:t>综合利用</w:t>
                  </w:r>
                </w:p>
              </w:tc>
              <w:tc>
                <w:tcPr>
                  <w:tcW w:w="1597" w:type="pct"/>
                  <w:vMerge w:val="restart"/>
                  <w:noWrap w:val="0"/>
                  <w:vAlign w:val="center"/>
                </w:tcPr>
                <w:p w14:paraId="207B9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处置率100%</w:t>
                  </w:r>
                </w:p>
              </w:tc>
            </w:tr>
            <w:tr w14:paraId="0A9037FE">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662F0B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1522" w:type="pct"/>
                  <w:gridSpan w:val="2"/>
                  <w:noWrap w:val="0"/>
                  <w:vAlign w:val="center"/>
                </w:tcPr>
                <w:p w14:paraId="3C9989D7">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snapToGrid w:val="0"/>
                      <w:color w:val="auto"/>
                      <w:sz w:val="18"/>
                      <w:szCs w:val="18"/>
                      <w:highlight w:val="none"/>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装卸、烘干</w:t>
                  </w:r>
                  <w:r>
                    <w:rPr>
                      <w:rFonts w:hint="default" w:ascii="Times New Roman" w:hAnsi="Times New Roman" w:cs="Times New Roman"/>
                      <w:color w:val="auto"/>
                      <w:sz w:val="18"/>
                      <w:szCs w:val="18"/>
                      <w:highlight w:val="none"/>
                    </w:rPr>
                    <w:t>粉尘</w:t>
                  </w:r>
                </w:p>
              </w:tc>
              <w:tc>
                <w:tcPr>
                  <w:tcW w:w="1487" w:type="pct"/>
                  <w:noWrap w:val="0"/>
                  <w:vAlign w:val="center"/>
                </w:tcPr>
                <w:p w14:paraId="48A95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bCs/>
                      <w:color w:val="auto"/>
                      <w:sz w:val="18"/>
                      <w:szCs w:val="18"/>
                      <w:highlight w:val="none"/>
                      <w:lang w:val="en-US"/>
                    </w:rPr>
                    <w:t>由市政环卫部门统一清运</w:t>
                  </w:r>
                </w:p>
              </w:tc>
              <w:tc>
                <w:tcPr>
                  <w:tcW w:w="1597" w:type="pct"/>
                  <w:vMerge w:val="continue"/>
                  <w:noWrap w:val="0"/>
                  <w:vAlign w:val="center"/>
                </w:tcPr>
                <w:p w14:paraId="492773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27BBF299">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vMerge w:val="continue"/>
                  <w:noWrap w:val="0"/>
                  <w:vAlign w:val="center"/>
                </w:tcPr>
                <w:p w14:paraId="0B0A9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1522" w:type="pct"/>
                  <w:gridSpan w:val="2"/>
                  <w:shd w:val="clear" w:color="auto" w:fill="auto"/>
                  <w:noWrap w:val="0"/>
                  <w:vAlign w:val="center"/>
                </w:tcPr>
                <w:p w14:paraId="563D648F">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b w:val="0"/>
                      <w:bCs w:val="0"/>
                      <w:color w:val="auto"/>
                      <w:kern w:val="2"/>
                      <w:sz w:val="18"/>
                      <w:szCs w:val="18"/>
                      <w:vertAlign w:val="baseline"/>
                      <w:lang w:val="en-US" w:eastAsia="zh-CN" w:bidi="ar-SA"/>
                    </w:rPr>
                  </w:pPr>
                  <w:r>
                    <w:rPr>
                      <w:rFonts w:hint="default" w:ascii="Times New Roman" w:hAnsi="Times New Roman" w:eastAsia="宋体" w:cs="Times New Roman"/>
                      <w:color w:val="auto"/>
                      <w:sz w:val="18"/>
                      <w:szCs w:val="18"/>
                      <w:highlight w:val="none"/>
                      <w:lang w:val="en-US" w:eastAsia="zh-CN"/>
                    </w:rPr>
                    <w:t>废布袋</w:t>
                  </w:r>
                </w:p>
              </w:tc>
              <w:tc>
                <w:tcPr>
                  <w:tcW w:w="1487" w:type="pct"/>
                  <w:shd w:val="clear" w:color="auto" w:fill="auto"/>
                  <w:noWrap w:val="0"/>
                  <w:vAlign w:val="center"/>
                </w:tcPr>
                <w:p w14:paraId="07746D65">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44"/>
                      <w:sz w:val="18"/>
                      <w:szCs w:val="18"/>
                      <w:vertAlign w:val="baseline"/>
                      <w:lang w:val="en-US" w:eastAsia="zh-CN" w:bidi="ar-SA"/>
                    </w:rPr>
                  </w:pPr>
                  <w:r>
                    <w:rPr>
                      <w:rFonts w:hint="default" w:ascii="Times New Roman" w:hAnsi="Times New Roman" w:eastAsia="宋体" w:cs="Times New Roman"/>
                      <w:b w:val="0"/>
                      <w:bCs w:val="0"/>
                      <w:color w:val="auto"/>
                      <w:spacing w:val="6"/>
                      <w:position w:val="1"/>
                      <w:sz w:val="18"/>
                      <w:szCs w:val="18"/>
                    </w:rPr>
                    <w:t>由除尘器厂家更换后直接带走</w:t>
                  </w:r>
                </w:p>
              </w:tc>
              <w:tc>
                <w:tcPr>
                  <w:tcW w:w="1597" w:type="pct"/>
                  <w:vMerge w:val="continue"/>
                  <w:noWrap w:val="0"/>
                  <w:vAlign w:val="center"/>
                </w:tcPr>
                <w:p w14:paraId="6BC22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2C41AFC2">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noWrap w:val="0"/>
                  <w:vAlign w:val="center"/>
                </w:tcPr>
                <w:p w14:paraId="0AE462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危废</w:t>
                  </w:r>
                </w:p>
              </w:tc>
              <w:tc>
                <w:tcPr>
                  <w:tcW w:w="1522" w:type="pct"/>
                  <w:gridSpan w:val="2"/>
                  <w:noWrap w:val="0"/>
                  <w:vAlign w:val="center"/>
                </w:tcPr>
                <w:p w14:paraId="00FEEC49">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废机油、废弃含油抹布手套</w:t>
                  </w:r>
                </w:p>
              </w:tc>
              <w:tc>
                <w:tcPr>
                  <w:tcW w:w="1487" w:type="pct"/>
                  <w:noWrap w:val="0"/>
                  <w:vAlign w:val="center"/>
                </w:tcPr>
                <w:p w14:paraId="313FC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委托有资质单位处理</w:t>
                  </w:r>
                </w:p>
              </w:tc>
              <w:tc>
                <w:tcPr>
                  <w:tcW w:w="1597" w:type="pct"/>
                  <w:vMerge w:val="continue"/>
                  <w:noWrap w:val="0"/>
                  <w:vAlign w:val="center"/>
                </w:tcPr>
                <w:p w14:paraId="4C931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5033897B">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PrEx>
              <w:trPr>
                <w:trHeight w:val="340" w:hRule="atLeast"/>
                <w:jc w:val="center"/>
              </w:trPr>
              <w:tc>
                <w:tcPr>
                  <w:tcW w:w="392" w:type="pct"/>
                  <w:noWrap w:val="0"/>
                  <w:vAlign w:val="center"/>
                </w:tcPr>
                <w:p w14:paraId="36F3E4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地下水</w:t>
                  </w:r>
                </w:p>
              </w:tc>
              <w:tc>
                <w:tcPr>
                  <w:tcW w:w="4607" w:type="pct"/>
                  <w:gridSpan w:val="4"/>
                  <w:noWrap w:val="0"/>
                  <w:vAlign w:val="center"/>
                </w:tcPr>
                <w:p w14:paraId="677DA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val="0"/>
                      <w:bCs/>
                      <w:color w:val="auto"/>
                      <w:sz w:val="18"/>
                      <w:szCs w:val="18"/>
                      <w:highlight w:val="none"/>
                      <w:lang w:val="en-US" w:eastAsia="zh-CN"/>
                    </w:rPr>
                    <w:t>本项目不存在土壤、地下水环境污染途径</w:t>
                  </w:r>
                  <w:r>
                    <w:rPr>
                      <w:rFonts w:hint="eastAsia" w:ascii="Times New Roman" w:hAnsi="Times New Roman" w:cs="Times New Roman"/>
                      <w:b w:val="0"/>
                      <w:bCs/>
                      <w:color w:val="auto"/>
                      <w:sz w:val="18"/>
                      <w:szCs w:val="18"/>
                      <w:highlight w:val="none"/>
                      <w:lang w:val="en-US" w:eastAsia="zh-CN"/>
                    </w:rPr>
                    <w:t>。</w:t>
                  </w:r>
                </w:p>
              </w:tc>
            </w:tr>
            <w:tr w14:paraId="6941A099">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2" w:type="pct"/>
                  <w:noWrap w:val="0"/>
                  <w:vAlign w:val="center"/>
                </w:tcPr>
                <w:p w14:paraId="7A597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其他验收内容</w:t>
                  </w:r>
                </w:p>
              </w:tc>
              <w:tc>
                <w:tcPr>
                  <w:tcW w:w="4607" w:type="pct"/>
                  <w:gridSpan w:val="4"/>
                  <w:noWrap w:val="0"/>
                  <w:vAlign w:val="center"/>
                </w:tcPr>
                <w:p w14:paraId="775A6E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对</w:t>
                  </w:r>
                  <w:r>
                    <w:rPr>
                      <w:rFonts w:hint="eastAsia" w:ascii="Times New Roman" w:hAnsi="Times New Roman" w:eastAsia="宋体" w:cs="Times New Roman"/>
                      <w:b w:val="0"/>
                      <w:bCs/>
                      <w:color w:val="auto"/>
                      <w:sz w:val="18"/>
                      <w:szCs w:val="18"/>
                      <w:highlight w:val="none"/>
                      <w:lang w:val="en-US" w:eastAsia="zh-CN"/>
                    </w:rPr>
                    <w:t>原有1台600万Kcal/h燃煤</w:t>
                  </w:r>
                  <w:r>
                    <w:rPr>
                      <w:rFonts w:hint="default" w:ascii="Times New Roman" w:hAnsi="Times New Roman" w:eastAsia="宋体" w:cs="Times New Roman"/>
                      <w:b w:val="0"/>
                      <w:bCs/>
                      <w:color w:val="auto"/>
                      <w:sz w:val="18"/>
                      <w:szCs w:val="18"/>
                      <w:highlight w:val="none"/>
                      <w:lang w:val="en-US" w:eastAsia="zh-CN"/>
                    </w:rPr>
                    <w:t>热风炉</w:t>
                  </w:r>
                  <w:r>
                    <w:rPr>
                      <w:rFonts w:hint="eastAsia" w:cs="Times New Roman"/>
                      <w:b w:val="0"/>
                      <w:bCs/>
                      <w:color w:val="auto"/>
                      <w:sz w:val="18"/>
                      <w:szCs w:val="18"/>
                      <w:highlight w:val="none"/>
                      <w:lang w:val="en-US" w:eastAsia="zh-CN"/>
                    </w:rPr>
                    <w:t>进行改造，改造后燃料为生物质成型燃料，在项目正式运行前应申请</w:t>
                  </w:r>
                  <w:r>
                    <w:rPr>
                      <w:rFonts w:hint="eastAsia" w:ascii="Times New Roman" w:hAnsi="Times New Roman" w:eastAsia="宋体" w:cs="Times New Roman"/>
                      <w:b w:val="0"/>
                      <w:bCs/>
                      <w:color w:val="auto"/>
                      <w:sz w:val="18"/>
                      <w:szCs w:val="18"/>
                      <w:highlight w:val="none"/>
                      <w:lang w:val="en-US" w:eastAsia="zh-CN"/>
                    </w:rPr>
                    <w:t>排污许可证。</w:t>
                  </w:r>
                </w:p>
              </w:tc>
            </w:tr>
          </w:tbl>
          <w:p w14:paraId="6CEEAC27">
            <w:pPr>
              <w:keepNext w:val="0"/>
              <w:keepLines w:val="0"/>
              <w:suppressLineNumbers w:val="0"/>
              <w:adjustRightInd w:val="0"/>
              <w:snapToGrid w:val="0"/>
              <w:spacing w:before="0" w:beforeAutospacing="0" w:after="0" w:afterAutospacing="0"/>
              <w:ind w:left="0" w:right="0"/>
              <w:jc w:val="both"/>
              <w:rPr>
                <w:rFonts w:hint="default" w:eastAsia="宋体"/>
                <w:bCs/>
                <w:color w:val="auto"/>
                <w:spacing w:val="-10"/>
                <w:szCs w:val="21"/>
                <w:highlight w:val="none"/>
                <w:lang w:val="en-US" w:eastAsia="zh-CN"/>
              </w:rPr>
            </w:pPr>
          </w:p>
        </w:tc>
      </w:tr>
    </w:tbl>
    <w:p w14:paraId="23A186CF">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36975FA7">
      <w:pPr>
        <w:pStyle w:val="29"/>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10" w:name="_Toc21713"/>
      <w:r>
        <w:rPr>
          <w:rFonts w:hint="default" w:ascii="Times New Roman" w:hAnsi="Times New Roman" w:eastAsia="黑体" w:cs="Times New Roman"/>
          <w:snapToGrid w:val="0"/>
          <w:color w:val="auto"/>
          <w:kern w:val="21"/>
          <w:sz w:val="30"/>
          <w:szCs w:val="30"/>
          <w:highlight w:val="none"/>
        </w:rPr>
        <w:t>五、</w:t>
      </w:r>
      <w:bookmarkStart w:id="11"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10"/>
      <w:bookmarkEnd w:id="11"/>
    </w:p>
    <w:tbl>
      <w:tblPr>
        <w:tblStyle w:val="34"/>
        <w:tblW w:w="503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498"/>
        <w:gridCol w:w="1459"/>
        <w:gridCol w:w="1677"/>
        <w:gridCol w:w="1891"/>
        <w:gridCol w:w="2546"/>
      </w:tblGrid>
      <w:tr w14:paraId="0F58A2E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tcBorders>
              <w:tl2br w:val="single" w:color="auto" w:sz="4" w:space="0"/>
            </w:tcBorders>
            <w:vAlign w:val="center"/>
          </w:tcPr>
          <w:p w14:paraId="50BA25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内容</w:t>
            </w:r>
          </w:p>
          <w:p w14:paraId="5963FF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p>
          <w:p w14:paraId="3AC792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要素</w:t>
            </w:r>
          </w:p>
        </w:tc>
        <w:tc>
          <w:tcPr>
            <w:tcW w:w="804" w:type="pct"/>
            <w:vAlign w:val="center"/>
          </w:tcPr>
          <w:p w14:paraId="41E047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排放口（编号、名称）/污染源</w:t>
            </w:r>
          </w:p>
        </w:tc>
        <w:tc>
          <w:tcPr>
            <w:tcW w:w="924" w:type="pct"/>
            <w:vAlign w:val="center"/>
          </w:tcPr>
          <w:p w14:paraId="5D1CC46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污染物项目</w:t>
            </w:r>
          </w:p>
        </w:tc>
        <w:tc>
          <w:tcPr>
            <w:tcW w:w="1042" w:type="pct"/>
            <w:vAlign w:val="center"/>
          </w:tcPr>
          <w:p w14:paraId="268A4E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环境保护措施</w:t>
            </w:r>
          </w:p>
        </w:tc>
        <w:tc>
          <w:tcPr>
            <w:tcW w:w="1403" w:type="pct"/>
            <w:vAlign w:val="center"/>
          </w:tcPr>
          <w:p w14:paraId="5B8C48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执行标准</w:t>
            </w:r>
          </w:p>
        </w:tc>
      </w:tr>
      <w:tr w14:paraId="206BAB75">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restart"/>
            <w:vAlign w:val="center"/>
          </w:tcPr>
          <w:p w14:paraId="4837F2F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大气环境</w:t>
            </w:r>
          </w:p>
        </w:tc>
        <w:tc>
          <w:tcPr>
            <w:tcW w:w="804" w:type="pct"/>
            <w:vAlign w:val="center"/>
          </w:tcPr>
          <w:p w14:paraId="5074AD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eastAsia="zh-CN"/>
              </w:rPr>
              <w:t>）</w:t>
            </w:r>
          </w:p>
        </w:tc>
        <w:tc>
          <w:tcPr>
            <w:tcW w:w="924" w:type="pct"/>
            <w:vAlign w:val="center"/>
          </w:tcPr>
          <w:p w14:paraId="2A834ED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r>
              <w:rPr>
                <w:rFonts w:hint="eastAsia" w:ascii="Times New Roman" w:hAnsi="Times New Roman" w:eastAsia="宋体" w:cs="Times New Roman"/>
                <w:color w:val="auto"/>
                <w:sz w:val="18"/>
                <w:szCs w:val="18"/>
                <w:highlight w:val="none"/>
                <w:lang w:eastAsia="zh-CN"/>
              </w:rPr>
              <w:t>、SO</w:t>
            </w:r>
            <w:r>
              <w:rPr>
                <w:rFonts w:hint="eastAsia" w:ascii="Times New Roman" w:hAnsi="Times New Roman" w:eastAsia="宋体" w:cs="Times New Roman"/>
                <w:color w:val="auto"/>
                <w:sz w:val="18"/>
                <w:szCs w:val="18"/>
                <w:highlight w:val="none"/>
                <w:vertAlign w:val="subscript"/>
                <w:lang w:eastAsia="zh-CN"/>
              </w:rPr>
              <w:t>2</w:t>
            </w:r>
            <w:r>
              <w:rPr>
                <w:rFonts w:hint="eastAsia" w:ascii="Times New Roman" w:hAnsi="Times New Roman" w:eastAsia="宋体" w:cs="Times New Roman"/>
                <w:color w:val="auto"/>
                <w:sz w:val="18"/>
                <w:szCs w:val="18"/>
                <w:highlight w:val="none"/>
                <w:lang w:eastAsia="zh-CN"/>
              </w:rPr>
              <w:t>、烟气黑度</w:t>
            </w:r>
          </w:p>
        </w:tc>
        <w:tc>
          <w:tcPr>
            <w:tcW w:w="1042" w:type="pct"/>
            <w:vAlign w:val="center"/>
          </w:tcPr>
          <w:p w14:paraId="5608DD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25m</w:t>
            </w:r>
            <w:r>
              <w:rPr>
                <w:rFonts w:hint="default" w:ascii="Times New Roman" w:hAnsi="Times New Roman" w:eastAsia="宋体" w:cs="Times New Roman"/>
                <w:color w:val="auto"/>
                <w:sz w:val="18"/>
                <w:szCs w:val="18"/>
                <w:highlight w:val="none"/>
              </w:rPr>
              <w:t>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c>
          <w:tcPr>
            <w:tcW w:w="1403" w:type="pct"/>
            <w:vMerge w:val="restart"/>
            <w:vAlign w:val="center"/>
          </w:tcPr>
          <w:p w14:paraId="375BE84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《工业炉窑大气污染物排放标准》（GB9078-1996）表2和表4中标准要求</w:t>
            </w:r>
            <w:r>
              <w:rPr>
                <w:rFonts w:hint="eastAsia" w:cs="Times New Roman"/>
                <w:color w:val="auto"/>
                <w:sz w:val="18"/>
                <w:szCs w:val="18"/>
                <w:highlight w:val="none"/>
                <w:lang w:eastAsia="zh-CN"/>
              </w:rPr>
              <w:t>，热风炉房无组织执行表</w:t>
            </w:r>
            <w:r>
              <w:rPr>
                <w:rFonts w:hint="eastAsia" w:cs="Times New Roman"/>
                <w:color w:val="auto"/>
                <w:sz w:val="18"/>
                <w:szCs w:val="18"/>
                <w:highlight w:val="none"/>
                <w:lang w:val="en-US" w:eastAsia="zh-CN"/>
              </w:rPr>
              <w:t>3标准。</w:t>
            </w:r>
          </w:p>
        </w:tc>
      </w:tr>
      <w:tr w14:paraId="73A5471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0236B77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shd w:val="clear" w:color="auto" w:fill="auto"/>
            <w:vAlign w:val="center"/>
          </w:tcPr>
          <w:p w14:paraId="70CF00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bCs/>
                <w:color w:val="auto"/>
                <w:kern w:val="0"/>
                <w:sz w:val="18"/>
                <w:szCs w:val="18"/>
                <w:highlight w:val="none"/>
                <w:lang w:val="en-US" w:eastAsia="zh-CN"/>
              </w:rPr>
              <w:t>热风炉房无组织</w:t>
            </w:r>
          </w:p>
        </w:tc>
        <w:tc>
          <w:tcPr>
            <w:tcW w:w="924" w:type="pct"/>
            <w:shd w:val="clear" w:color="auto" w:fill="auto"/>
            <w:vAlign w:val="center"/>
          </w:tcPr>
          <w:p w14:paraId="7948DD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042" w:type="pct"/>
            <w:shd w:val="clear" w:color="auto" w:fill="auto"/>
            <w:vAlign w:val="center"/>
          </w:tcPr>
          <w:p w14:paraId="6C6A10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洒水降尘</w:t>
            </w:r>
          </w:p>
        </w:tc>
        <w:tc>
          <w:tcPr>
            <w:tcW w:w="1403" w:type="pct"/>
            <w:vMerge w:val="continue"/>
            <w:vAlign w:val="center"/>
          </w:tcPr>
          <w:p w14:paraId="05D023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rPr>
            </w:pPr>
          </w:p>
        </w:tc>
      </w:tr>
      <w:tr w14:paraId="6BCF165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0A36DF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61C457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sz w:val="18"/>
                <w:szCs w:val="18"/>
                <w:highlight w:val="none"/>
                <w:lang w:eastAsia="zh-CN"/>
              </w:rPr>
              <w:t>装卸粉尘</w:t>
            </w:r>
          </w:p>
        </w:tc>
        <w:tc>
          <w:tcPr>
            <w:tcW w:w="924" w:type="pct"/>
            <w:vMerge w:val="restart"/>
            <w:vAlign w:val="center"/>
          </w:tcPr>
          <w:p w14:paraId="07504D5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kern w:val="0"/>
                <w:sz w:val="18"/>
                <w:szCs w:val="18"/>
                <w:highlight w:val="none"/>
                <w:lang w:eastAsia="zh-CN"/>
              </w:rPr>
              <w:t>颗粒物</w:t>
            </w:r>
          </w:p>
        </w:tc>
        <w:tc>
          <w:tcPr>
            <w:tcW w:w="1042" w:type="pct"/>
            <w:vAlign w:val="center"/>
          </w:tcPr>
          <w:p w14:paraId="233CA4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pacing w:val="0"/>
                <w:kern w:val="0"/>
                <w:sz w:val="18"/>
                <w:szCs w:val="18"/>
                <w:highlight w:val="none"/>
                <w:lang w:val="en-US" w:eastAsia="zh-CN" w:bidi="ar"/>
              </w:rPr>
              <w:t>选用密闭性良好的设备，全封闭输送、原粮入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p>
        </w:tc>
        <w:tc>
          <w:tcPr>
            <w:tcW w:w="1403" w:type="pct"/>
            <w:vMerge w:val="restart"/>
            <w:vAlign w:val="center"/>
          </w:tcPr>
          <w:p w14:paraId="744A2D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eastAsia="zh-CN"/>
              </w:rPr>
              <w:t>《</w:t>
            </w:r>
            <w:r>
              <w:rPr>
                <w:rFonts w:hint="eastAsia"/>
                <w:color w:val="auto"/>
                <w:sz w:val="18"/>
                <w:szCs w:val="18"/>
                <w:highlight w:val="none"/>
              </w:rPr>
              <w:t>大气污染物</w:t>
            </w:r>
            <w:r>
              <w:rPr>
                <w:rFonts w:hint="default"/>
                <w:color w:val="auto"/>
                <w:sz w:val="18"/>
                <w:szCs w:val="18"/>
                <w:highlight w:val="none"/>
              </w:rPr>
              <w:t>综合排放标准》</w:t>
            </w:r>
            <w:r>
              <w:rPr>
                <w:rFonts w:hint="eastAsia"/>
                <w:color w:val="auto"/>
                <w:sz w:val="18"/>
                <w:szCs w:val="18"/>
                <w:highlight w:val="none"/>
                <w:lang w:eastAsia="zh-CN"/>
              </w:rPr>
              <w:t>（</w:t>
            </w:r>
            <w:r>
              <w:rPr>
                <w:rFonts w:hint="default"/>
                <w:color w:val="auto"/>
                <w:sz w:val="18"/>
                <w:szCs w:val="18"/>
                <w:highlight w:val="none"/>
              </w:rPr>
              <w:t>GB</w:t>
            </w:r>
            <w:r>
              <w:rPr>
                <w:rFonts w:hint="eastAsia"/>
                <w:color w:val="auto"/>
                <w:sz w:val="18"/>
                <w:szCs w:val="18"/>
                <w:highlight w:val="none"/>
              </w:rPr>
              <w:t>16297</w:t>
            </w:r>
            <w:r>
              <w:rPr>
                <w:rFonts w:hint="eastAsia"/>
                <w:color w:val="auto"/>
                <w:sz w:val="18"/>
                <w:szCs w:val="18"/>
                <w:highlight w:val="none"/>
                <w:lang w:val="en-US" w:eastAsia="zh-CN"/>
              </w:rPr>
              <w:t>-</w:t>
            </w:r>
            <w:r>
              <w:rPr>
                <w:rFonts w:hint="default"/>
                <w:color w:val="auto"/>
                <w:sz w:val="18"/>
                <w:szCs w:val="18"/>
                <w:highlight w:val="none"/>
              </w:rPr>
              <w:t>1996</w:t>
            </w:r>
            <w:r>
              <w:rPr>
                <w:rFonts w:hint="eastAsia"/>
                <w:color w:val="auto"/>
                <w:sz w:val="18"/>
                <w:szCs w:val="18"/>
                <w:highlight w:val="none"/>
                <w:lang w:eastAsia="zh-CN"/>
              </w:rPr>
              <w:t>）</w:t>
            </w:r>
            <w:r>
              <w:rPr>
                <w:rFonts w:hint="default" w:ascii="Times New Roman" w:hAnsi="Times New Roman" w:cs="Times New Roman"/>
                <w:color w:val="auto"/>
                <w:sz w:val="18"/>
                <w:szCs w:val="18"/>
                <w:highlight w:val="none"/>
              </w:rPr>
              <w:t>中</w:t>
            </w:r>
            <w:r>
              <w:rPr>
                <w:rFonts w:hint="eastAsia" w:ascii="Times New Roman" w:hAnsi="Times New Roman" w:cs="Times New Roman"/>
                <w:color w:val="auto"/>
                <w:sz w:val="18"/>
                <w:szCs w:val="18"/>
                <w:highlight w:val="none"/>
                <w:lang w:eastAsia="zh-CN"/>
              </w:rPr>
              <w:t>无组织</w:t>
            </w:r>
            <w:r>
              <w:rPr>
                <w:rFonts w:hint="default" w:ascii="Times New Roman" w:hAnsi="Times New Roman" w:cs="Times New Roman"/>
                <w:color w:val="auto"/>
                <w:sz w:val="18"/>
                <w:szCs w:val="18"/>
                <w:highlight w:val="none"/>
              </w:rPr>
              <w:t>排放标准</w:t>
            </w:r>
          </w:p>
        </w:tc>
      </w:tr>
      <w:tr w14:paraId="46B7475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7CB41A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62C9C32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筛分粉尘</w:t>
            </w:r>
          </w:p>
        </w:tc>
        <w:tc>
          <w:tcPr>
            <w:tcW w:w="924" w:type="pct"/>
            <w:vMerge w:val="continue"/>
            <w:vAlign w:val="center"/>
          </w:tcPr>
          <w:p w14:paraId="4D3F6EE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Times New Roman" w:hAnsi="Times New Roman" w:cs="Times New Roman"/>
                <w:color w:val="auto"/>
                <w:kern w:val="0"/>
                <w:sz w:val="18"/>
                <w:szCs w:val="18"/>
                <w:highlight w:val="none"/>
                <w:lang w:eastAsia="zh-CN"/>
              </w:rPr>
            </w:pPr>
          </w:p>
        </w:tc>
        <w:tc>
          <w:tcPr>
            <w:tcW w:w="1042" w:type="pct"/>
            <w:vAlign w:val="center"/>
          </w:tcPr>
          <w:p w14:paraId="2C4C28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w:t>
            </w:r>
          </w:p>
        </w:tc>
        <w:tc>
          <w:tcPr>
            <w:tcW w:w="1403" w:type="pct"/>
            <w:vMerge w:val="continue"/>
            <w:vAlign w:val="center"/>
          </w:tcPr>
          <w:p w14:paraId="2F7724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olor w:val="auto"/>
                <w:sz w:val="18"/>
                <w:szCs w:val="18"/>
                <w:highlight w:val="none"/>
                <w:lang w:eastAsia="zh-CN"/>
              </w:rPr>
            </w:pPr>
          </w:p>
        </w:tc>
      </w:tr>
      <w:tr w14:paraId="7752DF2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08D4F9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1ADEA8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eastAsia="zh-CN"/>
              </w:rPr>
              <w:t>烘干粉尘</w:t>
            </w:r>
          </w:p>
        </w:tc>
        <w:tc>
          <w:tcPr>
            <w:tcW w:w="924" w:type="pct"/>
            <w:vMerge w:val="continue"/>
            <w:vAlign w:val="center"/>
          </w:tcPr>
          <w:p w14:paraId="4770A55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p>
        </w:tc>
        <w:tc>
          <w:tcPr>
            <w:tcW w:w="1042" w:type="pct"/>
            <w:vAlign w:val="center"/>
          </w:tcPr>
          <w:p w14:paraId="47BF88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烘干塔内部自带重力沉降室，烘干塔底部四周设置防尘挡板，粉尘受挡板</w:t>
            </w:r>
            <w:r>
              <w:rPr>
                <w:rFonts w:hint="eastAsia" w:cs="Times New Roman"/>
                <w:b w:val="0"/>
                <w:bCs w:val="0"/>
                <w:color w:val="auto"/>
                <w:sz w:val="18"/>
                <w:szCs w:val="18"/>
                <w:highlight w:val="none"/>
                <w:lang w:val="en-US" w:eastAsia="zh-CN"/>
              </w:rPr>
              <w:t>隔</w:t>
            </w:r>
            <w:r>
              <w:rPr>
                <w:rFonts w:hint="eastAsia" w:ascii="Times New Roman" w:hAnsi="Times New Roman" w:eastAsia="宋体" w:cs="Times New Roman"/>
                <w:b w:val="0"/>
                <w:bCs w:val="0"/>
                <w:color w:val="auto"/>
                <w:sz w:val="18"/>
                <w:szCs w:val="18"/>
                <w:highlight w:val="none"/>
                <w:lang w:val="en-US" w:eastAsia="zh-CN"/>
              </w:rPr>
              <w:t>挡后受重力作用回落到烘干塔底部收尘设施中</w:t>
            </w:r>
          </w:p>
        </w:tc>
        <w:tc>
          <w:tcPr>
            <w:tcW w:w="1403" w:type="pct"/>
            <w:vMerge w:val="continue"/>
            <w:vAlign w:val="center"/>
          </w:tcPr>
          <w:p w14:paraId="118C2E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5BE65E75">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1BEA9C6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359EA3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厂界</w:t>
            </w:r>
          </w:p>
        </w:tc>
        <w:tc>
          <w:tcPr>
            <w:tcW w:w="924" w:type="pct"/>
            <w:vAlign w:val="center"/>
          </w:tcPr>
          <w:p w14:paraId="2A0DEA2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42" w:type="pct"/>
            <w:vAlign w:val="center"/>
          </w:tcPr>
          <w:p w14:paraId="653FF8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403" w:type="pct"/>
            <w:vMerge w:val="continue"/>
            <w:vAlign w:val="center"/>
          </w:tcPr>
          <w:p w14:paraId="7A5897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766E77B2">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restart"/>
            <w:vAlign w:val="center"/>
          </w:tcPr>
          <w:p w14:paraId="789F544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地表水环境</w:t>
            </w:r>
          </w:p>
        </w:tc>
        <w:tc>
          <w:tcPr>
            <w:tcW w:w="804" w:type="pct"/>
            <w:vMerge w:val="restart"/>
            <w:vAlign w:val="top"/>
          </w:tcPr>
          <w:p w14:paraId="7358EB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p>
          <w:p w14:paraId="0C36E5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p>
          <w:p w14:paraId="2525F9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p>
          <w:p w14:paraId="4EECB76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生活污水</w:t>
            </w:r>
          </w:p>
        </w:tc>
        <w:tc>
          <w:tcPr>
            <w:tcW w:w="924" w:type="pct"/>
            <w:vAlign w:val="center"/>
          </w:tcPr>
          <w:p w14:paraId="174A087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COD</w:t>
            </w:r>
          </w:p>
        </w:tc>
        <w:tc>
          <w:tcPr>
            <w:tcW w:w="1042" w:type="pct"/>
            <w:vMerge w:val="restart"/>
            <w:vAlign w:val="top"/>
          </w:tcPr>
          <w:p w14:paraId="5E6A96C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p>
          <w:p w14:paraId="33C42F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p>
          <w:p w14:paraId="3D4ADA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排入防渗旱厕，定期清掏</w:t>
            </w:r>
            <w:r>
              <w:rPr>
                <w:rFonts w:hint="eastAsia" w:cs="Times New Roman"/>
                <w:b w:val="0"/>
                <w:bCs w:val="0"/>
                <w:color w:val="auto"/>
                <w:sz w:val="18"/>
                <w:szCs w:val="18"/>
                <w:highlight w:val="none"/>
                <w:lang w:val="en-US" w:eastAsia="zh-CN"/>
              </w:rPr>
              <w:t>外运堆肥</w:t>
            </w:r>
            <w:r>
              <w:rPr>
                <w:rFonts w:hint="eastAsia" w:ascii="Times New Roman" w:hAnsi="Times New Roman" w:eastAsia="宋体" w:cs="Times New Roman"/>
                <w:b w:val="0"/>
                <w:bCs w:val="0"/>
                <w:color w:val="auto"/>
                <w:sz w:val="18"/>
                <w:szCs w:val="18"/>
                <w:highlight w:val="none"/>
                <w:lang w:val="en-US" w:eastAsia="zh-CN"/>
              </w:rPr>
              <w:t>，不外排</w:t>
            </w:r>
            <w:r>
              <w:rPr>
                <w:rFonts w:hint="eastAsia" w:cs="Times New Roman"/>
                <w:b w:val="0"/>
                <w:bCs w:val="0"/>
                <w:color w:val="auto"/>
                <w:sz w:val="18"/>
                <w:szCs w:val="18"/>
                <w:highlight w:val="none"/>
                <w:lang w:val="en-US" w:eastAsia="zh-CN"/>
              </w:rPr>
              <w:t>。</w:t>
            </w:r>
          </w:p>
        </w:tc>
        <w:tc>
          <w:tcPr>
            <w:tcW w:w="1403" w:type="pct"/>
            <w:vMerge w:val="restart"/>
            <w:vAlign w:val="center"/>
          </w:tcPr>
          <w:p w14:paraId="53E8E5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707B4AA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172F4C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p>
        </w:tc>
        <w:tc>
          <w:tcPr>
            <w:tcW w:w="804" w:type="pct"/>
            <w:vMerge w:val="continue"/>
            <w:vAlign w:val="top"/>
          </w:tcPr>
          <w:p w14:paraId="6C4A2274">
            <w:pPr>
              <w:keepNext w:val="0"/>
              <w:keepLines w:val="0"/>
              <w:suppressLineNumbers w:val="0"/>
              <w:spacing w:before="0" w:beforeAutospacing="0" w:after="0" w:afterAutospacing="0"/>
              <w:ind w:left="0" w:right="0"/>
              <w:rPr>
                <w:rFonts w:hint="eastAsia" w:cs="Times New Roman"/>
                <w:color w:val="auto"/>
                <w:sz w:val="18"/>
                <w:szCs w:val="18"/>
                <w:highlight w:val="none"/>
                <w:lang w:val="en-US" w:eastAsia="zh-CN"/>
              </w:rPr>
            </w:pPr>
          </w:p>
        </w:tc>
        <w:tc>
          <w:tcPr>
            <w:tcW w:w="924" w:type="pct"/>
            <w:vAlign w:val="center"/>
          </w:tcPr>
          <w:p w14:paraId="63E7AF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BOD</w:t>
            </w:r>
            <w:r>
              <w:rPr>
                <w:rFonts w:hint="eastAsia" w:ascii="Times New Roman" w:hAnsi="Times New Roman" w:eastAsia="宋体" w:cs="Times New Roman"/>
                <w:b w:val="0"/>
                <w:bCs w:val="0"/>
                <w:color w:val="auto"/>
                <w:sz w:val="18"/>
                <w:szCs w:val="18"/>
                <w:highlight w:val="none"/>
                <w:vertAlign w:val="subscript"/>
                <w:lang w:val="en-US" w:eastAsia="zh-CN"/>
              </w:rPr>
              <w:t>5</w:t>
            </w:r>
          </w:p>
        </w:tc>
        <w:tc>
          <w:tcPr>
            <w:tcW w:w="1042" w:type="pct"/>
            <w:vMerge w:val="continue"/>
            <w:vAlign w:val="center"/>
          </w:tcPr>
          <w:p w14:paraId="7BCD9F14">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1403" w:type="pct"/>
            <w:vMerge w:val="continue"/>
            <w:vAlign w:val="center"/>
          </w:tcPr>
          <w:p w14:paraId="61752A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46BF31C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7A88B50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p>
        </w:tc>
        <w:tc>
          <w:tcPr>
            <w:tcW w:w="804" w:type="pct"/>
            <w:vMerge w:val="continue"/>
            <w:vAlign w:val="top"/>
          </w:tcPr>
          <w:p w14:paraId="7F7F95B5">
            <w:pPr>
              <w:keepNext w:val="0"/>
              <w:keepLines w:val="0"/>
              <w:suppressLineNumbers w:val="0"/>
              <w:spacing w:before="0" w:beforeAutospacing="0" w:after="0" w:afterAutospacing="0"/>
              <w:ind w:left="0" w:right="0"/>
              <w:rPr>
                <w:rFonts w:hint="eastAsia" w:cs="Times New Roman"/>
                <w:color w:val="auto"/>
                <w:sz w:val="18"/>
                <w:szCs w:val="18"/>
                <w:highlight w:val="none"/>
                <w:lang w:val="en-US" w:eastAsia="zh-CN"/>
              </w:rPr>
            </w:pPr>
          </w:p>
        </w:tc>
        <w:tc>
          <w:tcPr>
            <w:tcW w:w="924" w:type="pct"/>
            <w:vAlign w:val="center"/>
          </w:tcPr>
          <w:p w14:paraId="16A17D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kern w:val="2"/>
                <w:sz w:val="18"/>
                <w:szCs w:val="18"/>
                <w:lang w:val="en-US" w:eastAsia="zh-CN" w:bidi="ar-SA"/>
              </w:rPr>
            </w:pPr>
            <w:r>
              <w:rPr>
                <w:rFonts w:hint="eastAsia" w:ascii="Times New Roman" w:hAnsi="Times New Roman" w:eastAsia="宋体" w:cs="Times New Roman"/>
                <w:b w:val="0"/>
                <w:bCs w:val="0"/>
                <w:color w:val="auto"/>
                <w:sz w:val="18"/>
                <w:szCs w:val="18"/>
                <w:highlight w:val="none"/>
                <w:lang w:val="en-US" w:eastAsia="zh-CN"/>
              </w:rPr>
              <w:t>SS</w:t>
            </w:r>
          </w:p>
        </w:tc>
        <w:tc>
          <w:tcPr>
            <w:tcW w:w="1042" w:type="pct"/>
            <w:vMerge w:val="continue"/>
            <w:vAlign w:val="center"/>
          </w:tcPr>
          <w:p w14:paraId="525F97DB">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1403" w:type="pct"/>
            <w:vMerge w:val="continue"/>
            <w:vAlign w:val="center"/>
          </w:tcPr>
          <w:p w14:paraId="3DC717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03E2027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481D07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p>
        </w:tc>
        <w:tc>
          <w:tcPr>
            <w:tcW w:w="804" w:type="pct"/>
            <w:vMerge w:val="continue"/>
            <w:vAlign w:val="top"/>
          </w:tcPr>
          <w:p w14:paraId="5D3537DA">
            <w:pPr>
              <w:keepNext w:val="0"/>
              <w:keepLines w:val="0"/>
              <w:suppressLineNumbers w:val="0"/>
              <w:spacing w:before="0" w:beforeAutospacing="0" w:after="0" w:afterAutospacing="0"/>
              <w:ind w:left="0" w:right="0"/>
              <w:rPr>
                <w:rFonts w:hint="eastAsia" w:cs="Times New Roman"/>
                <w:color w:val="auto"/>
                <w:sz w:val="18"/>
                <w:szCs w:val="18"/>
                <w:highlight w:val="none"/>
                <w:lang w:val="en-US" w:eastAsia="zh-CN"/>
              </w:rPr>
            </w:pPr>
          </w:p>
        </w:tc>
        <w:tc>
          <w:tcPr>
            <w:tcW w:w="924" w:type="pct"/>
            <w:vAlign w:val="center"/>
          </w:tcPr>
          <w:p w14:paraId="3DF1FE29">
            <w:pPr>
              <w:pStyle w:val="147"/>
              <w:keepNext w:val="0"/>
              <w:keepLines w:val="0"/>
              <w:suppressLineNumbers w:val="0"/>
              <w:spacing w:before="127" w:beforeAutospacing="0" w:after="0" w:afterAutospacing="0" w:line="219" w:lineRule="auto"/>
              <w:ind w:left="0" w:right="0"/>
              <w:jc w:val="center"/>
              <w:rPr>
                <w:rFonts w:hint="eastAsia"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氨氮</w:t>
            </w:r>
          </w:p>
        </w:tc>
        <w:tc>
          <w:tcPr>
            <w:tcW w:w="1042" w:type="pct"/>
            <w:vMerge w:val="continue"/>
            <w:vAlign w:val="center"/>
          </w:tcPr>
          <w:p w14:paraId="0CC4D94E">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1403" w:type="pct"/>
            <w:vMerge w:val="continue"/>
            <w:vAlign w:val="center"/>
          </w:tcPr>
          <w:p w14:paraId="44B0F6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5549052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52F718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地下水及土壤环境</w:t>
            </w:r>
          </w:p>
        </w:tc>
        <w:tc>
          <w:tcPr>
            <w:tcW w:w="804" w:type="pct"/>
            <w:vAlign w:val="center"/>
          </w:tcPr>
          <w:p w14:paraId="47F982C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924" w:type="pct"/>
            <w:vAlign w:val="center"/>
          </w:tcPr>
          <w:p w14:paraId="2B9302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042" w:type="pct"/>
            <w:vAlign w:val="center"/>
          </w:tcPr>
          <w:p w14:paraId="5B4673A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403" w:type="pct"/>
            <w:vAlign w:val="center"/>
          </w:tcPr>
          <w:p w14:paraId="577F88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r>
      <w:tr w14:paraId="34AB267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074394E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声环境</w:t>
            </w:r>
          </w:p>
        </w:tc>
        <w:tc>
          <w:tcPr>
            <w:tcW w:w="804" w:type="pct"/>
            <w:vAlign w:val="center"/>
          </w:tcPr>
          <w:p w14:paraId="0E590C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设备运行</w:t>
            </w:r>
          </w:p>
        </w:tc>
        <w:tc>
          <w:tcPr>
            <w:tcW w:w="924" w:type="pct"/>
            <w:vAlign w:val="center"/>
          </w:tcPr>
          <w:p w14:paraId="726378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kern w:val="21"/>
                <w:sz w:val="18"/>
                <w:szCs w:val="18"/>
                <w:highlight w:val="none"/>
                <w:lang w:val="en-US" w:eastAsia="zh-CN"/>
              </w:rPr>
              <w:t>噪声</w:t>
            </w:r>
          </w:p>
        </w:tc>
        <w:tc>
          <w:tcPr>
            <w:tcW w:w="1042" w:type="pct"/>
            <w:vAlign w:val="center"/>
          </w:tcPr>
          <w:p w14:paraId="0846CB6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rPr>
              <w:t>选取低噪声设备，采取减振、隔声</w:t>
            </w:r>
            <w:r>
              <w:rPr>
                <w:rFonts w:hint="eastAsia" w:cs="Times New Roman"/>
                <w:color w:val="auto"/>
                <w:sz w:val="18"/>
                <w:szCs w:val="18"/>
                <w:highlight w:val="none"/>
                <w:lang w:val="en-US" w:eastAsia="zh-CN"/>
              </w:rPr>
              <w:t>等措施</w:t>
            </w:r>
          </w:p>
        </w:tc>
        <w:tc>
          <w:tcPr>
            <w:tcW w:w="1403" w:type="pct"/>
            <w:vAlign w:val="center"/>
          </w:tcPr>
          <w:p w14:paraId="109D38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cs="Times New Roman"/>
                <w:color w:val="auto"/>
                <w:sz w:val="18"/>
                <w:szCs w:val="18"/>
                <w:highlight w:val="none"/>
              </w:rPr>
              <w:t>《工业企业厂界环境噪声排放标准》(GB12348-2008)表1中</w:t>
            </w:r>
            <w:r>
              <w:rPr>
                <w:rFonts w:hint="eastAsia"/>
                <w:color w:val="auto"/>
                <w:sz w:val="18"/>
                <w:szCs w:val="18"/>
                <w:highlight w:val="none"/>
                <w:lang w:val="en-US" w:eastAsia="zh-CN"/>
              </w:rPr>
              <w:t>2类标准</w:t>
            </w:r>
          </w:p>
        </w:tc>
      </w:tr>
      <w:tr w14:paraId="30FD92F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0E54F3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电磁辐射</w:t>
            </w:r>
          </w:p>
        </w:tc>
        <w:tc>
          <w:tcPr>
            <w:tcW w:w="804" w:type="pct"/>
            <w:vAlign w:val="center"/>
          </w:tcPr>
          <w:p w14:paraId="7CB681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924" w:type="pct"/>
            <w:vAlign w:val="center"/>
          </w:tcPr>
          <w:p w14:paraId="3C6AAD1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042" w:type="pct"/>
            <w:vAlign w:val="center"/>
          </w:tcPr>
          <w:p w14:paraId="5B139C8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403" w:type="pct"/>
            <w:vAlign w:val="center"/>
          </w:tcPr>
          <w:p w14:paraId="7570C4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r>
      <w:tr w14:paraId="16A6E93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5041449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固体废物</w:t>
            </w:r>
          </w:p>
        </w:tc>
        <w:tc>
          <w:tcPr>
            <w:tcW w:w="4174" w:type="pct"/>
            <w:gridSpan w:val="4"/>
            <w:vAlign w:val="center"/>
          </w:tcPr>
          <w:p w14:paraId="5E0BE8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color w:val="auto"/>
                <w:sz w:val="18"/>
                <w:szCs w:val="18"/>
                <w:highlight w:val="none"/>
              </w:rPr>
              <w:t>本项目</w:t>
            </w:r>
            <w:r>
              <w:rPr>
                <w:rFonts w:hint="eastAsia"/>
                <w:color w:val="auto"/>
                <w:sz w:val="18"/>
                <w:szCs w:val="18"/>
                <w:highlight w:val="none"/>
                <w:lang w:val="en-US" w:eastAsia="zh-CN"/>
              </w:rPr>
              <w:t>热风炉</w:t>
            </w:r>
            <w:r>
              <w:rPr>
                <w:rFonts w:hint="eastAsia"/>
                <w:color w:val="auto"/>
                <w:sz w:val="18"/>
                <w:szCs w:val="18"/>
                <w:highlight w:val="none"/>
                <w:lang w:eastAsia="zh-CN"/>
              </w:rPr>
              <w:t>灰</w:t>
            </w:r>
            <w:r>
              <w:rPr>
                <w:rFonts w:hint="eastAsia"/>
                <w:color w:val="auto"/>
                <w:sz w:val="18"/>
                <w:szCs w:val="18"/>
                <w:highlight w:val="none"/>
              </w:rPr>
              <w:t>渣</w:t>
            </w: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存储于灰渣间，每10天清运1次，不在厂区长期储存，外售综合利用</w:t>
            </w:r>
            <w:r>
              <w:rPr>
                <w:rFonts w:hint="eastAsia" w:cs="Times New Roman"/>
                <w:color w:val="auto"/>
                <w:kern w:val="21"/>
                <w:sz w:val="18"/>
                <w:szCs w:val="18"/>
                <w:highlight w:val="none"/>
                <w:lang w:val="en-US" w:eastAsia="zh-CN"/>
              </w:rPr>
              <w:t>；</w:t>
            </w: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装卸、</w:t>
            </w:r>
            <w:r>
              <w:rPr>
                <w:rFonts w:hint="default" w:cs="Times New Roman"/>
                <w:color w:val="auto"/>
                <w:sz w:val="18"/>
                <w:szCs w:val="18"/>
                <w:highlight w:val="none"/>
                <w:lang w:val="en-US" w:eastAsia="zh-CN"/>
              </w:rPr>
              <w:t>烘干粉尘</w:t>
            </w:r>
            <w:r>
              <w:rPr>
                <w:rFonts w:hint="eastAsia" w:cs="Times New Roman"/>
                <w:color w:val="auto"/>
                <w:sz w:val="18"/>
                <w:szCs w:val="18"/>
                <w:highlight w:val="none"/>
                <w:lang w:val="en-US" w:eastAsia="zh-CN"/>
              </w:rPr>
              <w:t>、生活垃圾</w:t>
            </w:r>
            <w:r>
              <w:rPr>
                <w:rFonts w:hint="default" w:cs="Times New Roman"/>
                <w:color w:val="auto"/>
                <w:sz w:val="18"/>
                <w:szCs w:val="18"/>
                <w:highlight w:val="none"/>
                <w:lang w:val="en-US" w:eastAsia="zh-CN"/>
              </w:rPr>
              <w:t>由市政环卫部门统一清运</w:t>
            </w:r>
            <w:r>
              <w:rPr>
                <w:rFonts w:hint="eastAsia" w:cs="Times New Roman"/>
                <w:color w:val="auto"/>
                <w:sz w:val="18"/>
                <w:szCs w:val="18"/>
                <w:highlight w:val="none"/>
                <w:lang w:val="en-US" w:eastAsia="zh-CN"/>
              </w:rPr>
              <w:t>，</w:t>
            </w:r>
            <w:r>
              <w:rPr>
                <w:rFonts w:hint="eastAsia" w:cs="Times New Roman"/>
                <w:color w:val="auto"/>
                <w:sz w:val="18"/>
                <w:szCs w:val="18"/>
                <w:highlight w:val="none"/>
                <w:lang w:eastAsia="zh-CN"/>
              </w:rPr>
              <w:t>废机油、废弃含油抹布手套暂存危险废物贮存点，委托有资质单位处理。</w:t>
            </w:r>
          </w:p>
        </w:tc>
      </w:tr>
      <w:tr w14:paraId="0D5B42D2">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2AB26A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土壤及地下水污染防治措施</w:t>
            </w:r>
          </w:p>
        </w:tc>
        <w:tc>
          <w:tcPr>
            <w:tcW w:w="4174" w:type="pct"/>
            <w:gridSpan w:val="4"/>
            <w:vAlign w:val="center"/>
          </w:tcPr>
          <w:p w14:paraId="2579FB4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18"/>
                <w:szCs w:val="18"/>
                <w:highlight w:val="none"/>
                <w:lang w:eastAsia="zh-CN"/>
              </w:rPr>
            </w:pPr>
            <w:r>
              <w:rPr>
                <w:rFonts w:hint="eastAsia" w:cs="Times New Roman"/>
                <w:color w:val="auto"/>
                <w:sz w:val="18"/>
                <w:szCs w:val="18"/>
                <w:highlight w:val="none"/>
                <w:lang w:val="en-US" w:eastAsia="zh-CN"/>
              </w:rPr>
              <w:t>无</w:t>
            </w:r>
          </w:p>
        </w:tc>
      </w:tr>
      <w:tr w14:paraId="5507A6C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3BF9F30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生态保护措施</w:t>
            </w:r>
          </w:p>
        </w:tc>
        <w:tc>
          <w:tcPr>
            <w:tcW w:w="4174" w:type="pct"/>
            <w:gridSpan w:val="4"/>
            <w:vAlign w:val="center"/>
          </w:tcPr>
          <w:p w14:paraId="269CCE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sz w:val="18"/>
                <w:szCs w:val="18"/>
                <w:highlight w:val="none"/>
                <w:lang w:val="en-US" w:eastAsia="zh-CN"/>
              </w:rPr>
              <w:t>无</w:t>
            </w:r>
          </w:p>
        </w:tc>
      </w:tr>
      <w:tr w14:paraId="54D420A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1722EC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环境风险防范措施</w:t>
            </w:r>
          </w:p>
        </w:tc>
        <w:tc>
          <w:tcPr>
            <w:tcW w:w="4174" w:type="pct"/>
            <w:gridSpan w:val="4"/>
            <w:vAlign w:val="center"/>
          </w:tcPr>
          <w:p w14:paraId="67C379AB">
            <w:pPr>
              <w:keepNext w:val="0"/>
              <w:keepLines w:val="0"/>
              <w:suppressLineNumbers w:val="0"/>
              <w:adjustRightInd w:val="0"/>
              <w:snapToGrid w:val="0"/>
              <w:spacing w:before="0" w:beforeAutospacing="0" w:after="0" w:afterAutospacing="0"/>
              <w:ind w:left="0" w:right="0"/>
              <w:jc w:val="both"/>
              <w:rPr>
                <w:rFonts w:hint="eastAsia" w:eastAsia="宋体"/>
                <w:color w:val="auto"/>
                <w:sz w:val="18"/>
                <w:szCs w:val="18"/>
                <w:highlight w:val="none"/>
                <w:lang w:val="en-US" w:eastAsia="zh-CN"/>
              </w:rPr>
            </w:pPr>
            <w:r>
              <w:rPr>
                <w:rFonts w:hint="eastAsia"/>
                <w:color w:val="auto"/>
                <w:sz w:val="18"/>
                <w:szCs w:val="18"/>
                <w:highlight w:val="none"/>
              </w:rPr>
              <w:t>本项目环境风险物质</w:t>
            </w:r>
            <w:r>
              <w:rPr>
                <w:rFonts w:hint="eastAsia"/>
                <w:color w:val="auto"/>
                <w:sz w:val="18"/>
                <w:szCs w:val="18"/>
                <w:highlight w:val="none"/>
                <w:lang w:eastAsia="zh-CN"/>
              </w:rPr>
              <w:t>未超出临界量</w:t>
            </w:r>
            <w:r>
              <w:rPr>
                <w:rFonts w:hint="eastAsia"/>
                <w:color w:val="auto"/>
                <w:sz w:val="18"/>
                <w:szCs w:val="18"/>
                <w:highlight w:val="none"/>
              </w:rPr>
              <w:t>，本次评价仅考虑生物质燃料易燃可能产生的火灾事故风险。火灾爆炸风险防范措施</w:t>
            </w:r>
            <w:r>
              <w:rPr>
                <w:rFonts w:hint="eastAsia"/>
                <w:color w:val="auto"/>
                <w:sz w:val="18"/>
                <w:szCs w:val="18"/>
                <w:highlight w:val="none"/>
                <w:lang w:eastAsia="zh-CN"/>
              </w:rPr>
              <w:t>为</w:t>
            </w:r>
            <w:r>
              <w:rPr>
                <w:rFonts w:hint="eastAsia"/>
                <w:color w:val="auto"/>
                <w:sz w:val="18"/>
                <w:szCs w:val="18"/>
                <w:highlight w:val="none"/>
              </w:rPr>
              <w:t>在</w:t>
            </w:r>
            <w:r>
              <w:rPr>
                <w:rFonts w:hint="eastAsia" w:cs="Times New Roman"/>
                <w:bCs/>
                <w:color w:val="auto"/>
                <w:kern w:val="0"/>
                <w:sz w:val="18"/>
                <w:szCs w:val="18"/>
                <w:highlight w:val="none"/>
                <w:lang w:val="en-US" w:eastAsia="zh-CN"/>
              </w:rPr>
              <w:t>热风炉房</w:t>
            </w:r>
            <w:r>
              <w:rPr>
                <w:rFonts w:hint="eastAsia"/>
                <w:color w:val="auto"/>
                <w:sz w:val="18"/>
                <w:szCs w:val="18"/>
                <w:highlight w:val="none"/>
              </w:rPr>
              <w:t>内设置灭火器。每日对燃料贮存间进行查看，并做好防尘、防雨、防渗、防腐“四防”措施，避免火灾的引发。</w:t>
            </w:r>
          </w:p>
        </w:tc>
      </w:tr>
      <w:tr w14:paraId="7369BF3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2742" w:hRule="atLeast"/>
          <w:jc w:val="center"/>
        </w:trPr>
        <w:tc>
          <w:tcPr>
            <w:tcW w:w="825" w:type="pct"/>
            <w:vAlign w:val="center"/>
          </w:tcPr>
          <w:p w14:paraId="508D681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其他环境管理要求</w:t>
            </w:r>
          </w:p>
        </w:tc>
        <w:tc>
          <w:tcPr>
            <w:tcW w:w="4174" w:type="pct"/>
            <w:gridSpan w:val="4"/>
            <w:vAlign w:val="top"/>
          </w:tcPr>
          <w:p w14:paraId="37C3DAC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360" w:firstLineChars="200"/>
              <w:jc w:val="both"/>
              <w:textAlignment w:val="auto"/>
              <w:rPr>
                <w:rFonts w:hint="eastAsia"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rPr>
              <w:t>本项目投产运行前，应按照《固定污染源排污许可分类管理名录（2019年版）》填报排污许可证。工作区内需指定专门的人员，在本项</w:t>
            </w:r>
            <w:r>
              <w:rPr>
                <w:rFonts w:hint="eastAsia" w:ascii="宋体" w:hAnsi="宋体" w:eastAsia="宋体" w:cs="宋体"/>
                <w:color w:val="auto"/>
                <w:sz w:val="18"/>
                <w:szCs w:val="18"/>
                <w:highlight w:val="none"/>
              </w:rPr>
              <w:t>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w:t>
            </w:r>
            <w:r>
              <w:rPr>
                <w:rFonts w:hint="default" w:ascii="Times New Roman" w:hAnsi="Times New Roman" w:eastAsia="宋体" w:cs="Times New Roman"/>
                <w:color w:val="auto"/>
                <w:sz w:val="18"/>
                <w:szCs w:val="18"/>
                <w:highlight w:val="none"/>
              </w:rPr>
              <w:t>施要做到定期检查，制定检查方案与实施计划，严防出故障，对三废处理装置要定期检修，以确保污染物达标排放。按照相关要求，对排污口进行规范化管理，在正确的排放点位设置标识，以便进行自行验收和规范化管理</w:t>
            </w:r>
            <w:r>
              <w:rPr>
                <w:rFonts w:hint="eastAsia" w:cs="Times New Roman"/>
                <w:color w:val="auto"/>
                <w:sz w:val="18"/>
                <w:szCs w:val="18"/>
                <w:highlight w:val="none"/>
                <w:lang w:eastAsia="zh-CN"/>
              </w:rPr>
              <w:t>，</w:t>
            </w:r>
            <w:r>
              <w:rPr>
                <w:rFonts w:hint="default"/>
                <w:sz w:val="18"/>
                <w:szCs w:val="18"/>
              </w:rPr>
              <w:t xml:space="preserve">根据《固定污染源排污许可分类管 </w:t>
            </w:r>
            <w:r>
              <w:rPr>
                <w:rFonts w:hint="default"/>
                <w:spacing w:val="1"/>
                <w:sz w:val="18"/>
                <w:szCs w:val="18"/>
              </w:rPr>
              <w:t>理名录（</w:t>
            </w:r>
            <w:r>
              <w:rPr>
                <w:rFonts w:hint="default" w:ascii="Times New Roman" w:hAnsi="Times New Roman" w:eastAsia="Times New Roman" w:cs="Times New Roman"/>
                <w:spacing w:val="1"/>
                <w:sz w:val="18"/>
                <w:szCs w:val="18"/>
              </w:rPr>
              <w:t xml:space="preserve">2019 </w:t>
            </w:r>
            <w:r>
              <w:rPr>
                <w:rFonts w:hint="default"/>
                <w:spacing w:val="1"/>
                <w:sz w:val="18"/>
                <w:szCs w:val="18"/>
              </w:rPr>
              <w:t>年版）》中内容，本项目属于“第五十一类、通用工序；</w:t>
            </w:r>
            <w:r>
              <w:rPr>
                <w:rFonts w:hint="default" w:ascii="Times New Roman" w:hAnsi="Times New Roman" w:eastAsia="Times New Roman" w:cs="Times New Roman"/>
                <w:spacing w:val="1"/>
                <w:sz w:val="18"/>
                <w:szCs w:val="18"/>
              </w:rPr>
              <w:t>110</w:t>
            </w:r>
            <w:r>
              <w:rPr>
                <w:rFonts w:hint="default" w:ascii="Times New Roman" w:hAnsi="Times New Roman" w:eastAsia="Times New Roman" w:cs="Times New Roman"/>
                <w:spacing w:val="-29"/>
                <w:sz w:val="18"/>
                <w:szCs w:val="18"/>
              </w:rPr>
              <w:t xml:space="preserve"> </w:t>
            </w:r>
            <w:r>
              <w:rPr>
                <w:rFonts w:hint="default"/>
                <w:spacing w:val="1"/>
                <w:sz w:val="18"/>
                <w:szCs w:val="18"/>
              </w:rPr>
              <w:t>、工业炉窑；除纳入重点排污单位名录的，除</w:t>
            </w:r>
            <w:r>
              <w:rPr>
                <w:rFonts w:hint="default"/>
                <w:sz w:val="18"/>
                <w:szCs w:val="18"/>
              </w:rPr>
              <w:t>以天然气或者电为能源的加热炉子、热处理炉、干燥炉（窑）以外的其他工业炉窑</w:t>
            </w:r>
            <w:r>
              <w:rPr>
                <w:rFonts w:hint="default"/>
                <w:spacing w:val="-86"/>
                <w:sz w:val="18"/>
                <w:szCs w:val="18"/>
              </w:rPr>
              <w:t xml:space="preserve"> </w:t>
            </w:r>
            <w:r>
              <w:rPr>
                <w:rFonts w:hint="default"/>
                <w:sz w:val="18"/>
                <w:szCs w:val="18"/>
              </w:rPr>
              <w:t>”，实行简化管理，应当</w:t>
            </w:r>
            <w:r>
              <w:rPr>
                <w:rFonts w:hint="default"/>
                <w:spacing w:val="-1"/>
                <w:sz w:val="18"/>
                <w:szCs w:val="18"/>
              </w:rPr>
              <w:t>在全国排污许</w:t>
            </w:r>
            <w:r>
              <w:rPr>
                <w:rFonts w:hint="default"/>
                <w:sz w:val="18"/>
                <w:szCs w:val="18"/>
              </w:rPr>
              <w:t xml:space="preserve"> 可证管理信息平台填报排污信息并申领排污许可证。并在本项目竣工环保</w:t>
            </w:r>
            <w:r>
              <w:rPr>
                <w:rFonts w:hint="default"/>
                <w:spacing w:val="-1"/>
                <w:sz w:val="18"/>
                <w:szCs w:val="18"/>
              </w:rPr>
              <w:t>验收前完成申领排污许可证。</w:t>
            </w:r>
          </w:p>
        </w:tc>
      </w:tr>
    </w:tbl>
    <w:p w14:paraId="2D6342B4">
      <w:pPr>
        <w:pStyle w:val="29"/>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12" w:name="_Toc19724"/>
      <w:r>
        <w:rPr>
          <w:rFonts w:hint="default" w:ascii="Times New Roman" w:hAnsi="Times New Roman" w:eastAsia="黑体" w:cs="Times New Roman"/>
          <w:snapToGrid w:val="0"/>
          <w:color w:val="auto"/>
          <w:kern w:val="21"/>
          <w:sz w:val="30"/>
          <w:szCs w:val="30"/>
          <w:highlight w:val="none"/>
        </w:rPr>
        <w:t>六、结论</w:t>
      </w:r>
      <w:bookmarkEnd w:id="12"/>
    </w:p>
    <w:tbl>
      <w:tblPr>
        <w:tblStyle w:val="34"/>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0EAABD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8" w:hRule="atLeast"/>
          <w:jc w:val="center"/>
        </w:trPr>
        <w:tc>
          <w:tcPr>
            <w:tcW w:w="5000" w:type="pct"/>
            <w:vAlign w:val="top"/>
          </w:tcPr>
          <w:p w14:paraId="760319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21E1D010">
      <w:pPr>
        <w:pStyle w:val="29"/>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7B8CD26">
      <w:pPr>
        <w:pStyle w:val="29"/>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3" w:name="_Toc17733"/>
      <w:r>
        <w:rPr>
          <w:rFonts w:hint="default" w:ascii="Times New Roman" w:hAnsi="Times New Roman" w:eastAsia="黑体" w:cs="Times New Roman"/>
          <w:snapToGrid w:val="0"/>
          <w:color w:val="auto"/>
          <w:kern w:val="21"/>
          <w:sz w:val="30"/>
          <w:szCs w:val="30"/>
          <w:highlight w:val="none"/>
        </w:rPr>
        <w:t>附表</w:t>
      </w:r>
      <w:bookmarkEnd w:id="13"/>
    </w:p>
    <w:p w14:paraId="4C903D0D">
      <w:pPr>
        <w:pStyle w:val="29"/>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4"/>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471"/>
        <w:gridCol w:w="1364"/>
        <w:gridCol w:w="1296"/>
        <w:gridCol w:w="1409"/>
        <w:gridCol w:w="1559"/>
        <w:gridCol w:w="1535"/>
        <w:gridCol w:w="1786"/>
        <w:gridCol w:w="1225"/>
      </w:tblGrid>
      <w:tr w14:paraId="6E870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tcBorders>
              <w:tl2br w:val="single" w:color="auto" w:sz="4" w:space="0"/>
            </w:tcBorders>
            <w:tcMar>
              <w:left w:w="28" w:type="dxa"/>
              <w:right w:w="28" w:type="dxa"/>
            </w:tcMar>
            <w:vAlign w:val="center"/>
          </w:tcPr>
          <w:p w14:paraId="0C861534">
            <w:pPr>
              <w:pStyle w:val="66"/>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35587A2F">
            <w:pPr>
              <w:pStyle w:val="66"/>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471" w:type="dxa"/>
            <w:tcMar>
              <w:left w:w="28" w:type="dxa"/>
              <w:right w:w="28" w:type="dxa"/>
            </w:tcMar>
            <w:vAlign w:val="center"/>
          </w:tcPr>
          <w:p w14:paraId="14D6FE7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6B3FD2E2">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2450ABF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3E4C8FC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412BC48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2761ED7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5B50537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5DC7620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7D09F80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05E00EB4">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758CD5F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0939E4D0">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74861CF5">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3BCC806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129D5064">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66C4C801">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3B268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308815F6">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471" w:type="dxa"/>
            <w:vAlign w:val="center"/>
          </w:tcPr>
          <w:p w14:paraId="1AF30F1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14:paraId="3B7C3E1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3.247</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07E5F62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eastAsia" w:cs="Times New Roman"/>
                <w:snapToGrid w:val="0"/>
                <w:color w:val="auto"/>
                <w:kern w:val="21"/>
                <w:sz w:val="21"/>
                <w:szCs w:val="21"/>
                <w:highlight w:val="none"/>
                <w:lang w:val="en-US" w:eastAsia="zh-CN"/>
              </w:rPr>
              <w:t>/</w:t>
            </w:r>
          </w:p>
        </w:tc>
        <w:tc>
          <w:tcPr>
            <w:tcW w:w="1409" w:type="dxa"/>
            <w:vAlign w:val="center"/>
          </w:tcPr>
          <w:p w14:paraId="5ED2B3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708BFD52">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1.991t/a</w:t>
            </w:r>
          </w:p>
        </w:tc>
        <w:tc>
          <w:tcPr>
            <w:tcW w:w="1535" w:type="dxa"/>
            <w:vAlign w:val="center"/>
          </w:tcPr>
          <w:p w14:paraId="4A4CD82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napToGrid w:val="0"/>
                <w:color w:val="auto"/>
                <w:kern w:val="21"/>
                <w:sz w:val="21"/>
                <w:szCs w:val="21"/>
                <w:highlight w:val="none"/>
                <w:lang w:val="en-US"/>
              </w:rPr>
            </w:pPr>
            <w:r>
              <w:rPr>
                <w:rFonts w:hint="eastAsia" w:cs="Times New Roman"/>
                <w:snapToGrid w:val="0"/>
                <w:color w:val="auto"/>
                <w:kern w:val="21"/>
                <w:sz w:val="21"/>
                <w:szCs w:val="21"/>
                <w:highlight w:val="none"/>
                <w:lang w:val="en-US" w:eastAsia="zh-CN"/>
              </w:rPr>
              <w:t>3.247</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4C7A32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1.991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7606DE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snapToGrid w:val="0"/>
                <w:color w:val="auto"/>
                <w:kern w:val="21"/>
                <w:sz w:val="21"/>
                <w:szCs w:val="21"/>
                <w:highlight w:val="none"/>
                <w:lang w:val="en-US" w:eastAsia="zh-CN"/>
              </w:rPr>
              <w:t>-1.256</w:t>
            </w:r>
            <w:r>
              <w:rPr>
                <w:rFonts w:hint="default" w:ascii="Times New Roman" w:hAnsi="Times New Roman" w:eastAsia="宋体" w:cs="Times New Roman"/>
                <w:snapToGrid w:val="0"/>
                <w:color w:val="auto"/>
                <w:kern w:val="21"/>
                <w:sz w:val="21"/>
                <w:szCs w:val="21"/>
                <w:highlight w:val="none"/>
                <w:lang w:val="en-US" w:eastAsia="zh-CN"/>
              </w:rPr>
              <w:t>t/a</w:t>
            </w:r>
          </w:p>
        </w:tc>
      </w:tr>
      <w:tr w14:paraId="21ECE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72F015E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1D2FBC4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dxa"/>
            <w:vAlign w:val="center"/>
          </w:tcPr>
          <w:p w14:paraId="68ABF43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rPr>
            </w:pPr>
            <w:r>
              <w:rPr>
                <w:rFonts w:hint="eastAsia" w:cs="Times New Roman"/>
                <w:snapToGrid w:val="0"/>
                <w:color w:val="auto"/>
                <w:kern w:val="21"/>
                <w:sz w:val="21"/>
                <w:szCs w:val="21"/>
                <w:highlight w:val="none"/>
                <w:lang w:val="en-US" w:eastAsia="zh-CN"/>
              </w:rPr>
              <w:t>0.554</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6C01530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s="Times New Roman"/>
                <w:snapToGrid w:val="0"/>
                <w:color w:val="auto"/>
                <w:kern w:val="21"/>
                <w:sz w:val="21"/>
                <w:szCs w:val="21"/>
                <w:highlight w:val="none"/>
                <w:lang w:val="en-US" w:eastAsia="zh-CN"/>
              </w:rPr>
              <w:t>/</w:t>
            </w:r>
          </w:p>
        </w:tc>
        <w:tc>
          <w:tcPr>
            <w:tcW w:w="1409" w:type="dxa"/>
            <w:vAlign w:val="center"/>
          </w:tcPr>
          <w:p w14:paraId="6CE946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D5C7B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2.434</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2E9F28B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lang w:val="en-US"/>
              </w:rPr>
            </w:pPr>
            <w:r>
              <w:rPr>
                <w:rFonts w:hint="eastAsia" w:cs="Times New Roman"/>
                <w:snapToGrid w:val="0"/>
                <w:color w:val="auto"/>
                <w:kern w:val="21"/>
                <w:sz w:val="21"/>
                <w:szCs w:val="21"/>
                <w:highlight w:val="none"/>
                <w:lang w:val="en-US" w:eastAsia="zh-CN"/>
              </w:rPr>
              <w:t>0.554</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2D9C74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2.434</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6B38DE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snapToGrid w:val="0"/>
                <w:color w:val="auto"/>
                <w:kern w:val="21"/>
                <w:sz w:val="21"/>
                <w:szCs w:val="21"/>
                <w:highlight w:val="none"/>
                <w:lang w:val="en-US" w:eastAsia="zh-CN"/>
              </w:rPr>
              <w:t>+1.88</w:t>
            </w:r>
            <w:r>
              <w:rPr>
                <w:rFonts w:hint="default" w:ascii="Times New Roman" w:hAnsi="Times New Roman" w:eastAsia="宋体" w:cs="Times New Roman"/>
                <w:snapToGrid w:val="0"/>
                <w:color w:val="auto"/>
                <w:kern w:val="21"/>
                <w:sz w:val="21"/>
                <w:szCs w:val="21"/>
                <w:highlight w:val="none"/>
                <w:lang w:val="en-US" w:eastAsia="zh-CN"/>
              </w:rPr>
              <w:t>t/a</w:t>
            </w:r>
          </w:p>
        </w:tc>
      </w:tr>
      <w:tr w14:paraId="6CE54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553F2F56">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03C2EC4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364" w:type="dxa"/>
            <w:vAlign w:val="center"/>
          </w:tcPr>
          <w:p w14:paraId="04C3220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rPr>
            </w:pPr>
            <w:r>
              <w:rPr>
                <w:rFonts w:hint="eastAsia" w:cs="Times New Roman"/>
                <w:snapToGrid w:val="0"/>
                <w:color w:val="auto"/>
                <w:kern w:val="21"/>
                <w:sz w:val="21"/>
                <w:szCs w:val="21"/>
                <w:highlight w:val="none"/>
                <w:lang w:val="en-US" w:eastAsia="zh-CN"/>
              </w:rPr>
              <w:t>0.254t</w:t>
            </w:r>
            <w:r>
              <w:rPr>
                <w:rFonts w:hint="default" w:ascii="Times New Roman" w:hAnsi="Times New Roman" w:eastAsia="宋体" w:cs="Times New Roman"/>
                <w:snapToGrid w:val="0"/>
                <w:color w:val="auto"/>
                <w:kern w:val="21"/>
                <w:sz w:val="21"/>
                <w:szCs w:val="21"/>
                <w:highlight w:val="none"/>
                <w:lang w:val="en-US" w:eastAsia="zh-CN"/>
              </w:rPr>
              <w:t>/a</w:t>
            </w:r>
          </w:p>
        </w:tc>
        <w:tc>
          <w:tcPr>
            <w:tcW w:w="1296" w:type="dxa"/>
            <w:vAlign w:val="center"/>
          </w:tcPr>
          <w:p w14:paraId="1A1E77B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s="Times New Roman"/>
                <w:snapToGrid w:val="0"/>
                <w:color w:val="auto"/>
                <w:kern w:val="21"/>
                <w:sz w:val="21"/>
                <w:szCs w:val="21"/>
                <w:highlight w:val="none"/>
                <w:lang w:val="en-US" w:eastAsia="zh-CN"/>
              </w:rPr>
              <w:t>/</w:t>
            </w:r>
          </w:p>
        </w:tc>
        <w:tc>
          <w:tcPr>
            <w:tcW w:w="1409" w:type="dxa"/>
            <w:vAlign w:val="center"/>
          </w:tcPr>
          <w:p w14:paraId="0A2466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C576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10.472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661880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lang w:val="en-US"/>
              </w:rPr>
            </w:pPr>
            <w:r>
              <w:rPr>
                <w:rFonts w:hint="eastAsia" w:cs="Times New Roman"/>
                <w:snapToGrid w:val="0"/>
                <w:color w:val="auto"/>
                <w:kern w:val="21"/>
                <w:sz w:val="21"/>
                <w:szCs w:val="21"/>
                <w:highlight w:val="none"/>
                <w:lang w:val="en-US" w:eastAsia="zh-CN"/>
              </w:rPr>
              <w:t>0.254t</w:t>
            </w:r>
            <w:r>
              <w:rPr>
                <w:rFonts w:hint="default" w:ascii="Times New Roman" w:hAnsi="Times New Roman" w:eastAsia="宋体" w:cs="Times New Roman"/>
                <w:snapToGrid w:val="0"/>
                <w:color w:val="auto"/>
                <w:kern w:val="21"/>
                <w:sz w:val="21"/>
                <w:szCs w:val="21"/>
                <w:highlight w:val="none"/>
                <w:lang w:val="en-US" w:eastAsia="zh-CN"/>
              </w:rPr>
              <w:t>/a</w:t>
            </w:r>
          </w:p>
        </w:tc>
        <w:tc>
          <w:tcPr>
            <w:tcW w:w="1786" w:type="dxa"/>
            <w:vAlign w:val="center"/>
          </w:tcPr>
          <w:p w14:paraId="6F65D4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10.472</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4CC1A5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snapToGrid w:val="0"/>
                <w:color w:val="auto"/>
                <w:kern w:val="21"/>
                <w:sz w:val="21"/>
                <w:szCs w:val="21"/>
                <w:highlight w:val="none"/>
                <w:lang w:val="en-US" w:eastAsia="zh-CN"/>
              </w:rPr>
              <w:t>+10.218</w:t>
            </w:r>
            <w:r>
              <w:rPr>
                <w:rFonts w:hint="default" w:ascii="Times New Roman" w:hAnsi="Times New Roman" w:eastAsia="宋体" w:cs="Times New Roman"/>
                <w:snapToGrid w:val="0"/>
                <w:color w:val="auto"/>
                <w:kern w:val="21"/>
                <w:sz w:val="21"/>
                <w:szCs w:val="21"/>
                <w:highlight w:val="none"/>
                <w:lang w:val="en-US" w:eastAsia="zh-CN"/>
              </w:rPr>
              <w:t>t/a</w:t>
            </w:r>
          </w:p>
        </w:tc>
      </w:tr>
      <w:tr w14:paraId="389C7E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558D5A4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39ACE12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工业粉尘</w:t>
            </w:r>
          </w:p>
        </w:tc>
        <w:tc>
          <w:tcPr>
            <w:tcW w:w="1364" w:type="dxa"/>
            <w:vAlign w:val="center"/>
          </w:tcPr>
          <w:p w14:paraId="392A748F">
            <w:pPr>
              <w:keepNext w:val="0"/>
              <w:keepLines w:val="0"/>
              <w:suppressLineNumbers w:val="0"/>
              <w:spacing w:before="0" w:beforeAutospacing="0" w:after="0" w:afterAutospacing="0"/>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2.5t/a</w:t>
            </w:r>
          </w:p>
        </w:tc>
        <w:tc>
          <w:tcPr>
            <w:tcW w:w="1296" w:type="dxa"/>
            <w:vAlign w:val="center"/>
          </w:tcPr>
          <w:p w14:paraId="3B30A7DE">
            <w:pPr>
              <w:keepNext w:val="0"/>
              <w:keepLines w:val="0"/>
              <w:suppressLineNumbers w:val="0"/>
              <w:spacing w:before="0" w:beforeAutospacing="0" w:after="0" w:afterAutospacing="0"/>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409" w:type="dxa"/>
            <w:vAlign w:val="center"/>
          </w:tcPr>
          <w:p w14:paraId="192EC0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w:t>
            </w:r>
          </w:p>
        </w:tc>
        <w:tc>
          <w:tcPr>
            <w:tcW w:w="1559" w:type="dxa"/>
            <w:vAlign w:val="center"/>
          </w:tcPr>
          <w:p w14:paraId="3FD8EF46">
            <w:pPr>
              <w:keepNext w:val="0"/>
              <w:keepLines w:val="0"/>
              <w:suppressLineNumbers w:val="0"/>
              <w:spacing w:before="0" w:beforeAutospacing="0" w:after="0" w:afterAutospacing="0"/>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5.219t/a</w:t>
            </w:r>
          </w:p>
        </w:tc>
        <w:tc>
          <w:tcPr>
            <w:tcW w:w="1535" w:type="dxa"/>
            <w:vAlign w:val="center"/>
          </w:tcPr>
          <w:p w14:paraId="5E4F4F2A">
            <w:pPr>
              <w:keepNext w:val="0"/>
              <w:keepLines w:val="0"/>
              <w:suppressLineNumbers w:val="0"/>
              <w:spacing w:before="0" w:beforeAutospacing="0" w:after="0" w:afterAutospacing="0"/>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c>
          <w:tcPr>
            <w:tcW w:w="1786" w:type="dxa"/>
            <w:vAlign w:val="center"/>
          </w:tcPr>
          <w:p w14:paraId="7F92F4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7.719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2A642A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olor w:val="auto"/>
                <w:kern w:val="0"/>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+5.219</w:t>
            </w:r>
            <w:r>
              <w:rPr>
                <w:rFonts w:hint="default" w:ascii="Times New Roman" w:hAnsi="Times New Roman" w:eastAsia="宋体" w:cs="Times New Roman"/>
                <w:snapToGrid w:val="0"/>
                <w:color w:val="auto"/>
                <w:kern w:val="21"/>
                <w:sz w:val="21"/>
                <w:szCs w:val="21"/>
                <w:highlight w:val="none"/>
                <w:lang w:val="en-US" w:eastAsia="zh-CN"/>
              </w:rPr>
              <w:t>t/a</w:t>
            </w:r>
          </w:p>
        </w:tc>
      </w:tr>
      <w:tr w14:paraId="69E00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0A1A906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471" w:type="dxa"/>
            <w:vAlign w:val="center"/>
          </w:tcPr>
          <w:p w14:paraId="1EF85718">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生活垃圾</w:t>
            </w:r>
          </w:p>
        </w:tc>
        <w:tc>
          <w:tcPr>
            <w:tcW w:w="1364" w:type="dxa"/>
            <w:vAlign w:val="center"/>
          </w:tcPr>
          <w:p w14:paraId="5DFC175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12.18</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26D1C89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4D50507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3811054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6.275t/a</w:t>
            </w:r>
          </w:p>
        </w:tc>
        <w:tc>
          <w:tcPr>
            <w:tcW w:w="1535" w:type="dxa"/>
            <w:vAlign w:val="center"/>
          </w:tcPr>
          <w:p w14:paraId="2169150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21"/>
                <w:sz w:val="21"/>
                <w:szCs w:val="21"/>
                <w:highlight w:val="none"/>
              </w:rPr>
            </w:pPr>
            <w:r>
              <w:rPr>
                <w:rFonts w:hint="eastAsia" w:cs="Times New Roman"/>
                <w:bCs/>
                <w:color w:val="auto"/>
                <w:sz w:val="21"/>
                <w:szCs w:val="21"/>
                <w:highlight w:val="none"/>
                <w:lang w:val="en-US" w:eastAsia="zh-CN"/>
              </w:rPr>
              <w:t>12.18</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7BD10EC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6.275t/a</w:t>
            </w:r>
          </w:p>
        </w:tc>
        <w:tc>
          <w:tcPr>
            <w:tcW w:w="1225" w:type="dxa"/>
            <w:vAlign w:val="center"/>
          </w:tcPr>
          <w:p w14:paraId="2FBF968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-5.905t/a</w:t>
            </w:r>
          </w:p>
        </w:tc>
      </w:tr>
      <w:tr w14:paraId="36769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061A82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4794B5E5">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热风炉</w:t>
            </w:r>
            <w:r>
              <w:rPr>
                <w:rFonts w:hint="eastAsia" w:cs="Times New Roman"/>
                <w:color w:val="auto"/>
                <w:sz w:val="21"/>
                <w:szCs w:val="21"/>
                <w:highlight w:val="none"/>
                <w:lang w:eastAsia="zh-CN"/>
              </w:rPr>
              <w:t>灰</w:t>
            </w:r>
            <w:r>
              <w:rPr>
                <w:rFonts w:hint="default" w:ascii="Times New Roman" w:hAnsi="Times New Roman" w:cs="Times New Roman"/>
                <w:color w:val="auto"/>
                <w:sz w:val="21"/>
                <w:szCs w:val="21"/>
                <w:highlight w:val="none"/>
              </w:rPr>
              <w:t>渣</w:t>
            </w:r>
          </w:p>
        </w:tc>
        <w:tc>
          <w:tcPr>
            <w:tcW w:w="1364" w:type="dxa"/>
            <w:vAlign w:val="center"/>
          </w:tcPr>
          <w:p w14:paraId="049A4EF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456</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3FECDE9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409" w:type="dxa"/>
            <w:vAlign w:val="center"/>
          </w:tcPr>
          <w:p w14:paraId="78DED1D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559" w:type="dxa"/>
            <w:vAlign w:val="center"/>
          </w:tcPr>
          <w:p w14:paraId="6814702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800.78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54BA7C7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456</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57AB170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800.78</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6181AAB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+344.78</w:t>
            </w:r>
            <w:r>
              <w:rPr>
                <w:rFonts w:hint="default" w:ascii="Times New Roman" w:hAnsi="Times New Roman" w:eastAsia="宋体" w:cs="Times New Roman"/>
                <w:snapToGrid w:val="0"/>
                <w:color w:val="auto"/>
                <w:kern w:val="21"/>
                <w:sz w:val="21"/>
                <w:szCs w:val="21"/>
                <w:highlight w:val="none"/>
                <w:lang w:val="en-US" w:eastAsia="zh-CN"/>
              </w:rPr>
              <w:t>t/a</w:t>
            </w:r>
          </w:p>
        </w:tc>
      </w:tr>
      <w:tr w14:paraId="099450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7E2C574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0F710108">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初清杂质及输送</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装卸、烘干粉尘</w:t>
            </w:r>
          </w:p>
        </w:tc>
        <w:tc>
          <w:tcPr>
            <w:tcW w:w="1364" w:type="dxa"/>
            <w:vAlign w:val="center"/>
          </w:tcPr>
          <w:p w14:paraId="5825426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2F177B1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28E17A9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58DE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128.745t/a</w:t>
            </w:r>
          </w:p>
        </w:tc>
        <w:tc>
          <w:tcPr>
            <w:tcW w:w="1535" w:type="dxa"/>
            <w:vAlign w:val="center"/>
          </w:tcPr>
          <w:p w14:paraId="3305923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w:t>
            </w:r>
          </w:p>
        </w:tc>
        <w:tc>
          <w:tcPr>
            <w:tcW w:w="1786" w:type="dxa"/>
            <w:vAlign w:val="center"/>
          </w:tcPr>
          <w:p w14:paraId="1B2085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128.745t/a</w:t>
            </w:r>
          </w:p>
        </w:tc>
        <w:tc>
          <w:tcPr>
            <w:tcW w:w="1225" w:type="dxa"/>
            <w:shd w:val="clear" w:color="auto" w:fill="auto"/>
            <w:vAlign w:val="center"/>
          </w:tcPr>
          <w:p w14:paraId="46F105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+123.745t/a</w:t>
            </w:r>
          </w:p>
        </w:tc>
      </w:tr>
      <w:tr w14:paraId="5B3B1F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Align w:val="center"/>
          </w:tcPr>
          <w:p w14:paraId="748DB00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eastAsia" w:ascii="Times New Roman" w:cs="Times New Roman"/>
                <w:snapToGrid w:val="0"/>
                <w:color w:val="auto"/>
                <w:kern w:val="21"/>
                <w:sz w:val="24"/>
                <w:szCs w:val="24"/>
                <w:highlight w:val="none"/>
                <w:lang w:val="en-US" w:eastAsia="zh-CN"/>
              </w:rPr>
              <w:t>危险废物</w:t>
            </w:r>
          </w:p>
        </w:tc>
        <w:tc>
          <w:tcPr>
            <w:tcW w:w="2471" w:type="dxa"/>
            <w:vAlign w:val="center"/>
          </w:tcPr>
          <w:p w14:paraId="3A9A1423">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废机油、废弃含油抹布手套</w:t>
            </w:r>
          </w:p>
        </w:tc>
        <w:tc>
          <w:tcPr>
            <w:tcW w:w="1364" w:type="dxa"/>
            <w:vAlign w:val="center"/>
          </w:tcPr>
          <w:p w14:paraId="5511E173">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6980AEE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60266C4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E8FAC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0.03t/a</w:t>
            </w:r>
          </w:p>
        </w:tc>
        <w:tc>
          <w:tcPr>
            <w:tcW w:w="1535" w:type="dxa"/>
            <w:shd w:val="clear" w:color="auto" w:fill="auto"/>
            <w:vAlign w:val="center"/>
          </w:tcPr>
          <w:p w14:paraId="52AC8ED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w:t>
            </w:r>
          </w:p>
        </w:tc>
        <w:tc>
          <w:tcPr>
            <w:tcW w:w="1786" w:type="dxa"/>
            <w:shd w:val="clear" w:color="auto" w:fill="auto"/>
            <w:vAlign w:val="center"/>
          </w:tcPr>
          <w:p w14:paraId="0C80FB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0.03t/a</w:t>
            </w:r>
          </w:p>
        </w:tc>
        <w:tc>
          <w:tcPr>
            <w:tcW w:w="1225" w:type="dxa"/>
            <w:shd w:val="clear" w:color="auto" w:fill="auto"/>
            <w:vAlign w:val="center"/>
          </w:tcPr>
          <w:p w14:paraId="7DE3EE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+0.03t/a</w:t>
            </w:r>
          </w:p>
        </w:tc>
      </w:tr>
    </w:tbl>
    <w:p w14:paraId="643DC517">
      <w:pPr>
        <w:rPr>
          <w:rFonts w:hint="eastAsia" w:cs="Times New Roman"/>
          <w:snapToGrid w:val="0"/>
          <w:color w:val="auto"/>
          <w:kern w:val="21"/>
          <w:sz w:val="21"/>
          <w:highlight w:val="none"/>
          <w:lang w:val="en-US" w:eastAsia="zh-CN"/>
        </w:rPr>
      </w:pPr>
      <w:r>
        <w:rPr>
          <w:rFonts w:hint="default" w:ascii="Times New Roman" w:hAnsi="Times New Roman" w:cs="Times New Roman"/>
          <w:snapToGrid w:val="0"/>
          <w:color w:val="auto"/>
          <w:kern w:val="21"/>
          <w:sz w:val="21"/>
          <w:highlight w:val="none"/>
        </w:rPr>
        <w:t>注：⑥=①+③+④-⑤；⑦=⑥-①</w:t>
      </w:r>
      <w:r>
        <w:rPr>
          <w:rFonts w:hint="eastAsia" w:cs="Times New Roman"/>
          <w:snapToGrid w:val="0"/>
          <w:color w:val="auto"/>
          <w:kern w:val="21"/>
          <w:sz w:val="21"/>
          <w:highlight w:val="none"/>
          <w:lang w:val="en-US" w:eastAsia="zh-CN"/>
        </w:rPr>
        <w:t>/</w:t>
      </w:r>
    </w:p>
    <w:p w14:paraId="55D16CC5">
      <w:pPr>
        <w:rPr>
          <w:rFonts w:hint="eastAsia" w:cs="Times New Roman"/>
          <w:snapToGrid w:val="0"/>
          <w:color w:val="auto"/>
          <w:kern w:val="21"/>
          <w:sz w:val="21"/>
          <w:highlight w:val="none"/>
          <w:lang w:val="en-US"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DD985B5">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leftChars="0" w:firstLine="0" w:firstLineChars="0"/>
        <w:textAlignment w:val="auto"/>
        <w:rPr>
          <w:rFonts w:hint="eastAsia"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附件1</w:t>
      </w:r>
      <w:r>
        <w:rPr>
          <w:rFonts w:hint="eastAsia" w:eastAsia="宋体" w:cs="Times New Roman"/>
          <w:color w:val="auto"/>
          <w:sz w:val="21"/>
          <w:szCs w:val="21"/>
          <w:highlight w:val="none"/>
          <w:lang w:val="en-US" w:eastAsia="zh-CN"/>
        </w:rPr>
        <w:t>营业执照</w:t>
      </w:r>
    </w:p>
    <w:p w14:paraId="0C7BD90B">
      <w:pPr>
        <w:rPr>
          <w:rFonts w:hint="eastAsia" w:cs="Times New Roman"/>
          <w:b/>
          <w:bCs/>
          <w:color w:val="auto"/>
          <w:sz w:val="21"/>
          <w:szCs w:val="21"/>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s="Times New Roman"/>
          <w:b/>
          <w:bCs/>
          <w:color w:val="auto"/>
          <w:sz w:val="21"/>
          <w:szCs w:val="21"/>
          <w:highlight w:val="none"/>
          <w:lang w:val="en-US" w:eastAsia="zh-CN"/>
        </w:rPr>
        <w:drawing>
          <wp:inline distT="0" distB="0" distL="114300" distR="114300">
            <wp:extent cx="8441055" cy="5307965"/>
            <wp:effectExtent l="0" t="0" r="17145" b="6985"/>
            <wp:docPr id="21" name="图片 21" descr="2cdaddd08e7f85f89c778057313ee02"/>
            <wp:cNvGraphicFramePr/>
            <a:graphic xmlns:a="http://schemas.openxmlformats.org/drawingml/2006/main">
              <a:graphicData uri="http://schemas.openxmlformats.org/drawingml/2006/picture">
                <pic:pic xmlns:pic="http://schemas.openxmlformats.org/drawingml/2006/picture">
                  <pic:nvPicPr>
                    <pic:cNvPr id="21" name="图片 21" descr="2cdaddd08e7f85f89c778057313ee02"/>
                    <pic:cNvPicPr/>
                  </pic:nvPicPr>
                  <pic:blipFill>
                    <a:blip r:embed="rId37"/>
                    <a:stretch>
                      <a:fillRect/>
                    </a:stretch>
                  </pic:blipFill>
                  <pic:spPr>
                    <a:xfrm>
                      <a:off x="0" y="0"/>
                      <a:ext cx="8441055" cy="5307965"/>
                    </a:xfrm>
                    <a:prstGeom prst="rect">
                      <a:avLst/>
                    </a:prstGeom>
                  </pic:spPr>
                </pic:pic>
              </a:graphicData>
            </a:graphic>
          </wp:inline>
        </w:drawing>
      </w:r>
    </w:p>
    <w:p w14:paraId="2ACBD52C">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431" w:hanging="431"/>
        <w:jc w:val="left"/>
        <w:textAlignment w:val="auto"/>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附件2土地手续</w:t>
      </w:r>
    </w:p>
    <w:p w14:paraId="78F1B937">
      <w:r>
        <w:drawing>
          <wp:inline distT="0" distB="0" distL="114300" distR="114300">
            <wp:extent cx="5572125" cy="3820795"/>
            <wp:effectExtent l="0" t="0" r="9525" b="8255"/>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38"/>
                    <a:stretch>
                      <a:fillRect/>
                    </a:stretch>
                  </pic:blipFill>
                  <pic:spPr>
                    <a:xfrm>
                      <a:off x="0" y="0"/>
                      <a:ext cx="5572125" cy="3820795"/>
                    </a:xfrm>
                    <a:prstGeom prst="rect">
                      <a:avLst/>
                    </a:prstGeom>
                    <a:noFill/>
                    <a:ln>
                      <a:noFill/>
                    </a:ln>
                  </pic:spPr>
                </pic:pic>
              </a:graphicData>
            </a:graphic>
          </wp:inline>
        </w:drawing>
      </w:r>
    </w:p>
    <w:p w14:paraId="3E2F112C">
      <w:pPr>
        <w:rPr>
          <w:rFonts w:hint="default"/>
          <w:lang w:val="en-US" w:eastAsia="zh-CN"/>
        </w:rPr>
      </w:pPr>
      <w:r>
        <w:drawing>
          <wp:inline distT="0" distB="0" distL="114300" distR="114300">
            <wp:extent cx="5571490" cy="4286250"/>
            <wp:effectExtent l="0" t="0" r="10160" b="0"/>
            <wp:docPr id="22" name="图片 4"/>
            <wp:cNvGraphicFramePr/>
            <a:graphic xmlns:a="http://schemas.openxmlformats.org/drawingml/2006/main">
              <a:graphicData uri="http://schemas.openxmlformats.org/drawingml/2006/picture">
                <pic:pic xmlns:pic="http://schemas.openxmlformats.org/drawingml/2006/picture">
                  <pic:nvPicPr>
                    <pic:cNvPr id="22" name="图片 4"/>
                    <pic:cNvPicPr/>
                  </pic:nvPicPr>
                  <pic:blipFill>
                    <a:blip r:embed="rId39"/>
                    <a:stretch>
                      <a:fillRect/>
                    </a:stretch>
                  </pic:blipFill>
                  <pic:spPr>
                    <a:xfrm>
                      <a:off x="0" y="0"/>
                      <a:ext cx="5571490" cy="4286250"/>
                    </a:xfrm>
                    <a:prstGeom prst="rect">
                      <a:avLst/>
                    </a:prstGeom>
                    <a:noFill/>
                    <a:ln>
                      <a:noFill/>
                    </a:ln>
                  </pic:spPr>
                </pic:pic>
              </a:graphicData>
            </a:graphic>
          </wp:inline>
        </w:drawing>
      </w:r>
    </w:p>
    <w:p w14:paraId="13DEEEFB">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431" w:hanging="431"/>
        <w:jc w:val="left"/>
        <w:textAlignment w:val="auto"/>
        <w:rPr>
          <w:rFonts w:hint="default"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附件3 </w:t>
      </w:r>
      <w:r>
        <w:rPr>
          <w:rFonts w:hint="eastAsia" w:eastAsia="宋体" w:cs="Times New Roman"/>
          <w:color w:val="auto"/>
          <w:sz w:val="21"/>
          <w:szCs w:val="21"/>
          <w:highlight w:val="none"/>
          <w:lang w:val="en-US" w:eastAsia="zh-CN"/>
        </w:rPr>
        <w:t>环评批复</w:t>
      </w:r>
    </w:p>
    <w:p w14:paraId="235044D0">
      <w:pPr>
        <w:jc w:val="both"/>
        <w:rPr>
          <w:rFonts w:hint="default"/>
          <w:color w:val="auto"/>
          <w:highlight w:val="none"/>
          <w:lang w:val="en-US" w:eastAsia="zh-CN"/>
        </w:rPr>
      </w:pPr>
      <w:r>
        <w:drawing>
          <wp:inline distT="0" distB="0" distL="114300" distR="114300">
            <wp:extent cx="5571490" cy="6801485"/>
            <wp:effectExtent l="0" t="0" r="10160" b="1841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40"/>
                    <a:stretch>
                      <a:fillRect/>
                    </a:stretch>
                  </pic:blipFill>
                  <pic:spPr>
                    <a:xfrm>
                      <a:off x="0" y="0"/>
                      <a:ext cx="5571490" cy="6801485"/>
                    </a:xfrm>
                    <a:prstGeom prst="rect">
                      <a:avLst/>
                    </a:prstGeom>
                    <a:noFill/>
                    <a:ln>
                      <a:noFill/>
                    </a:ln>
                  </pic:spPr>
                </pic:pic>
              </a:graphicData>
            </a:graphic>
          </wp:inline>
        </w:drawing>
      </w:r>
      <w:r>
        <w:drawing>
          <wp:inline distT="0" distB="0" distL="114300" distR="114300">
            <wp:extent cx="5626100" cy="6819265"/>
            <wp:effectExtent l="0" t="0" r="12700" b="63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41"/>
                    <a:stretch>
                      <a:fillRect/>
                    </a:stretch>
                  </pic:blipFill>
                  <pic:spPr>
                    <a:xfrm>
                      <a:off x="0" y="0"/>
                      <a:ext cx="5626100" cy="6819265"/>
                    </a:xfrm>
                    <a:prstGeom prst="rect">
                      <a:avLst/>
                    </a:prstGeom>
                    <a:noFill/>
                    <a:ln>
                      <a:noFill/>
                    </a:ln>
                  </pic:spPr>
                </pic:pic>
              </a:graphicData>
            </a:graphic>
          </wp:inline>
        </w:drawing>
      </w:r>
      <w:r>
        <w:drawing>
          <wp:inline distT="0" distB="0" distL="114300" distR="114300">
            <wp:extent cx="5547995" cy="7133590"/>
            <wp:effectExtent l="0" t="0" r="14605" b="1016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42"/>
                    <a:stretch>
                      <a:fillRect/>
                    </a:stretch>
                  </pic:blipFill>
                  <pic:spPr>
                    <a:xfrm>
                      <a:off x="0" y="0"/>
                      <a:ext cx="5547995" cy="7133590"/>
                    </a:xfrm>
                    <a:prstGeom prst="rect">
                      <a:avLst/>
                    </a:prstGeom>
                    <a:noFill/>
                    <a:ln>
                      <a:noFill/>
                    </a:ln>
                  </pic:spPr>
                </pic:pic>
              </a:graphicData>
            </a:graphic>
          </wp:inline>
        </w:drawing>
      </w:r>
    </w:p>
    <w:p w14:paraId="1CA9A87E">
      <w:pPr>
        <w:pStyle w:val="129"/>
        <w:spacing w:line="240" w:lineRule="atLeast"/>
        <w:ind w:left="0" w:leftChars="0" w:firstLine="0" w:firstLineChars="0"/>
        <w:rPr>
          <w:rFonts w:hint="eastAsia" w:ascii="Times New Roman" w:hAnsi="Times New Roman" w:eastAsia="宋体" w:cs="Times New Roman"/>
          <w:color w:val="auto"/>
          <w:highlight w:val="none"/>
          <w:lang w:eastAsia="zh-CN"/>
        </w:rPr>
      </w:pPr>
    </w:p>
    <w:p w14:paraId="356635CD">
      <w:pPr>
        <w:pStyle w:val="129"/>
        <w:spacing w:line="240" w:lineRule="atLeast"/>
        <w:ind w:left="0" w:leftChars="0" w:firstLine="0" w:firstLineChars="0"/>
        <w:rPr>
          <w:rFonts w:hint="eastAsia" w:ascii="Times New Roman" w:hAnsi="Times New Roman" w:eastAsia="宋体" w:cs="Times New Roman"/>
          <w:color w:val="auto"/>
          <w:highlight w:val="none"/>
          <w:lang w:eastAsia="zh-CN"/>
        </w:rPr>
      </w:pPr>
    </w:p>
    <w:p w14:paraId="674A88E1">
      <w:pPr>
        <w:rPr>
          <w:rFonts w:hint="eastAsia" w:cs="Times New Roman"/>
          <w:b/>
          <w:bCs/>
          <w:color w:val="000000" w:themeColor="text1"/>
          <w:sz w:val="21"/>
          <w:szCs w:val="21"/>
          <w:highlight w:val="none"/>
          <w:lang w:val="en-US" w:eastAsia="zh-CN"/>
          <w14:textFill>
            <w14:solidFill>
              <w14:schemeClr w14:val="tx1"/>
            </w14:solidFill>
          </w14:textFill>
        </w:rPr>
      </w:pPr>
    </w:p>
    <w:p w14:paraId="1D684305">
      <w:pPr>
        <w:rPr>
          <w:rFonts w:hint="eastAsia" w:cs="Times New Roman"/>
          <w:b/>
          <w:bCs/>
          <w:color w:val="000000" w:themeColor="text1"/>
          <w:sz w:val="21"/>
          <w:szCs w:val="21"/>
          <w:highlight w:val="none"/>
          <w:lang w:val="en-US" w:eastAsia="zh-CN"/>
          <w14:textFill>
            <w14:solidFill>
              <w14:schemeClr w14:val="tx1"/>
            </w14:solidFill>
          </w14:textFill>
        </w:rPr>
      </w:pPr>
    </w:p>
    <w:p w14:paraId="2703F5D6">
      <w:pPr>
        <w:rPr>
          <w:rFonts w:hint="eastAsia" w:cs="Times New Roman"/>
          <w:b/>
          <w:bCs/>
          <w:color w:val="000000" w:themeColor="text1"/>
          <w:sz w:val="21"/>
          <w:szCs w:val="21"/>
          <w:highlight w:val="none"/>
          <w:lang w:val="en-US" w:eastAsia="zh-CN"/>
          <w14:textFill>
            <w14:solidFill>
              <w14:schemeClr w14:val="tx1"/>
            </w14:solidFill>
          </w14:textFill>
        </w:rPr>
      </w:pPr>
    </w:p>
    <w:p w14:paraId="6565B607">
      <w:pPr>
        <w:rPr>
          <w:rFonts w:hint="eastAsia" w:cs="Times New Roman"/>
          <w:b/>
          <w:bCs/>
          <w:color w:val="000000" w:themeColor="text1"/>
          <w:sz w:val="21"/>
          <w:szCs w:val="21"/>
          <w:highlight w:val="none"/>
          <w:lang w:val="en-US" w:eastAsia="zh-CN"/>
          <w14:textFill>
            <w14:solidFill>
              <w14:schemeClr w14:val="tx1"/>
            </w14:solidFill>
          </w14:textFill>
        </w:rPr>
      </w:pPr>
    </w:p>
    <w:p w14:paraId="0520CEC7">
      <w:pPr>
        <w:rPr>
          <w:rFonts w:hint="eastAsia" w:cs="Times New Roman"/>
          <w:b/>
          <w:bCs/>
          <w:color w:val="000000" w:themeColor="text1"/>
          <w:sz w:val="21"/>
          <w:szCs w:val="21"/>
          <w:highlight w:val="none"/>
          <w:lang w:val="en-US" w:eastAsia="zh-CN"/>
          <w14:textFill>
            <w14:solidFill>
              <w14:schemeClr w14:val="tx1"/>
            </w14:solidFill>
          </w14:textFill>
        </w:rPr>
      </w:pPr>
    </w:p>
    <w:p w14:paraId="362D2EB6">
      <w:pPr>
        <w:rPr>
          <w:rFonts w:hint="eastAsia" w:cs="Times New Roman"/>
          <w:b/>
          <w:bCs/>
          <w:color w:val="000000" w:themeColor="text1"/>
          <w:sz w:val="21"/>
          <w:szCs w:val="21"/>
          <w:highlight w:val="none"/>
          <w:lang w:val="en-US" w:eastAsia="zh-CN"/>
          <w14:textFill>
            <w14:solidFill>
              <w14:schemeClr w14:val="tx1"/>
            </w14:solidFill>
          </w14:textFill>
        </w:rPr>
      </w:pPr>
    </w:p>
    <w:p w14:paraId="7A939472">
      <w:pPr>
        <w:rPr>
          <w:rFonts w:hint="eastAsia"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附件4验收意见</w:t>
      </w:r>
    </w:p>
    <w:p w14:paraId="13613F0C">
      <w:pPr>
        <w:pStyle w:val="43"/>
        <w:rPr>
          <w:rFonts w:hint="default"/>
          <w:lang w:val="en-US" w:eastAsia="zh-CN"/>
        </w:rPr>
      </w:pPr>
      <w:r>
        <w:drawing>
          <wp:inline distT="0" distB="0" distL="114300" distR="114300">
            <wp:extent cx="5572125" cy="8049895"/>
            <wp:effectExtent l="0" t="0" r="9525" b="825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43"/>
                    <a:stretch>
                      <a:fillRect/>
                    </a:stretch>
                  </pic:blipFill>
                  <pic:spPr>
                    <a:xfrm>
                      <a:off x="0" y="0"/>
                      <a:ext cx="5572125" cy="8049895"/>
                    </a:xfrm>
                    <a:prstGeom prst="rect">
                      <a:avLst/>
                    </a:prstGeom>
                    <a:noFill/>
                    <a:ln>
                      <a:noFill/>
                    </a:ln>
                  </pic:spPr>
                </pic:pic>
              </a:graphicData>
            </a:graphic>
          </wp:inline>
        </w:drawing>
      </w:r>
      <w:r>
        <w:drawing>
          <wp:inline distT="0" distB="0" distL="114300" distR="114300">
            <wp:extent cx="5504815" cy="7767955"/>
            <wp:effectExtent l="0" t="0" r="635" b="444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4"/>
                    <a:stretch>
                      <a:fillRect/>
                    </a:stretch>
                  </pic:blipFill>
                  <pic:spPr>
                    <a:xfrm>
                      <a:off x="0" y="0"/>
                      <a:ext cx="5504815" cy="7767955"/>
                    </a:xfrm>
                    <a:prstGeom prst="rect">
                      <a:avLst/>
                    </a:prstGeom>
                    <a:noFill/>
                    <a:ln>
                      <a:noFill/>
                    </a:ln>
                  </pic:spPr>
                </pic:pic>
              </a:graphicData>
            </a:graphic>
          </wp:inline>
        </w:drawing>
      </w:r>
      <w:r>
        <w:drawing>
          <wp:inline distT="0" distB="0" distL="114300" distR="114300">
            <wp:extent cx="5647690" cy="7960995"/>
            <wp:effectExtent l="0" t="0" r="10160" b="190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45"/>
                    <a:stretch>
                      <a:fillRect/>
                    </a:stretch>
                  </pic:blipFill>
                  <pic:spPr>
                    <a:xfrm>
                      <a:off x="0" y="0"/>
                      <a:ext cx="5647690" cy="7960995"/>
                    </a:xfrm>
                    <a:prstGeom prst="rect">
                      <a:avLst/>
                    </a:prstGeom>
                    <a:noFill/>
                    <a:ln>
                      <a:noFill/>
                    </a:ln>
                  </pic:spPr>
                </pic:pic>
              </a:graphicData>
            </a:graphic>
          </wp:inline>
        </w:drawing>
      </w:r>
    </w:p>
    <w:p w14:paraId="3FA242A4">
      <w:pPr>
        <w:rPr>
          <w:rFonts w:hint="eastAsia" w:cs="Times New Roman"/>
          <w:b/>
          <w:bCs/>
          <w:color w:val="000000" w:themeColor="text1"/>
          <w:sz w:val="21"/>
          <w:szCs w:val="21"/>
          <w:highlight w:val="none"/>
          <w:lang w:val="en-US" w:eastAsia="zh-CN"/>
          <w14:textFill>
            <w14:solidFill>
              <w14:schemeClr w14:val="tx1"/>
            </w14:solidFill>
          </w14:textFill>
        </w:rPr>
      </w:pPr>
    </w:p>
    <w:p w14:paraId="1415C42B">
      <w:pPr>
        <w:rPr>
          <w:rFonts w:hint="eastAsia" w:cs="Times New Roman"/>
          <w:b/>
          <w:bCs/>
          <w:color w:val="000000" w:themeColor="text1"/>
          <w:sz w:val="21"/>
          <w:szCs w:val="21"/>
          <w:highlight w:val="none"/>
          <w:lang w:val="en-US" w:eastAsia="zh-CN"/>
          <w14:textFill>
            <w14:solidFill>
              <w14:schemeClr w14:val="tx1"/>
            </w14:solidFill>
          </w14:textFill>
        </w:rPr>
      </w:pPr>
    </w:p>
    <w:p w14:paraId="3E9BDC7C">
      <w:pPr>
        <w:rPr>
          <w:rFonts w:hint="eastAsia" w:cs="Times New Roman"/>
          <w:b/>
          <w:bCs/>
          <w:color w:val="000000" w:themeColor="text1"/>
          <w:sz w:val="21"/>
          <w:szCs w:val="21"/>
          <w:highlight w:val="none"/>
          <w:lang w:val="en-US" w:eastAsia="zh-CN"/>
          <w14:textFill>
            <w14:solidFill>
              <w14:schemeClr w14:val="tx1"/>
            </w14:solidFill>
          </w14:textFill>
        </w:rPr>
      </w:pPr>
    </w:p>
    <w:p w14:paraId="1DE2E11A">
      <w:pPr>
        <w:rPr>
          <w:rFonts w:hint="eastAsia"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附件5本项目检测报告</w:t>
      </w:r>
    </w:p>
    <w:p w14:paraId="777E21CE">
      <w:pPr>
        <w:rPr>
          <w:rFonts w:hint="eastAsia" w:eastAsia="宋体" w:cs="Times New Roman"/>
          <w:color w:val="auto"/>
          <w:sz w:val="21"/>
          <w:szCs w:val="21"/>
          <w:highlight w:val="none"/>
          <w:lang w:val="en-US" w:eastAsia="zh-CN"/>
        </w:rPr>
      </w:pPr>
      <w:r>
        <w:drawing>
          <wp:inline distT="0" distB="0" distL="114300" distR="114300">
            <wp:extent cx="5534025" cy="7467600"/>
            <wp:effectExtent l="0" t="0" r="9525" b="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46"/>
                    <a:stretch>
                      <a:fillRect/>
                    </a:stretch>
                  </pic:blipFill>
                  <pic:spPr>
                    <a:xfrm>
                      <a:off x="0" y="0"/>
                      <a:ext cx="5534025" cy="7467600"/>
                    </a:xfrm>
                    <a:prstGeom prst="rect">
                      <a:avLst/>
                    </a:prstGeom>
                    <a:noFill/>
                    <a:ln>
                      <a:noFill/>
                    </a:ln>
                  </pic:spPr>
                </pic:pic>
              </a:graphicData>
            </a:graphic>
          </wp:inline>
        </w:drawing>
      </w:r>
      <w:r>
        <w:drawing>
          <wp:inline distT="0" distB="0" distL="114300" distR="114300">
            <wp:extent cx="5448300" cy="7667625"/>
            <wp:effectExtent l="0" t="0" r="0" b="952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47"/>
                    <a:stretch>
                      <a:fillRect/>
                    </a:stretch>
                  </pic:blipFill>
                  <pic:spPr>
                    <a:xfrm>
                      <a:off x="0" y="0"/>
                      <a:ext cx="5448300" cy="7667625"/>
                    </a:xfrm>
                    <a:prstGeom prst="rect">
                      <a:avLst/>
                    </a:prstGeom>
                    <a:noFill/>
                    <a:ln>
                      <a:noFill/>
                    </a:ln>
                  </pic:spPr>
                </pic:pic>
              </a:graphicData>
            </a:graphic>
          </wp:inline>
        </w:drawing>
      </w:r>
      <w:r>
        <w:drawing>
          <wp:inline distT="0" distB="0" distL="114300" distR="114300">
            <wp:extent cx="5505450" cy="7381875"/>
            <wp:effectExtent l="0" t="0" r="0" b="952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48"/>
                    <a:stretch>
                      <a:fillRect/>
                    </a:stretch>
                  </pic:blipFill>
                  <pic:spPr>
                    <a:xfrm>
                      <a:off x="0" y="0"/>
                      <a:ext cx="5505450" cy="7381875"/>
                    </a:xfrm>
                    <a:prstGeom prst="rect">
                      <a:avLst/>
                    </a:prstGeom>
                    <a:noFill/>
                    <a:ln>
                      <a:noFill/>
                    </a:ln>
                  </pic:spPr>
                </pic:pic>
              </a:graphicData>
            </a:graphic>
          </wp:inline>
        </w:drawing>
      </w:r>
    </w:p>
    <w:p w14:paraId="6B431655">
      <w:pPr>
        <w:rPr>
          <w:rFonts w:hint="eastAsia" w:eastAsia="宋体" w:cs="Times New Roman"/>
          <w:color w:val="auto"/>
          <w:sz w:val="21"/>
          <w:szCs w:val="21"/>
          <w:highlight w:val="none"/>
          <w:lang w:val="en-US" w:eastAsia="zh-CN"/>
        </w:rPr>
      </w:pPr>
      <w:r>
        <w:drawing>
          <wp:anchor distT="0" distB="0" distL="114300" distR="114300" simplePos="0" relativeHeight="251681792" behindDoc="0" locked="0" layoutInCell="1" allowOverlap="1">
            <wp:simplePos x="0" y="0"/>
            <wp:positionH relativeFrom="column">
              <wp:posOffset>4411980</wp:posOffset>
            </wp:positionH>
            <wp:positionV relativeFrom="paragraph">
              <wp:posOffset>1819910</wp:posOffset>
            </wp:positionV>
            <wp:extent cx="532130" cy="510540"/>
            <wp:effectExtent l="0" t="0" r="1270" b="3810"/>
            <wp:wrapNone/>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11"/>
                    <a:stretch>
                      <a:fillRect/>
                    </a:stretch>
                  </pic:blipFill>
                  <pic:spPr>
                    <a:xfrm>
                      <a:off x="0" y="0"/>
                      <a:ext cx="532130" cy="510540"/>
                    </a:xfrm>
                    <a:prstGeom prst="rect">
                      <a:avLst/>
                    </a:prstGeom>
                    <a:noFill/>
                    <a:ln>
                      <a:noFill/>
                    </a:ln>
                  </pic:spPr>
                </pic:pic>
              </a:graphicData>
            </a:graphic>
          </wp:anchor>
        </w:drawing>
      </w:r>
      <w:r>
        <w:drawing>
          <wp:anchor distT="0" distB="0" distL="114300" distR="114300" simplePos="0" relativeHeight="251680768" behindDoc="0" locked="0" layoutInCell="1" allowOverlap="1">
            <wp:simplePos x="0" y="0"/>
            <wp:positionH relativeFrom="column">
              <wp:posOffset>4373880</wp:posOffset>
            </wp:positionH>
            <wp:positionV relativeFrom="paragraph">
              <wp:posOffset>4620260</wp:posOffset>
            </wp:positionV>
            <wp:extent cx="532130" cy="510540"/>
            <wp:effectExtent l="0" t="0" r="1270" b="3810"/>
            <wp:wrapNone/>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1"/>
                    <a:stretch>
                      <a:fillRect/>
                    </a:stretch>
                  </pic:blipFill>
                  <pic:spPr>
                    <a:xfrm>
                      <a:off x="0" y="0"/>
                      <a:ext cx="532130" cy="510540"/>
                    </a:xfrm>
                    <a:prstGeom prst="rect">
                      <a:avLst/>
                    </a:prstGeom>
                    <a:noFill/>
                    <a:ln>
                      <a:noFill/>
                    </a:ln>
                  </pic:spPr>
                </pic:pic>
              </a:graphicData>
            </a:graphic>
          </wp:anchor>
        </w:drawing>
      </w:r>
      <w:r>
        <w:rPr>
          <w:rFonts w:hint="eastAsia"/>
          <w:lang w:val="en-US" w:eastAsia="zh-CN"/>
        </w:rPr>
        <w:t>f</w:t>
      </w:r>
      <w:r>
        <w:drawing>
          <wp:inline distT="0" distB="0" distL="114300" distR="114300">
            <wp:extent cx="5572125" cy="7639685"/>
            <wp:effectExtent l="0" t="0" r="9525" b="1841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49"/>
                    <a:stretch>
                      <a:fillRect/>
                    </a:stretch>
                  </pic:blipFill>
                  <pic:spPr>
                    <a:xfrm>
                      <a:off x="0" y="0"/>
                      <a:ext cx="5572125" cy="7639685"/>
                    </a:xfrm>
                    <a:prstGeom prst="rect">
                      <a:avLst/>
                    </a:prstGeom>
                    <a:noFill/>
                    <a:ln>
                      <a:noFill/>
                    </a:ln>
                  </pic:spPr>
                </pic:pic>
              </a:graphicData>
            </a:graphic>
          </wp:inline>
        </w:drawing>
      </w:r>
      <w:r>
        <w:drawing>
          <wp:inline distT="0" distB="0" distL="114300" distR="114300">
            <wp:extent cx="5667375" cy="7773035"/>
            <wp:effectExtent l="0" t="0" r="9525" b="1841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50"/>
                    <a:stretch>
                      <a:fillRect/>
                    </a:stretch>
                  </pic:blipFill>
                  <pic:spPr>
                    <a:xfrm>
                      <a:off x="0" y="0"/>
                      <a:ext cx="5667375" cy="7773035"/>
                    </a:xfrm>
                    <a:prstGeom prst="rect">
                      <a:avLst/>
                    </a:prstGeom>
                    <a:noFill/>
                    <a:ln>
                      <a:noFill/>
                    </a:ln>
                  </pic:spPr>
                </pic:pic>
              </a:graphicData>
            </a:graphic>
          </wp:inline>
        </w:drawing>
      </w:r>
    </w:p>
    <w:p w14:paraId="57823629">
      <w:pPr>
        <w:pStyle w:val="2"/>
        <w:rPr>
          <w:rFonts w:hint="default"/>
          <w:color w:val="auto"/>
          <w:highlight w:val="none"/>
          <w:lang w:val="en-US" w:eastAsia="zh-CN"/>
        </w:rPr>
      </w:pPr>
    </w:p>
    <w:p w14:paraId="1D18A777">
      <w:pPr>
        <w:pStyle w:val="5"/>
        <w:ind w:left="0" w:leftChars="0"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 xml:space="preserve">附件6 </w:t>
      </w:r>
      <w:r>
        <w:rPr>
          <w:rFonts w:hint="eastAsia" w:ascii="宋体" w:hAnsi="宋体" w:eastAsia="宋体" w:cs="宋体"/>
          <w:color w:val="auto"/>
          <w:sz w:val="21"/>
          <w:szCs w:val="21"/>
          <w:highlight w:val="none"/>
        </w:rPr>
        <w:t>生物质成型</w:t>
      </w:r>
      <w:r>
        <w:rPr>
          <w:rFonts w:hint="eastAsia" w:ascii="宋体" w:hAnsi="宋体" w:eastAsia="宋体" w:cs="宋体"/>
          <w:color w:val="auto"/>
          <w:sz w:val="21"/>
          <w:szCs w:val="21"/>
          <w:highlight w:val="none"/>
          <w:lang w:eastAsia="zh-CN"/>
        </w:rPr>
        <w:t>压块</w:t>
      </w:r>
      <w:r>
        <w:rPr>
          <w:rFonts w:hint="eastAsia" w:ascii="宋体" w:hAnsi="宋体" w:eastAsia="宋体" w:cs="宋体"/>
          <w:color w:val="auto"/>
          <w:sz w:val="21"/>
          <w:szCs w:val="21"/>
          <w:highlight w:val="none"/>
        </w:rPr>
        <w:t>分析报告</w:t>
      </w:r>
    </w:p>
    <w:p w14:paraId="674AF870">
      <w:pPr>
        <w:bidi w:val="0"/>
        <w:rPr>
          <w:rFonts w:hint="default" w:ascii="Times New Roman" w:hAnsi="Times New Roman" w:eastAsia="宋体" w:cs="Times New Roman"/>
          <w:color w:val="auto"/>
          <w:sz w:val="21"/>
          <w:szCs w:val="21"/>
          <w:highlight w:val="none"/>
        </w:rPr>
      </w:pPr>
      <w:r>
        <w:rPr>
          <w:rFonts w:hint="eastAsia"/>
          <w:color w:val="auto"/>
          <w:highlight w:val="none"/>
        </w:rPr>
        <w:drawing>
          <wp:inline distT="0" distB="0" distL="114300" distR="114300">
            <wp:extent cx="5457825" cy="7362825"/>
            <wp:effectExtent l="0" t="0" r="9525" b="9525"/>
            <wp:docPr id="2" name="图片 2" descr="63317402007aae8d41b795b440a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3317402007aae8d41b795b440a7030"/>
                    <pic:cNvPicPr>
                      <a:picLocks noChangeAspect="1"/>
                    </pic:cNvPicPr>
                  </pic:nvPicPr>
                  <pic:blipFill>
                    <a:blip r:embed="rId51"/>
                    <a:stretch>
                      <a:fillRect/>
                    </a:stretch>
                  </pic:blipFill>
                  <pic:spPr>
                    <a:xfrm>
                      <a:off x="0" y="0"/>
                      <a:ext cx="5457825" cy="7362825"/>
                    </a:xfrm>
                    <a:prstGeom prst="rect">
                      <a:avLst/>
                    </a:prstGeom>
                  </pic:spPr>
                </pic:pic>
              </a:graphicData>
            </a:graphic>
          </wp:inline>
        </w:drawing>
      </w:r>
    </w:p>
    <w:p w14:paraId="61E3A812">
      <w:pPr>
        <w:pStyle w:val="5"/>
        <w:spacing w:line="260" w:lineRule="auto"/>
        <w:ind w:left="0" w:firstLine="0"/>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7B7D43DB">
      <w:pPr>
        <w:rPr>
          <w:rFonts w:hint="default"/>
        </w:rPr>
      </w:pPr>
    </w:p>
    <w:p w14:paraId="734691E5">
      <w:pPr>
        <w:pStyle w:val="5"/>
        <w:spacing w:line="260" w:lineRule="auto"/>
        <w:ind w:left="0" w:firstLine="0"/>
        <w:rPr>
          <w:rFonts w:hint="eastAsia"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附件</w:t>
      </w:r>
      <w:r>
        <w:rPr>
          <w:rFonts w:hint="eastAsia" w:eastAsia="宋体" w:cs="Times New Roman"/>
          <w:color w:val="000000" w:themeColor="text1"/>
          <w:sz w:val="21"/>
          <w:szCs w:val="21"/>
          <w:highlight w:val="none"/>
          <w:lang w:val="en-US" w:eastAsia="zh-CN"/>
          <w14:textFill>
            <w14:solidFill>
              <w14:schemeClr w14:val="tx1"/>
            </w14:solidFill>
          </w14:textFill>
        </w:rPr>
        <w:t>7 核定排放量计算说明</w:t>
      </w:r>
    </w:p>
    <w:p w14:paraId="40288288">
      <w:pPr>
        <w:keepNext w:val="0"/>
        <w:keepLines w:val="0"/>
        <w:pageBreakBefore w:val="0"/>
        <w:widowControl/>
        <w:numPr>
          <w:ilvl w:val="0"/>
          <w:numId w:val="4"/>
        </w:numPr>
        <w:kinsoku/>
        <w:wordWrap/>
        <w:overflowPunct/>
        <w:topLinePunct w:val="0"/>
        <w:autoSpaceDE/>
        <w:autoSpaceDN/>
        <w:bidi w:val="0"/>
        <w:adjustRightInd/>
        <w:snapToGrid/>
        <w:spacing w:line="360" w:lineRule="auto"/>
        <w:ind w:firstLine="422" w:firstLineChars="200"/>
        <w:textAlignment w:val="auto"/>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14:paraId="0066C91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b w:val="0"/>
          <w:bCs/>
          <w:color w:val="auto"/>
          <w:highlight w:val="none"/>
        </w:rPr>
      </w:pPr>
      <w:r>
        <w:rPr>
          <w:rFonts w:hint="eastAsia" w:ascii="宋体" w:hAnsi="宋体" w:cs="宋体"/>
          <w:b w:val="0"/>
          <w:bCs/>
          <w:color w:val="auto"/>
          <w:szCs w:val="21"/>
          <w:highlight w:val="none"/>
          <w:lang w:eastAsia="zh-CN"/>
        </w:rPr>
        <w:t>（</w:t>
      </w:r>
      <w:r>
        <w:rPr>
          <w:rFonts w:hint="eastAsia" w:ascii="宋体" w:hAnsi="宋体" w:cs="宋体"/>
          <w:b w:val="0"/>
          <w:bCs/>
          <w:color w:val="auto"/>
          <w:szCs w:val="21"/>
          <w:highlight w:val="none"/>
          <w:lang w:val="en-US" w:eastAsia="zh-CN"/>
        </w:rPr>
        <w:t>一）本项目核定</w:t>
      </w:r>
      <w:r>
        <w:rPr>
          <w:rFonts w:hint="eastAsia" w:ascii="宋体" w:hAnsi="宋体" w:cs="宋体"/>
          <w:b w:val="0"/>
          <w:bCs/>
          <w:color w:val="auto"/>
          <w:szCs w:val="21"/>
          <w:highlight w:val="none"/>
        </w:rPr>
        <w:t>排放总量</w:t>
      </w:r>
    </w:p>
    <w:p w14:paraId="0149A06F">
      <w:pPr>
        <w:pStyle w:val="155"/>
        <w:adjustRightInd w:val="0"/>
        <w:snapToGrid w:val="0"/>
        <w:spacing w:line="360" w:lineRule="auto"/>
        <w:ind w:firstLineChars="200"/>
        <w:rPr>
          <w:rFonts w:eastAsia="宋体"/>
          <w:color w:val="auto"/>
          <w:sz w:val="21"/>
          <w:szCs w:val="21"/>
          <w:highlight w:val="none"/>
        </w:rPr>
      </w:pPr>
      <w:r>
        <w:rPr>
          <w:rFonts w:hint="eastAsia"/>
          <w:color w:val="auto"/>
          <w:sz w:val="21"/>
          <w:szCs w:val="21"/>
          <w:highlight w:val="none"/>
          <w:lang w:val="en-US" w:eastAsia="zh-CN"/>
        </w:rPr>
        <w:t>1、热风炉污染物：</w:t>
      </w:r>
      <w:r>
        <w:rPr>
          <w:rFonts w:eastAsia="宋体"/>
          <w:color w:val="auto"/>
          <w:sz w:val="21"/>
          <w:szCs w:val="21"/>
          <w:highlight w:val="none"/>
        </w:rPr>
        <w:t>根据《排污许可证申请与核发技术规范 工业炉窑》（HJ1121-2020）中表6取值表计算本项目</w:t>
      </w:r>
      <w:r>
        <w:rPr>
          <w:rFonts w:hint="eastAsia"/>
          <w:color w:val="auto"/>
          <w:sz w:val="21"/>
          <w:szCs w:val="21"/>
          <w:highlight w:val="none"/>
          <w:lang w:val="en-US" w:eastAsia="zh-CN"/>
        </w:rPr>
        <w:t>颗粒物</w:t>
      </w:r>
      <w:r>
        <w:rPr>
          <w:rFonts w:hint="eastAsia"/>
          <w:color w:val="auto"/>
          <w:sz w:val="21"/>
          <w:szCs w:val="21"/>
          <w:highlight w:val="none"/>
          <w:lang w:eastAsia="zh-CN"/>
        </w:rPr>
        <w:t>、二氧化硫、</w:t>
      </w:r>
      <w:r>
        <w:rPr>
          <w:rFonts w:eastAsia="宋体"/>
          <w:color w:val="auto"/>
          <w:sz w:val="21"/>
          <w:szCs w:val="21"/>
          <w:highlight w:val="none"/>
        </w:rPr>
        <w:t>氮氧化物绩效值。</w:t>
      </w:r>
      <w:r>
        <w:rPr>
          <w:rFonts w:hint="default" w:ascii="Times New Roman" w:hAnsi="Times New Roman" w:cs="Times New Roman"/>
          <w:color w:val="auto"/>
          <w:sz w:val="21"/>
          <w:szCs w:val="21"/>
          <w:highlight w:val="none"/>
        </w:rPr>
        <w:t>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17.52</w:t>
      </w:r>
      <w:r>
        <w:rPr>
          <w:rFonts w:hint="default" w:ascii="Times New Roman" w:hAnsi="Times New Roman" w:cs="Times New Roman"/>
          <w:color w:val="auto"/>
          <w:sz w:val="21"/>
          <w:szCs w:val="21"/>
          <w:highlight w:val="none"/>
        </w:rPr>
        <w:t>MJ/kg</w:t>
      </w:r>
      <w:r>
        <w:rPr>
          <w:rFonts w:eastAsia="宋体"/>
          <w:color w:val="auto"/>
          <w:sz w:val="21"/>
          <w:szCs w:val="21"/>
          <w:highlight w:val="none"/>
        </w:rPr>
        <w:t>，采用插值法计算绩效值：</w:t>
      </w:r>
    </w:p>
    <w:p w14:paraId="144B3CD3">
      <w:pPr>
        <w:pStyle w:val="2"/>
        <w:spacing w:before="161"/>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颗粒物</w:t>
      </w:r>
      <w:r>
        <w:rPr>
          <w:rFonts w:hint="eastAsia" w:ascii="Times New Roman" w:hAnsi="Times New Roman" w:eastAsia="宋体" w:cs="Times New Roman"/>
          <w:color w:val="auto"/>
          <w:kern w:val="2"/>
          <w:sz w:val="21"/>
          <w:szCs w:val="21"/>
          <w:highlight w:val="none"/>
          <w:lang w:val="en-US" w:eastAsia="zh-CN" w:bidi="ar-SA"/>
        </w:rPr>
        <w:t>绩效值=0.252+（0.276-0.252）×（17.52-16.75）÷（18.84-16.75）=0.261kg/t</w:t>
      </w:r>
    </w:p>
    <w:p w14:paraId="17E4B4E2">
      <w:pPr>
        <w:pStyle w:val="2"/>
        <w:spacing w:before="161"/>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氮氧化物绩效值=2.516+（2.756-2.516）×（17.52-16.75）÷（18.84-16.75）=2.604kg/t </w:t>
      </w:r>
    </w:p>
    <w:p w14:paraId="1B86248B">
      <w:pPr>
        <w:pStyle w:val="2"/>
        <w:spacing w:before="161"/>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二氧化硫绩效值=0.839+（0.919-0.839）×（17.52-16.75）÷（18.84-16.75）=0.868kg/t </w:t>
      </w:r>
    </w:p>
    <w:p w14:paraId="4FBBA216">
      <w:pPr>
        <w:pStyle w:val="155"/>
        <w:adjustRightInd w:val="0"/>
        <w:snapToGrid w:val="0"/>
        <w:spacing w:line="500" w:lineRule="exact"/>
        <w:ind w:firstLine="0"/>
        <w:jc w:val="center"/>
        <w:rPr>
          <w:rFonts w:eastAsia="宋体"/>
          <w:b/>
          <w:bCs/>
          <w:color w:val="auto"/>
          <w:sz w:val="21"/>
          <w:szCs w:val="21"/>
          <w:highlight w:val="none"/>
        </w:rPr>
      </w:pPr>
      <w:r>
        <w:rPr>
          <w:rFonts w:eastAsia="宋体"/>
          <w:b/>
          <w:bCs/>
          <w:color w:val="auto"/>
          <w:sz w:val="21"/>
          <w:szCs w:val="21"/>
          <w:highlight w:val="none"/>
        </w:rPr>
        <w:t>表1加热炉、热处理炉、干燥炉（窑）排放口参考绩效值表</w:t>
      </w:r>
    </w:p>
    <w:p w14:paraId="69AE3006">
      <w:pPr>
        <w:pStyle w:val="155"/>
        <w:adjustRightInd w:val="0"/>
        <w:snapToGrid w:val="0"/>
        <w:ind w:firstLine="0"/>
        <w:jc w:val="center"/>
        <w:rPr>
          <w:rFonts w:eastAsia="宋体"/>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drawing>
          <wp:anchor distT="0" distB="0" distL="114300" distR="114300" simplePos="0" relativeHeight="251669504" behindDoc="0" locked="0" layoutInCell="1" allowOverlap="1">
            <wp:simplePos x="0" y="0"/>
            <wp:positionH relativeFrom="page">
              <wp:posOffset>1137285</wp:posOffset>
            </wp:positionH>
            <wp:positionV relativeFrom="paragraph">
              <wp:posOffset>157480</wp:posOffset>
            </wp:positionV>
            <wp:extent cx="5184140" cy="2644140"/>
            <wp:effectExtent l="0" t="0" r="16510" b="3810"/>
            <wp:wrapTopAndBottom/>
            <wp:docPr id="18" name="image46.jpeg"/>
            <wp:cNvGraphicFramePr/>
            <a:graphic xmlns:a="http://schemas.openxmlformats.org/drawingml/2006/main">
              <a:graphicData uri="http://schemas.openxmlformats.org/drawingml/2006/picture">
                <pic:pic xmlns:pic="http://schemas.openxmlformats.org/drawingml/2006/picture">
                  <pic:nvPicPr>
                    <pic:cNvPr id="18" name="image46.jpeg"/>
                    <pic:cNvPicPr/>
                  </pic:nvPicPr>
                  <pic:blipFill>
                    <a:blip r:embed="rId52"/>
                    <a:stretch>
                      <a:fillRect/>
                    </a:stretch>
                  </pic:blipFill>
                  <pic:spPr>
                    <a:xfrm>
                      <a:off x="0" y="0"/>
                      <a:ext cx="5184140" cy="2644140"/>
                    </a:xfrm>
                    <a:prstGeom prst="rect">
                      <a:avLst/>
                    </a:prstGeom>
                    <a:noFill/>
                    <a:ln>
                      <a:noFill/>
                    </a:ln>
                  </pic:spPr>
                </pic:pic>
              </a:graphicData>
            </a:graphic>
          </wp:anchor>
        </w:drawing>
      </w:r>
      <w:r>
        <w:rPr>
          <w:color w:val="auto"/>
          <w:highlight w:val="none"/>
        </w:rPr>
        <w:drawing>
          <wp:inline distT="0" distB="0" distL="114300" distR="114300">
            <wp:extent cx="5274310" cy="1818640"/>
            <wp:effectExtent l="0" t="0" r="2540" b="1016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3"/>
                    <a:stretch>
                      <a:fillRect/>
                    </a:stretch>
                  </pic:blipFill>
                  <pic:spPr>
                    <a:xfrm>
                      <a:off x="0" y="0"/>
                      <a:ext cx="5274310" cy="1818640"/>
                    </a:xfrm>
                    <a:prstGeom prst="rect">
                      <a:avLst/>
                    </a:prstGeom>
                    <a:noFill/>
                    <a:ln>
                      <a:noFill/>
                    </a:ln>
                  </pic:spPr>
                </pic:pic>
              </a:graphicData>
            </a:graphic>
          </wp:inline>
        </w:drawing>
      </w:r>
    </w:p>
    <w:p w14:paraId="7FF47165">
      <w:pPr>
        <w:pStyle w:val="155"/>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根据《排污许可证申请与核发技术规范 工业炉窑》（HJ1121-2020）绩效值法核算方法</w:t>
      </w:r>
    </w:p>
    <w:p w14:paraId="7B536BD0">
      <w:pPr>
        <w:spacing w:line="360" w:lineRule="auto"/>
        <w:jc w:val="center"/>
        <w:rPr>
          <w:color w:val="auto"/>
          <w:szCs w:val="21"/>
          <w:highlight w:val="none"/>
        </w:rPr>
      </w:pPr>
      <w:r>
        <w:rPr>
          <w:color w:val="auto"/>
          <w:szCs w:val="21"/>
          <w:highlight w:val="none"/>
        </w:rPr>
        <w:drawing>
          <wp:inline distT="0" distB="0" distL="114300" distR="114300">
            <wp:extent cx="1423035" cy="742315"/>
            <wp:effectExtent l="0" t="0" r="5715" b="63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54"/>
                    <a:stretch>
                      <a:fillRect/>
                    </a:stretch>
                  </pic:blipFill>
                  <pic:spPr>
                    <a:xfrm>
                      <a:off x="0" y="0"/>
                      <a:ext cx="1423035" cy="742315"/>
                    </a:xfrm>
                    <a:prstGeom prst="rect">
                      <a:avLst/>
                    </a:prstGeom>
                    <a:noFill/>
                    <a:ln>
                      <a:noFill/>
                    </a:ln>
                  </pic:spPr>
                </pic:pic>
              </a:graphicData>
            </a:graphic>
          </wp:inline>
        </w:drawing>
      </w:r>
    </w:p>
    <w:p w14:paraId="51E73B17">
      <w:pPr>
        <w:pStyle w:val="155"/>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式中：Mi——第i个排放口污染物年许可排放量，t；</w:t>
      </w:r>
    </w:p>
    <w:p w14:paraId="66904510">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R——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eastAsia="宋体"/>
          <w:color w:val="auto"/>
          <w:sz w:val="21"/>
          <w:szCs w:val="21"/>
          <w:highlight w:val="none"/>
          <w:vertAlign w:val="superscript"/>
        </w:rPr>
        <w:t>3</w:t>
      </w:r>
      <w:r>
        <w:rPr>
          <w:rFonts w:eastAsia="宋体"/>
          <w:color w:val="auto"/>
          <w:sz w:val="21"/>
          <w:szCs w:val="21"/>
          <w:highlight w:val="none"/>
        </w:rPr>
        <w:t>；</w:t>
      </w:r>
    </w:p>
    <w:p w14:paraId="20436B37">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G——绩效值，kg/t产品，kg/t燃料或kg/m</w:t>
      </w:r>
      <w:r>
        <w:rPr>
          <w:rFonts w:eastAsia="宋体"/>
          <w:color w:val="auto"/>
          <w:sz w:val="21"/>
          <w:szCs w:val="21"/>
          <w:highlight w:val="none"/>
          <w:vertAlign w:val="superscript"/>
        </w:rPr>
        <w:t>3</w:t>
      </w:r>
      <w:r>
        <w:rPr>
          <w:rFonts w:eastAsia="宋体"/>
          <w:color w:val="auto"/>
          <w:sz w:val="21"/>
          <w:szCs w:val="21"/>
          <w:highlight w:val="none"/>
        </w:rPr>
        <w:t>燃料；</w:t>
      </w:r>
    </w:p>
    <w:p w14:paraId="27DCFE3A">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年许可</w:t>
      </w:r>
      <w:r>
        <w:rPr>
          <w:rFonts w:eastAsia="宋体"/>
          <w:color w:val="auto"/>
          <w:sz w:val="21"/>
          <w:szCs w:val="21"/>
          <w:highlight w:val="none"/>
        </w:rPr>
        <w:t>——污染物年许可排放量，t。</w:t>
      </w:r>
    </w:p>
    <w:p w14:paraId="5B432D29">
      <w:pPr>
        <w:pStyle w:val="155"/>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本项目为一个烟囱排放口则i=1，设计消耗量</w:t>
      </w:r>
      <w:r>
        <w:rPr>
          <w:rFonts w:hint="eastAsia" w:cs="Times New Roman"/>
          <w:color w:val="auto"/>
          <w:sz w:val="21"/>
          <w:szCs w:val="21"/>
          <w:highlight w:val="none"/>
          <w:lang w:val="en-US" w:eastAsia="zh-CN"/>
        </w:rPr>
        <w:t>9015</w:t>
      </w:r>
      <w:r>
        <w:rPr>
          <w:rFonts w:eastAsia="宋体"/>
          <w:color w:val="auto"/>
          <w:sz w:val="21"/>
          <w:szCs w:val="21"/>
          <w:highlight w:val="none"/>
        </w:rPr>
        <w:t>t/a</w:t>
      </w:r>
    </w:p>
    <w:p w14:paraId="0523E891">
      <w:pPr>
        <w:pStyle w:val="155"/>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则E</w:t>
      </w:r>
      <w:r>
        <w:rPr>
          <w:rFonts w:hint="eastAsia"/>
          <w:color w:val="auto"/>
          <w:sz w:val="21"/>
          <w:szCs w:val="21"/>
          <w:highlight w:val="none"/>
          <w:vertAlign w:val="subscript"/>
          <w:lang w:eastAsia="zh-CN"/>
        </w:rPr>
        <w:t>颗粒物</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9015万</w:t>
      </w:r>
      <w:r>
        <w:rPr>
          <w:rFonts w:eastAsia="宋体"/>
          <w:color w:val="auto"/>
          <w:sz w:val="21"/>
          <w:szCs w:val="21"/>
          <w:highlight w:val="none"/>
        </w:rPr>
        <w:t>t×0.</w:t>
      </w:r>
      <w:r>
        <w:rPr>
          <w:rFonts w:hint="eastAsia"/>
          <w:color w:val="auto"/>
          <w:sz w:val="21"/>
          <w:szCs w:val="21"/>
          <w:highlight w:val="none"/>
          <w:lang w:val="en-US" w:eastAsia="zh-CN"/>
        </w:rPr>
        <w:t>261</w:t>
      </w:r>
      <w:r>
        <w:rPr>
          <w:rFonts w:eastAsia="宋体"/>
          <w:color w:val="auto"/>
          <w:sz w:val="21"/>
          <w:szCs w:val="21"/>
          <w:highlight w:val="none"/>
        </w:rPr>
        <w:t>×10=</w:t>
      </w:r>
      <w:r>
        <w:rPr>
          <w:rFonts w:hint="eastAsia"/>
          <w:color w:val="auto"/>
          <w:sz w:val="21"/>
          <w:szCs w:val="21"/>
          <w:highlight w:val="none"/>
          <w:lang w:val="en-US" w:eastAsia="zh-CN"/>
        </w:rPr>
        <w:t>2.353</w:t>
      </w:r>
      <w:r>
        <w:rPr>
          <w:rFonts w:eastAsia="宋体"/>
          <w:color w:val="auto"/>
          <w:sz w:val="21"/>
          <w:szCs w:val="21"/>
          <w:highlight w:val="none"/>
        </w:rPr>
        <w:t>t</w:t>
      </w:r>
    </w:p>
    <w:p w14:paraId="47D3B72F">
      <w:pPr>
        <w:pStyle w:val="155"/>
        <w:adjustRightInd w:val="0"/>
        <w:snapToGrid w:val="0"/>
        <w:spacing w:line="360" w:lineRule="auto"/>
        <w:ind w:firstLine="630" w:firstLineChars="300"/>
        <w:rPr>
          <w:rFonts w:hint="default" w:eastAsia="宋体"/>
          <w:color w:val="auto"/>
          <w:sz w:val="21"/>
          <w:szCs w:val="21"/>
          <w:highlight w:val="none"/>
          <w:lang w:val="en-US"/>
        </w:rPr>
      </w:pPr>
      <w:r>
        <w:rPr>
          <w:rFonts w:eastAsia="宋体"/>
          <w:color w:val="auto"/>
          <w:sz w:val="21"/>
          <w:szCs w:val="21"/>
          <w:highlight w:val="none"/>
        </w:rPr>
        <w:t>E</w:t>
      </w:r>
      <w:r>
        <w:rPr>
          <w:rFonts w:hint="eastAsia" w:eastAsia="宋体"/>
          <w:color w:val="auto"/>
          <w:sz w:val="21"/>
          <w:szCs w:val="21"/>
          <w:highlight w:val="none"/>
          <w:vertAlign w:val="subscript"/>
          <w:lang w:val="en-US" w:eastAsia="zh-CN"/>
        </w:rPr>
        <w:t>SO2</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9015万</w:t>
      </w:r>
      <w:r>
        <w:rPr>
          <w:rFonts w:eastAsia="宋体"/>
          <w:color w:val="auto"/>
          <w:sz w:val="21"/>
          <w:szCs w:val="21"/>
          <w:highlight w:val="none"/>
        </w:rPr>
        <w:t>t×</w:t>
      </w:r>
      <w:r>
        <w:rPr>
          <w:rFonts w:hint="eastAsia" w:eastAsia="宋体"/>
          <w:color w:val="auto"/>
          <w:sz w:val="21"/>
          <w:szCs w:val="21"/>
          <w:highlight w:val="none"/>
          <w:lang w:val="en-US" w:eastAsia="zh-CN"/>
        </w:rPr>
        <w:t>0.8</w:t>
      </w:r>
      <w:r>
        <w:rPr>
          <w:rFonts w:hint="eastAsia"/>
          <w:color w:val="auto"/>
          <w:sz w:val="21"/>
          <w:szCs w:val="21"/>
          <w:highlight w:val="none"/>
          <w:lang w:val="en-US" w:eastAsia="zh-CN"/>
        </w:rPr>
        <w:t>68</w:t>
      </w:r>
      <w:r>
        <w:rPr>
          <w:rFonts w:eastAsia="宋体"/>
          <w:color w:val="auto"/>
          <w:sz w:val="21"/>
          <w:szCs w:val="21"/>
          <w:highlight w:val="none"/>
        </w:rPr>
        <w:t>×10=</w:t>
      </w:r>
      <w:r>
        <w:rPr>
          <w:rFonts w:hint="eastAsia"/>
          <w:color w:val="auto"/>
          <w:sz w:val="21"/>
          <w:szCs w:val="21"/>
          <w:highlight w:val="none"/>
          <w:lang w:val="en-US" w:eastAsia="zh-CN"/>
        </w:rPr>
        <w:t>7.825t</w:t>
      </w:r>
    </w:p>
    <w:p w14:paraId="0C290211">
      <w:pPr>
        <w:pStyle w:val="155"/>
        <w:adjustRightInd w:val="0"/>
        <w:snapToGrid w:val="0"/>
        <w:spacing w:line="360" w:lineRule="auto"/>
        <w:ind w:firstLine="630" w:firstLineChars="3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NOX</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9015万</w:t>
      </w:r>
      <w:r>
        <w:rPr>
          <w:rFonts w:eastAsia="宋体"/>
          <w:color w:val="auto"/>
          <w:sz w:val="21"/>
          <w:szCs w:val="21"/>
          <w:highlight w:val="none"/>
        </w:rPr>
        <w:t>t×</w:t>
      </w:r>
      <w:r>
        <w:rPr>
          <w:rFonts w:hint="eastAsia" w:eastAsia="宋体"/>
          <w:color w:val="auto"/>
          <w:sz w:val="21"/>
          <w:szCs w:val="21"/>
          <w:highlight w:val="none"/>
          <w:lang w:val="en-US" w:eastAsia="zh-CN"/>
        </w:rPr>
        <w:t>2.</w:t>
      </w:r>
      <w:r>
        <w:rPr>
          <w:rFonts w:hint="eastAsia"/>
          <w:color w:val="auto"/>
          <w:sz w:val="21"/>
          <w:szCs w:val="21"/>
          <w:highlight w:val="none"/>
          <w:lang w:val="en-US" w:eastAsia="zh-CN"/>
        </w:rPr>
        <w:t>604</w:t>
      </w:r>
      <w:r>
        <w:rPr>
          <w:rFonts w:eastAsia="宋体"/>
          <w:color w:val="auto"/>
          <w:sz w:val="21"/>
          <w:szCs w:val="21"/>
          <w:highlight w:val="none"/>
        </w:rPr>
        <w:t>×10=</w:t>
      </w:r>
      <w:r>
        <w:rPr>
          <w:rFonts w:hint="eastAsia"/>
          <w:color w:val="auto"/>
          <w:sz w:val="21"/>
          <w:szCs w:val="21"/>
          <w:highlight w:val="none"/>
          <w:lang w:val="en-US" w:eastAsia="zh-CN"/>
        </w:rPr>
        <w:t>23.475</w:t>
      </w:r>
      <w:r>
        <w:rPr>
          <w:rFonts w:eastAsia="宋体"/>
          <w:color w:val="auto"/>
          <w:sz w:val="21"/>
          <w:szCs w:val="21"/>
          <w:highlight w:val="none"/>
        </w:rPr>
        <w:t>t</w:t>
      </w:r>
    </w:p>
    <w:p w14:paraId="6F2728A3">
      <w:pPr>
        <w:pStyle w:val="15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color w:val="auto"/>
          <w:highlight w:val="none"/>
          <w:lang w:val="en-US" w:eastAsia="zh-CN"/>
        </w:rPr>
      </w:pPr>
      <w:r>
        <w:rPr>
          <w:rFonts w:hint="default" w:ascii="Times New Roman" w:hAnsi="Times New Roman" w:eastAsia="宋体" w:cs="Times New Roman"/>
          <w:color w:val="auto"/>
          <w:szCs w:val="21"/>
          <w:highlight w:val="none"/>
          <w:lang w:val="en-US" w:eastAsia="zh-CN"/>
        </w:rPr>
        <w:t>2</w:t>
      </w:r>
      <w:r>
        <w:rPr>
          <w:rFonts w:hint="default" w:ascii="Times New Roman" w:hAnsi="Times New Roman" w:eastAsia="宋体" w:cs="Times New Roman"/>
          <w:color w:val="auto"/>
          <w:szCs w:val="21"/>
          <w:highlight w:val="none"/>
        </w:rPr>
        <w:t>、</w:t>
      </w:r>
      <w:bookmarkStart w:id="14" w:name="_Toc219"/>
      <w:r>
        <w:rPr>
          <w:rFonts w:cs="Times New Roman"/>
          <w:color w:val="auto"/>
          <w:spacing w:val="0"/>
          <w:sz w:val="21"/>
          <w:szCs w:val="21"/>
          <w:highlight w:val="none"/>
        </w:rPr>
        <w:t>厂区无组织排放粉尘</w:t>
      </w:r>
      <w:r>
        <w:rPr>
          <w:rFonts w:hint="eastAsia" w:cs="Times New Roman"/>
          <w:color w:val="auto"/>
          <w:spacing w:val="0"/>
          <w:sz w:val="21"/>
          <w:szCs w:val="21"/>
          <w:highlight w:val="none"/>
          <w:lang w:val="en-US" w:eastAsia="zh-CN"/>
        </w:rPr>
        <w:t>量为5.219t/a。</w:t>
      </w:r>
    </w:p>
    <w:p w14:paraId="1EA7F4C7">
      <w:pPr>
        <w:pStyle w:val="3"/>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eastAsia="宋体"/>
          <w:color w:val="auto"/>
          <w:highlight w:val="none"/>
          <w:lang w:val="en-US" w:eastAsia="zh-CN"/>
        </w:rPr>
      </w:pPr>
      <w:r>
        <w:rPr>
          <w:rFonts w:hint="default" w:ascii="Times New Roman" w:hAnsi="Times New Roman" w:cs="Times New Roman"/>
          <w:color w:val="auto"/>
          <w:sz w:val="21"/>
          <w:szCs w:val="21"/>
          <w:highlight w:val="none"/>
          <w:lang w:val="en-US" w:eastAsia="zh-CN"/>
        </w:rPr>
        <w:t>则本项目颗粒物核定排放总量为</w:t>
      </w:r>
      <w:r>
        <w:rPr>
          <w:rFonts w:hint="eastAsia" w:ascii="Times New Roman" w:cs="Times New Roman"/>
          <w:color w:val="auto"/>
          <w:sz w:val="21"/>
          <w:szCs w:val="21"/>
          <w:highlight w:val="none"/>
          <w:lang w:val="en-US" w:eastAsia="zh-CN"/>
        </w:rPr>
        <w:t>2.353</w:t>
      </w:r>
      <w:r>
        <w:rPr>
          <w:rFonts w:hint="default" w:ascii="Times New Roman" w:hAnsi="Times New Roman" w:cs="Times New Roman"/>
          <w:color w:val="auto"/>
          <w:spacing w:val="0"/>
          <w:sz w:val="21"/>
          <w:szCs w:val="21"/>
          <w:highlight w:val="none"/>
          <w:lang w:val="en-US" w:eastAsia="zh-CN"/>
        </w:rPr>
        <w:t>t/a，二氧化硫</w:t>
      </w:r>
      <w:r>
        <w:rPr>
          <w:rFonts w:hint="default" w:ascii="Times New Roman" w:hAnsi="Times New Roman" w:cs="Times New Roman"/>
          <w:color w:val="auto"/>
          <w:sz w:val="21"/>
          <w:szCs w:val="21"/>
          <w:highlight w:val="none"/>
          <w:lang w:val="en-US" w:eastAsia="zh-CN"/>
        </w:rPr>
        <w:t>核定排放总量为</w:t>
      </w:r>
      <w:r>
        <w:rPr>
          <w:rFonts w:hint="eastAsia" w:ascii="Times New Roman" w:cs="Times New Roman"/>
          <w:color w:val="auto"/>
          <w:sz w:val="21"/>
          <w:szCs w:val="21"/>
          <w:highlight w:val="none"/>
          <w:lang w:val="en-US" w:eastAsia="zh-CN"/>
        </w:rPr>
        <w:t>7.825</w:t>
      </w:r>
      <w:r>
        <w:rPr>
          <w:rFonts w:hint="default" w:ascii="Times New Roman" w:hAnsi="Times New Roman" w:cs="Times New Roman"/>
          <w:color w:val="auto"/>
          <w:spacing w:val="0"/>
          <w:sz w:val="21"/>
          <w:szCs w:val="21"/>
          <w:highlight w:val="none"/>
          <w:lang w:val="en-US" w:eastAsia="zh-CN"/>
        </w:rPr>
        <w:t>t/a，氮氧化物</w:t>
      </w:r>
      <w:r>
        <w:rPr>
          <w:rFonts w:hint="default" w:ascii="Times New Roman" w:hAnsi="Times New Roman" w:cs="Times New Roman"/>
          <w:color w:val="auto"/>
          <w:sz w:val="21"/>
          <w:szCs w:val="21"/>
          <w:highlight w:val="none"/>
          <w:lang w:val="en-US" w:eastAsia="zh-CN"/>
        </w:rPr>
        <w:t>核定排放总量为</w:t>
      </w:r>
      <w:r>
        <w:rPr>
          <w:rFonts w:hint="eastAsia" w:ascii="Times New Roman" w:cs="Times New Roman"/>
          <w:color w:val="auto"/>
          <w:sz w:val="21"/>
          <w:szCs w:val="21"/>
          <w:highlight w:val="none"/>
          <w:lang w:val="en-US" w:eastAsia="zh-CN"/>
        </w:rPr>
        <w:t>23.475</w:t>
      </w:r>
      <w:r>
        <w:rPr>
          <w:rFonts w:hint="default" w:ascii="Times New Roman" w:hAnsi="Times New Roman" w:cs="Times New Roman"/>
          <w:color w:val="auto"/>
          <w:spacing w:val="0"/>
          <w:sz w:val="21"/>
          <w:szCs w:val="21"/>
          <w:highlight w:val="none"/>
          <w:lang w:val="en-US" w:eastAsia="zh-CN"/>
        </w:rPr>
        <w:t>t/a</w:t>
      </w:r>
      <w:r>
        <w:rPr>
          <w:rFonts w:hint="eastAsia" w:ascii="Times New Roman" w:cs="Times New Roman"/>
          <w:color w:val="auto"/>
          <w:spacing w:val="0"/>
          <w:sz w:val="21"/>
          <w:szCs w:val="21"/>
          <w:highlight w:val="none"/>
          <w:lang w:val="en-US" w:eastAsia="zh-CN"/>
        </w:rPr>
        <w:t>，工业粉尘5.219</w:t>
      </w:r>
      <w:r>
        <w:rPr>
          <w:rFonts w:hint="eastAsia" w:ascii="Times New Roman" w:hAnsi="Times New Roman" w:cs="Times New Roman"/>
          <w:color w:val="auto"/>
          <w:spacing w:val="0"/>
          <w:sz w:val="21"/>
          <w:szCs w:val="21"/>
          <w:highlight w:val="none"/>
          <w:lang w:val="en-US" w:eastAsia="zh-CN"/>
        </w:rPr>
        <w:t>。</w:t>
      </w:r>
    </w:p>
    <w:p w14:paraId="2D763F1F">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A308B68">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4FE1A5F">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31B2EE4">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1AD0825">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589FCC8">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12D3C92">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86D09CE">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87AE374">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12D9879D">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05B3DF1">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CE79F01">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BF8933A">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1055EE8">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93B96DF">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2C5F088">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12F1FCF">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DE44D22">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B86D0DF">
      <w:pPr>
        <w:pStyle w:val="129"/>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294AA0A">
      <w:pPr>
        <w:pStyle w:val="5"/>
        <w:spacing w:line="260" w:lineRule="auto"/>
        <w:ind w:left="0" w:firstLine="0"/>
        <w:jc w:val="center"/>
        <w:rPr>
          <w:rFonts w:hint="eastAsia" w:eastAsia="宋体"/>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color w:val="000000" w:themeColor="text1"/>
          <w:sz w:val="21"/>
          <w:szCs w:val="21"/>
          <w:highlight w:val="none"/>
          <w14:textFill>
            <w14:solidFill>
              <w14:schemeClr w14:val="tx1"/>
            </w14:solidFill>
          </w14:textFill>
        </w:rPr>
        <w:t>附件</w:t>
      </w:r>
      <w:r>
        <w:rPr>
          <w:rFonts w:hint="eastAsia" w:eastAsia="宋体" w:cs="Times New Roman"/>
          <w:color w:val="000000" w:themeColor="text1"/>
          <w:sz w:val="21"/>
          <w:szCs w:val="21"/>
          <w:highlight w:val="none"/>
          <w:lang w:val="en-US" w:eastAsia="zh-CN"/>
          <w14:textFill>
            <w14:solidFill>
              <w14:schemeClr w14:val="tx1"/>
            </w14:solidFill>
          </w14:textFill>
        </w:rPr>
        <w:t>8生态环境分区管控分析报告</w:t>
      </w:r>
      <w:r>
        <w:drawing>
          <wp:inline distT="0" distB="0" distL="114300" distR="114300">
            <wp:extent cx="7020560" cy="4961890"/>
            <wp:effectExtent l="0" t="0" r="8890" b="1016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55"/>
                    <a:stretch>
                      <a:fillRect/>
                    </a:stretch>
                  </pic:blipFill>
                  <pic:spPr>
                    <a:xfrm>
                      <a:off x="0" y="0"/>
                      <a:ext cx="7020560" cy="4961890"/>
                    </a:xfrm>
                    <a:prstGeom prst="rect">
                      <a:avLst/>
                    </a:prstGeom>
                    <a:noFill/>
                    <a:ln>
                      <a:noFill/>
                    </a:ln>
                  </pic:spPr>
                </pic:pic>
              </a:graphicData>
            </a:graphic>
          </wp:inline>
        </w:drawing>
      </w:r>
      <w:r>
        <w:drawing>
          <wp:inline distT="0" distB="0" distL="114300" distR="114300">
            <wp:extent cx="8522970" cy="5240655"/>
            <wp:effectExtent l="0" t="0" r="11430" b="17145"/>
            <wp:docPr id="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
                    <pic:cNvPicPr>
                      <a:picLocks noChangeAspect="1"/>
                    </pic:cNvPicPr>
                  </pic:nvPicPr>
                  <pic:blipFill>
                    <a:blip r:embed="rId56"/>
                    <a:stretch>
                      <a:fillRect/>
                    </a:stretch>
                  </pic:blipFill>
                  <pic:spPr>
                    <a:xfrm>
                      <a:off x="0" y="0"/>
                      <a:ext cx="8522970" cy="5240655"/>
                    </a:xfrm>
                    <a:prstGeom prst="rect">
                      <a:avLst/>
                    </a:prstGeom>
                    <a:noFill/>
                    <a:ln>
                      <a:noFill/>
                    </a:ln>
                  </pic:spPr>
                </pic:pic>
              </a:graphicData>
            </a:graphic>
          </wp:inline>
        </w:drawing>
      </w:r>
      <w:r>
        <w:drawing>
          <wp:inline distT="0" distB="0" distL="114300" distR="114300">
            <wp:extent cx="8526780" cy="5285105"/>
            <wp:effectExtent l="0" t="0" r="7620" b="10795"/>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
                    <pic:cNvPicPr>
                      <a:picLocks noChangeAspect="1"/>
                    </pic:cNvPicPr>
                  </pic:nvPicPr>
                  <pic:blipFill>
                    <a:blip r:embed="rId57"/>
                    <a:stretch>
                      <a:fillRect/>
                    </a:stretch>
                  </pic:blipFill>
                  <pic:spPr>
                    <a:xfrm>
                      <a:off x="0" y="0"/>
                      <a:ext cx="8526780" cy="5285105"/>
                    </a:xfrm>
                    <a:prstGeom prst="rect">
                      <a:avLst/>
                    </a:prstGeom>
                    <a:noFill/>
                    <a:ln>
                      <a:noFill/>
                    </a:ln>
                  </pic:spPr>
                </pic:pic>
              </a:graphicData>
            </a:graphic>
          </wp:inline>
        </w:drawing>
      </w:r>
      <w:r>
        <w:drawing>
          <wp:inline distT="0" distB="0" distL="114300" distR="114300">
            <wp:extent cx="8530590" cy="5304790"/>
            <wp:effectExtent l="0" t="0" r="3810" b="10160"/>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1"/>
                    </pic:cNvPicPr>
                  </pic:nvPicPr>
                  <pic:blipFill>
                    <a:blip r:embed="rId58"/>
                    <a:stretch>
                      <a:fillRect/>
                    </a:stretch>
                  </pic:blipFill>
                  <pic:spPr>
                    <a:xfrm>
                      <a:off x="0" y="0"/>
                      <a:ext cx="8530590" cy="5304790"/>
                    </a:xfrm>
                    <a:prstGeom prst="rect">
                      <a:avLst/>
                    </a:prstGeom>
                    <a:noFill/>
                    <a:ln>
                      <a:noFill/>
                    </a:ln>
                  </pic:spPr>
                </pic:pic>
              </a:graphicData>
            </a:graphic>
          </wp:inline>
        </w:drawing>
      </w:r>
      <w:r>
        <w:drawing>
          <wp:inline distT="0" distB="0" distL="114300" distR="114300">
            <wp:extent cx="8522970" cy="5543550"/>
            <wp:effectExtent l="0" t="0" r="11430" b="0"/>
            <wp:docPr id="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
                    <pic:cNvPicPr>
                      <a:picLocks noChangeAspect="1"/>
                    </pic:cNvPicPr>
                  </pic:nvPicPr>
                  <pic:blipFill>
                    <a:blip r:embed="rId59"/>
                    <a:stretch>
                      <a:fillRect/>
                    </a:stretch>
                  </pic:blipFill>
                  <pic:spPr>
                    <a:xfrm>
                      <a:off x="0" y="0"/>
                      <a:ext cx="8522970" cy="5543550"/>
                    </a:xfrm>
                    <a:prstGeom prst="rect">
                      <a:avLst/>
                    </a:prstGeom>
                    <a:noFill/>
                    <a:ln>
                      <a:noFill/>
                    </a:ln>
                  </pic:spPr>
                </pic:pic>
              </a:graphicData>
            </a:graphic>
          </wp:inline>
        </w:drawing>
      </w:r>
      <w:r>
        <w:drawing>
          <wp:inline distT="0" distB="0" distL="114300" distR="114300">
            <wp:extent cx="8523605" cy="5415280"/>
            <wp:effectExtent l="0" t="0" r="10795" b="13970"/>
            <wp:docPr id="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4"/>
                    <pic:cNvPicPr>
                      <a:picLocks noChangeAspect="1"/>
                    </pic:cNvPicPr>
                  </pic:nvPicPr>
                  <pic:blipFill>
                    <a:blip r:embed="rId60"/>
                    <a:stretch>
                      <a:fillRect/>
                    </a:stretch>
                  </pic:blipFill>
                  <pic:spPr>
                    <a:xfrm>
                      <a:off x="0" y="0"/>
                      <a:ext cx="8523605" cy="5415280"/>
                    </a:xfrm>
                    <a:prstGeom prst="rect">
                      <a:avLst/>
                    </a:prstGeom>
                    <a:noFill/>
                    <a:ln>
                      <a:noFill/>
                    </a:ln>
                  </pic:spPr>
                </pic:pic>
              </a:graphicData>
            </a:graphic>
          </wp:inline>
        </w:drawing>
      </w:r>
      <w:r>
        <w:drawing>
          <wp:inline distT="0" distB="0" distL="114300" distR="114300">
            <wp:extent cx="8527415" cy="5596890"/>
            <wp:effectExtent l="0" t="0" r="6985" b="3810"/>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61"/>
                    <a:stretch>
                      <a:fillRect/>
                    </a:stretch>
                  </pic:blipFill>
                  <pic:spPr>
                    <a:xfrm>
                      <a:off x="0" y="0"/>
                      <a:ext cx="8527415" cy="5596890"/>
                    </a:xfrm>
                    <a:prstGeom prst="rect">
                      <a:avLst/>
                    </a:prstGeom>
                    <a:noFill/>
                    <a:ln>
                      <a:noFill/>
                    </a:ln>
                  </pic:spPr>
                </pic:pic>
              </a:graphicData>
            </a:graphic>
          </wp:inline>
        </w:drawing>
      </w:r>
      <w:r>
        <w:drawing>
          <wp:inline distT="0" distB="0" distL="114300" distR="114300">
            <wp:extent cx="8526145" cy="5694680"/>
            <wp:effectExtent l="0" t="0" r="8255" b="1270"/>
            <wp:docPr id="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pic:cNvPicPr>
                      <a:picLocks noChangeAspect="1"/>
                    </pic:cNvPicPr>
                  </pic:nvPicPr>
                  <pic:blipFill>
                    <a:blip r:embed="rId62"/>
                    <a:stretch>
                      <a:fillRect/>
                    </a:stretch>
                  </pic:blipFill>
                  <pic:spPr>
                    <a:xfrm>
                      <a:off x="0" y="0"/>
                      <a:ext cx="8526145" cy="5694680"/>
                    </a:xfrm>
                    <a:prstGeom prst="rect">
                      <a:avLst/>
                    </a:prstGeom>
                    <a:noFill/>
                    <a:ln>
                      <a:noFill/>
                    </a:ln>
                  </pic:spPr>
                </pic:pic>
              </a:graphicData>
            </a:graphic>
          </wp:inline>
        </w:drawing>
      </w:r>
      <w:r>
        <w:drawing>
          <wp:inline distT="0" distB="0" distL="114300" distR="114300">
            <wp:extent cx="8531225" cy="5676900"/>
            <wp:effectExtent l="0" t="0" r="3175" b="0"/>
            <wp:docPr id="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8"/>
                    <pic:cNvPicPr>
                      <a:picLocks noChangeAspect="1"/>
                    </pic:cNvPicPr>
                  </pic:nvPicPr>
                  <pic:blipFill>
                    <a:blip r:embed="rId63"/>
                    <a:stretch>
                      <a:fillRect/>
                    </a:stretch>
                  </pic:blipFill>
                  <pic:spPr>
                    <a:xfrm>
                      <a:off x="0" y="0"/>
                      <a:ext cx="8531225" cy="5676900"/>
                    </a:xfrm>
                    <a:prstGeom prst="rect">
                      <a:avLst/>
                    </a:prstGeom>
                    <a:noFill/>
                    <a:ln>
                      <a:noFill/>
                    </a:ln>
                  </pic:spPr>
                </pic:pic>
              </a:graphicData>
            </a:graphic>
          </wp:inline>
        </w:drawing>
      </w:r>
    </w:p>
    <w:p w14:paraId="5BE514AA">
      <w:pPr>
        <w:spacing w:line="240" w:lineRule="auto"/>
        <w:jc w:val="center"/>
        <w:outlineLvl w:val="9"/>
        <w:rPr>
          <w:rFonts w:hint="eastAsia" w:eastAsia="宋体"/>
          <w:color w:val="auto"/>
          <w:highlight w:val="none"/>
          <w:lang w:eastAsia="zh-CN"/>
        </w:rPr>
      </w:pPr>
      <w:r>
        <w:drawing>
          <wp:inline distT="0" distB="0" distL="114300" distR="114300">
            <wp:extent cx="8158480" cy="5231130"/>
            <wp:effectExtent l="0" t="0" r="13970" b="7620"/>
            <wp:docPr id="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9"/>
                    <pic:cNvPicPr>
                      <a:picLocks noChangeAspect="1"/>
                    </pic:cNvPicPr>
                  </pic:nvPicPr>
                  <pic:blipFill>
                    <a:blip r:embed="rId64"/>
                    <a:stretch>
                      <a:fillRect/>
                    </a:stretch>
                  </pic:blipFill>
                  <pic:spPr>
                    <a:xfrm>
                      <a:off x="0" y="0"/>
                      <a:ext cx="8158480" cy="5231130"/>
                    </a:xfrm>
                    <a:prstGeom prst="rect">
                      <a:avLst/>
                    </a:prstGeom>
                    <a:noFill/>
                    <a:ln>
                      <a:noFill/>
                    </a:ln>
                  </pic:spPr>
                </pic:pic>
              </a:graphicData>
            </a:graphic>
          </wp:inline>
        </w:drawing>
      </w:r>
      <w:r>
        <w:drawing>
          <wp:inline distT="0" distB="0" distL="114300" distR="114300">
            <wp:extent cx="7962265" cy="5253355"/>
            <wp:effectExtent l="0" t="0" r="635" b="4445"/>
            <wp:docPr id="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0"/>
                    <pic:cNvPicPr>
                      <a:picLocks noChangeAspect="1"/>
                    </pic:cNvPicPr>
                  </pic:nvPicPr>
                  <pic:blipFill>
                    <a:blip r:embed="rId65"/>
                    <a:stretch>
                      <a:fillRect/>
                    </a:stretch>
                  </pic:blipFill>
                  <pic:spPr>
                    <a:xfrm>
                      <a:off x="0" y="0"/>
                      <a:ext cx="7962265" cy="5253355"/>
                    </a:xfrm>
                    <a:prstGeom prst="rect">
                      <a:avLst/>
                    </a:prstGeom>
                    <a:noFill/>
                    <a:ln>
                      <a:noFill/>
                    </a:ln>
                  </pic:spPr>
                </pic:pic>
              </a:graphicData>
            </a:graphic>
          </wp:inline>
        </w:drawing>
      </w:r>
      <w:r>
        <w:drawing>
          <wp:inline distT="0" distB="0" distL="114300" distR="114300">
            <wp:extent cx="8429625" cy="5401310"/>
            <wp:effectExtent l="0" t="0" r="9525" b="8890"/>
            <wp:docPr id="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1"/>
                    <pic:cNvPicPr>
                      <a:picLocks noChangeAspect="1"/>
                    </pic:cNvPicPr>
                  </pic:nvPicPr>
                  <pic:blipFill>
                    <a:blip r:embed="rId66"/>
                    <a:stretch>
                      <a:fillRect/>
                    </a:stretch>
                  </pic:blipFill>
                  <pic:spPr>
                    <a:xfrm>
                      <a:off x="0" y="0"/>
                      <a:ext cx="8429625" cy="5401310"/>
                    </a:xfrm>
                    <a:prstGeom prst="rect">
                      <a:avLst/>
                    </a:prstGeom>
                    <a:noFill/>
                    <a:ln>
                      <a:noFill/>
                    </a:ln>
                  </pic:spPr>
                </pic:pic>
              </a:graphicData>
            </a:graphic>
          </wp:inline>
        </w:drawing>
      </w:r>
    </w:p>
    <w:p w14:paraId="00254A2F">
      <w:pPr>
        <w:pStyle w:val="5"/>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drawing>
          <wp:anchor distT="0" distB="0" distL="114300" distR="114300" simplePos="0" relativeHeight="251672576" behindDoc="0" locked="0" layoutInCell="1" allowOverlap="1">
            <wp:simplePos x="0" y="0"/>
            <wp:positionH relativeFrom="column">
              <wp:posOffset>6931660</wp:posOffset>
            </wp:positionH>
            <wp:positionV relativeFrom="paragraph">
              <wp:posOffset>279400</wp:posOffset>
            </wp:positionV>
            <wp:extent cx="904240" cy="838200"/>
            <wp:effectExtent l="0" t="0" r="10160" b="0"/>
            <wp:wrapNone/>
            <wp:docPr id="98"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descr="鸡西风玫瑰"/>
                    <pic:cNvPicPr>
                      <a:picLocks noChangeAspect="1"/>
                    </pic:cNvPicPr>
                  </pic:nvPicPr>
                  <pic:blipFill>
                    <a:blip r:embed="rId67"/>
                    <a:stretch>
                      <a:fillRect/>
                    </a:stretch>
                  </pic:blipFill>
                  <pic:spPr>
                    <a:xfrm>
                      <a:off x="0" y="0"/>
                      <a:ext cx="904240" cy="838200"/>
                    </a:xfrm>
                    <a:prstGeom prst="rect">
                      <a:avLst/>
                    </a:prstGeom>
                    <a:noFill/>
                    <a:ln>
                      <a:noFill/>
                    </a:ln>
                  </pic:spPr>
                </pic:pic>
              </a:graphicData>
            </a:graphic>
          </wp:anchor>
        </w:drawing>
      </w:r>
      <w:r>
        <w:rPr>
          <w:rFonts w:hint="default" w:ascii="Times New Roman" w:hAnsi="Times New Roman" w:eastAsia="宋体" w:cs="Times New Roman"/>
          <w:color w:val="000000" w:themeColor="text1"/>
          <w:sz w:val="21"/>
          <w:szCs w:val="21"/>
          <w:highlight w:val="none"/>
          <w14:textFill>
            <w14:solidFill>
              <w14:schemeClr w14:val="tx1"/>
            </w14:solidFill>
          </w14:textFill>
        </w:rPr>
        <w:t>附图</w:t>
      </w:r>
      <w:r>
        <w:rPr>
          <w:rFonts w:hint="eastAsia" w:eastAsia="宋体" w:cs="Times New Roman"/>
          <w:color w:val="000000" w:themeColor="text1"/>
          <w:sz w:val="21"/>
          <w:szCs w:val="21"/>
          <w:highlight w:val="none"/>
          <w:lang w:val="en-US" w:eastAsia="zh-CN"/>
          <w14:textFill>
            <w14:solidFill>
              <w14:schemeClr w14:val="tx1"/>
            </w14:solidFill>
          </w14:textFill>
        </w:rPr>
        <w:t xml:space="preserve">1 </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项目地理位置图</w:t>
      </w:r>
    </w:p>
    <w:p w14:paraId="535F902A">
      <w:pPr>
        <w:pStyle w:val="5"/>
        <w:jc w:val="center"/>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7056120</wp:posOffset>
                </wp:positionH>
                <wp:positionV relativeFrom="paragraph">
                  <wp:posOffset>3946525</wp:posOffset>
                </wp:positionV>
                <wp:extent cx="777240" cy="805180"/>
                <wp:effectExtent l="4445" t="4445" r="18415" b="9525"/>
                <wp:wrapNone/>
                <wp:docPr id="5" name="文本框 5"/>
                <wp:cNvGraphicFramePr/>
                <a:graphic xmlns:a="http://schemas.openxmlformats.org/drawingml/2006/main">
                  <a:graphicData uri="http://schemas.microsoft.com/office/word/2010/wordprocessingShape">
                    <wps:wsp>
                      <wps:cNvSpPr txBox="1"/>
                      <wps:spPr>
                        <a:xfrm>
                          <a:off x="8248015" y="5607050"/>
                          <a:ext cx="777240" cy="805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55CF5C">
                            <w:pPr>
                              <w:jc w:val="center"/>
                            </w:pPr>
                            <w:r>
                              <w:rPr>
                                <w:rFonts w:hint="eastAsia"/>
                              </w:rPr>
                              <w:t>图例</w:t>
                            </w:r>
                          </w:p>
                          <w:p w14:paraId="259BEE1E">
                            <w:pPr>
                              <w:jc w:val="center"/>
                            </w:pPr>
                          </w:p>
                          <w:p w14:paraId="544A7DFE">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6pt;margin-top:310.75pt;height:63.4pt;width:61.2pt;z-index:251663360;mso-width-relative:page;mso-height-relative:page;" fillcolor="#FFFFFF [3201]" filled="t" stroked="t" coordsize="21600,21600" o:gfxdata="UEsDBAoAAAAAAIdO4kAAAAAAAAAAAAAAAAAEAAAAZHJzL1BLAwQUAAAACACHTuJAjz4u6NgAAAAN&#10;AQAADwAAAGRycy9kb3ducmV2LnhtbE2Py07DMBBF90j8gzWV2FEnNoQqxKkEEhJiR8mGnRtPk6h+&#10;RLbblL9nuoLZXc3RnTPN9uIsO2NMU/AKynUBDH0fzOQHBd3X2/0GWMraG22DRwU/mGDb3t40ujZh&#10;8Z943uWBUYlPtVYw5jzXnKd+RKfTOszoaXcI0elMMQ7cRL1QubNcFEXFnZ48XRj1jK8j9sfdySl4&#10;r17yN3bmw0ghw9LxPh5sUupuVRbPwDJe8h8MV31Sh5ac9uHkTWKWMo0gVkElykdgV0RIWQHbK3h6&#10;2EjgbcP/f9H+AlBLAwQUAAAACACHTuJAAM9uU2ICAADCBAAADgAAAGRycy9lMm9Eb2MueG1srVTB&#10;bhMxEL0j8Q+W73Q3IWlC1E0VWgUhVbRSQZwdrzdr4bWN7WS3fAD8AScu3PmufgfP3k1bKIceyMEZ&#10;e17ezLyZyclp1yiyF85Lows6OsopEZqbUuptQT+8X7+YU+ID0yVTRouC3ghPT5fPn520diHGpjaq&#10;FI6ARPtFawtah2AXWeZ5LRrmj4wVGs7KuIYFXN02Kx1rwd6obJznx1lrXGmd4cJ7vJ73TjowuqcQ&#10;mqqSXJwbvmuEDj2rE4oFlORraT1dpmyrSvBwWVVeBKIKikpDOhEE9iae2fKELbaO2VryIQX2lBT+&#10;qqlhUiPoHdU5C4zsnHxE1UjujDdVOOKmyfpCkiKoYpT/pc11zaxItUBqb+9E9/+Plr/bXzkiy4JO&#10;KdGsQcNvv3+7/fHr9udXMo3ytNYvgLq2wIXutekwNId3j8dYdVe5Jn6jHgL/fDyZ5yMQ3oD2OJ/l&#10;00Fo0QXCAZjNZuMJWsABmOfT0Tz5s3si63x4I0xDolFQhz4medn+wgckBegBEuN6o2S5lkqli9tu&#10;zpQje4aer9Mn5ouf/AFTmrQFPX6J3B5RRO47io1i/NNjBvApDdqoT69DtEK36QbRNqa8gWbO9EPn&#10;LV9L8F4wH66Yw5RBAOxhuMRRKYNkzGBRUhv35V/vEY/mw0tJi6ktqP+8Y05Qot5qjMWr0STqGtJl&#10;Mp2NcXEPPZuHHr1rzgxEGmHjLU9mxAd1MCtnmo9Y11WMChfTHLELGg7mWeh3CevOxWqVQBhsy8KF&#10;vrY8UkdxtVntgqlkal2UqddmUA+jndozrGHcnYf3hLr/61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8+LujYAAAADQEAAA8AAAAAAAAAAQAgAAAAIgAAAGRycy9kb3ducmV2LnhtbFBLAQIUABQA&#10;AAAIAIdO4kAAz25TYgIAAMIEAAAOAAAAAAAAAAEAIAAAACcBAABkcnMvZTJvRG9jLnhtbFBLBQYA&#10;AAAABgAGAFkBAAD7BQAAAAA=&#10;">
                <v:fill on="t" focussize="0,0"/>
                <v:stroke weight="0.5pt" color="#000000 [3204]" joinstyle="round"/>
                <v:imagedata o:title=""/>
                <o:lock v:ext="edit" aspectratio="f"/>
                <v:textbox>
                  <w:txbxContent>
                    <w:p w14:paraId="1E55CF5C">
                      <w:pPr>
                        <w:jc w:val="center"/>
                      </w:pPr>
                      <w:r>
                        <w:rPr>
                          <w:rFonts w:hint="eastAsia"/>
                        </w:rPr>
                        <w:t>图例</w:t>
                      </w:r>
                    </w:p>
                    <w:p w14:paraId="259BEE1E">
                      <w:pPr>
                        <w:jc w:val="center"/>
                      </w:pPr>
                    </w:p>
                    <w:p w14:paraId="544A7DFE">
                      <w:pPr>
                        <w:jc w:val="center"/>
                      </w:pPr>
                      <w:r>
                        <w:rPr>
                          <w:rFonts w:hint="eastAsia"/>
                        </w:rPr>
                        <w:t>项目位置</w:t>
                      </w:r>
                    </w:p>
                  </w:txbxContent>
                </v:textbox>
              </v:shape>
            </w:pict>
          </mc:Fallback>
        </mc:AlternateContent>
      </w:r>
      <w:r>
        <w:rPr>
          <w:sz w:val="30"/>
        </w:rPr>
        <mc:AlternateContent>
          <mc:Choice Requires="wps">
            <w:drawing>
              <wp:anchor distT="0" distB="0" distL="114300" distR="114300" simplePos="0" relativeHeight="251670528" behindDoc="0" locked="0" layoutInCell="1" allowOverlap="1">
                <wp:simplePos x="0" y="0"/>
                <wp:positionH relativeFrom="column">
                  <wp:posOffset>7352030</wp:posOffset>
                </wp:positionH>
                <wp:positionV relativeFrom="paragraph">
                  <wp:posOffset>4272280</wp:posOffset>
                </wp:positionV>
                <wp:extent cx="190500" cy="104775"/>
                <wp:effectExtent l="12700" t="12700" r="25400" b="15875"/>
                <wp:wrapNone/>
                <wp:docPr id="87" name="矩形 87"/>
                <wp:cNvGraphicFramePr/>
                <a:graphic xmlns:a="http://schemas.openxmlformats.org/drawingml/2006/main">
                  <a:graphicData uri="http://schemas.microsoft.com/office/word/2010/wordprocessingShape">
                    <wps:wsp>
                      <wps:cNvSpPr/>
                      <wps:spPr>
                        <a:xfrm>
                          <a:off x="8324215" y="5640070"/>
                          <a:ext cx="190500" cy="104775"/>
                        </a:xfrm>
                        <a:prstGeom prst="rect">
                          <a:avLst/>
                        </a:prstGeom>
                        <a:ln>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8.9pt;margin-top:336.4pt;height:8.25pt;width:15pt;z-index:251670528;v-text-anchor:middle;mso-width-relative:page;mso-height-relative:page;" filled="f" stroked="t" coordsize="21600,21600" o:gfxdata="UEsDBAoAAAAAAIdO4kAAAAAAAAAAAAAAAAAEAAAAZHJzL1BLAwQUAAAACACHTuJAEfgbudkAAAAN&#10;AQAADwAAAGRycy9kb3ducmV2LnhtbE2PMU/DMBCFdyT+g3VILIg6aUUaQpxKVKIDAxKFhc2JjyRq&#10;fI5spyn/nssE2713T+++K3cXO4gz+tA7UpCuEhBIjTM9tQo+P17ucxAhajJ6cIQKfjDArrq+KnVh&#10;3EzveD7GVnAJhUIr6GIcCylD06HVYeVGJN59O291ZOlbabyeudwOcp0kmbS6J77Q6RH3HTan42QV&#10;1Icvv8+fN4c43WVcfWpf8W1W6vYmTZ5ARLzEvzAs+IwOFTPVbiITxMA6fdgye1SQbdc8LJE0X6ya&#10;rfxxA7Iq5f8vql9QSwMEFAAAAAgAh07iQPJ7zSdrAgAAwQQAAA4AAABkcnMvZTJvRG9jLnhtbK1U&#10;S27bMBDdF+gdCO4bSa4dJ4blwIjhokDQBEiLrmmKtATwV5K2nF6mQHc9RI5T9Bp9lJTETbvIol7Q&#10;M5zhG77HGc0vDlqRvfChsaakxUlOiTDcVo3ZlvTTx/WbM0pCZKZiyhpR0jsR6MXi9at562ZiZGur&#10;KuEJQEyYta6kdYxulmWB10KzcGKdMAhK6zWLcP02qzxrga5VNsrz06y1vnLechECdld9kA6I/iWA&#10;VsqGi5XlOy1M7FG9UCyCUqgbF+iiu62UgsdrKYOIRJUUTGO3ogjsTVqzxZzNtp65uuHDFdhLrvCM&#10;k2aNQdFHqBWLjOx88xeUbri3wcp4wq3OeiKdImBR5M+0ua2ZEx0XSB3co+jh/8HyD/sbT5qqpGdT&#10;SgzTePFf3378vP9OsAF1WhdmSLp1N37wAsxE9SC9Tv8gQQ44/3Y0HhUTSu5KOjkd5/l0UFccIuFI&#10;KM7zSQ7dORKKfDydThJ+9gTkfIjvhNUkGSX1eLxOU7a/CrFPfUhJdY1dN0phn82UIW1JRxNUBT5D&#10;V0p0A0ztwCyYLSVMbdHuPPoOMljVVOl4Oh38dnOpPNkzNMl6neM33OyPtFR7xULd53WhIU0Z8EhC&#10;9dIka2OrOwjrbd9xwfF1g/NXLMQb5tFiuCiGMF5jkcri9nawKKmt//qv/ZSPl0eUkhYtC2ZfdswL&#10;StR7g544L8ZjwMbOGU+mIzj+OLI5jpidvrQgXGDcHe/MlB/Vgym91Z8xq8tUFSFmOGr3Gg7OZexH&#10;CdPOxXLZpaGvHYtX5tbxBN6/1HIXrWy6R3xSZxANnd21wTCFaXSO/S7r6cuz+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R+Bu52QAAAA0BAAAPAAAAAAAAAAEAIAAAACIAAABkcnMvZG93bnJldi54&#10;bWxQSwECFAAUAAAACACHTuJA8nvNJ2sCAADBBAAADgAAAAAAAAABACAAAAAoAQAAZHJzL2Uyb0Rv&#10;Yy54bWxQSwUGAAAAAAYABgBZAQAABQYAAAAA&#10;">
                <v:fill on="f" focussize="0,0"/>
                <v:stroke weight="2pt" color="#FF0000 [3204]" joinstyle="round"/>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3528695</wp:posOffset>
                </wp:positionH>
                <wp:positionV relativeFrom="paragraph">
                  <wp:posOffset>836930</wp:posOffset>
                </wp:positionV>
                <wp:extent cx="773430" cy="328930"/>
                <wp:effectExtent l="4445" t="4445" r="269875" b="257175"/>
                <wp:wrapNone/>
                <wp:docPr id="28" name="圆角矩形标注 28"/>
                <wp:cNvGraphicFramePr/>
                <a:graphic xmlns:a="http://schemas.openxmlformats.org/drawingml/2006/main">
                  <a:graphicData uri="http://schemas.microsoft.com/office/word/2010/wordprocessingShape">
                    <wps:wsp>
                      <wps:cNvSpPr/>
                      <wps:spPr>
                        <a:xfrm>
                          <a:off x="0" y="0"/>
                          <a:ext cx="773430" cy="328930"/>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1E18AC36">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277.85pt;margin-top:65.9pt;height:25.9pt;width:60.9pt;z-index:251664384;mso-width-relative:page;mso-height-relative:page;" fillcolor="#FFFFFF" filled="t" stroked="t" coordsize="21600,21600" o:gfxdata="UEsDBAoAAAAAAIdO4kAAAAAAAAAAAAAAAAAEAAAAZHJzL1BLAwQUAAAACACHTuJAMdslztkAAAAL&#10;AQAADwAAAGRycy9kb3ducmV2LnhtbE2PzU7DMBCE70i8g7VI3KgdqvyQxqkQEiCEEKL0Adxkm0SN&#10;1yF23fL2LCc47syn2ZlqfbajiDj7wZGGZKFAIDWuHajTsP18vClA+GCoNaMj1PCNHtb15UVlytad&#10;6APjJnSCQ8iXRkMfwlRK6ZserfELNyGxt3ezNYHPuZPtbE4cbkd5q1QmrRmIP/Rmwocem8PmaDXc&#10;da8YI23vn76waJ7tW1Qv+3etr68StQIR8Bz+YPitz9Wh5k47d6TWi1FDmqY5o2wsE97ARJbnKYgd&#10;K8UyA1lX8v+G+gdQSwMEFAAAAAgAh07iQIwlihxYAgAAywQAAA4AAABkcnMvZTJvRG9jLnhtbK1U&#10;y3LTMBTdM8M/aLQnTuw2STNxumgIGwY6LXyAYsm2GL1GUmLnB2DPmhk6bIA1az6nhc/gSjFp0rLI&#10;Ai/sK+nq6Jxzrzw9b6VAa2Yd1yrHg14fI6YKTbmqcvz2zeLZGCPniaJEaMVyvGEOn8+ePpk2ZsJS&#10;XWtBmUUAotykMTmuvTeTJHFFzSRxPW2YgsVSW0k8DG2VUEsaQJciSfv9YdJoS43VBXMOZufbRdwh&#10;2mMAdVnygs11sZJM+S2qZYJ4kORqbhyeRbZlyQr/uiwd80jkGJT6+IZDIF6GdzKbkkllial50VEg&#10;x1B4oEkSruDQHdSceIJWlj+Ckryw2unS9wotk62Q6AioGPQfeHNdE8OiFrDamZ3p7v/BFq/WlxZx&#10;muMU6q6IhIrffnr/++vHX5+/3/78cnfz4e7HNwSL4FRj3AQ2XJtL240chEF2W1oZviAItdHdzc5d&#10;1npUwORolJ1k4HsBS1k6PoMYUJL7zcY6/4JpiUKQ44bRil3plaJXUMYLIoRe+WgyWb90PrpNO8qE&#10;vhtgVEoBxVsTgUbj9CTriruXk+7nDAajNBs9TsoOkobDYcwBnt2xEP1lGjg4LThdcCHiwFbLC2ER&#10;cMjxIj6dyIM0oVCT47PT9BTsIHCJSmheCKWBQjhVRZUHO9w+cD8+/wIOxObE1VsCEWErUHLPbGz2&#10;mhH6XFHkNwZqreCO40BGMoqRYPBLCFHM9ISLYzLBEKGCehYvHNQm1DU0y7Y9QuTbZQuzIVxquoGe&#10;WxnLqxrqPIhCwgr0eGyI7j6GS7Q/jqD3/6D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HbJc7Z&#10;AAAACwEAAA8AAAAAAAAAAQAgAAAAIgAAAGRycy9kb3ducmV2LnhtbFBLAQIUABQAAAAIAIdO4kCM&#10;JYocWAIAAMsEAAAOAAAAAAAAAAEAIAAAACgBAABkcnMvZTJvRG9jLnhtbFBLBQYAAAAABgAGAFkB&#10;AADyBQAAAAA=&#10;" adj="27700,36123,14400">
                <v:fill on="t" focussize="0,0"/>
                <v:stroke color="#000000" joinstyle="miter"/>
                <v:imagedata o:title=""/>
                <o:lock v:ext="edit" aspectratio="f"/>
                <v:textbox>
                  <w:txbxContent>
                    <w:p w14:paraId="1E18AC36">
                      <w:pPr>
                        <w:rPr>
                          <w:rFonts w:ascii="Calibri" w:hAnsi="Calibri"/>
                        </w:rPr>
                      </w:pPr>
                      <w:r>
                        <w:rPr>
                          <w:rFonts w:ascii="Calibri" w:hAnsi="Calibri"/>
                        </w:rPr>
                        <w:t>项目</w:t>
                      </w:r>
                      <w:r>
                        <w:rPr>
                          <w:rFonts w:hint="eastAsia" w:ascii="Calibri" w:hAnsi="Calibri"/>
                        </w:rPr>
                        <w:t>位置</w:t>
                      </w:r>
                    </w:p>
                  </w:txbxContent>
                </v:textbox>
              </v:shape>
            </w:pict>
          </mc:Fallback>
        </mc:AlternateContent>
      </w:r>
      <w:r>
        <w:drawing>
          <wp:inline distT="0" distB="0" distL="114300" distR="114300">
            <wp:extent cx="6997700" cy="4766310"/>
            <wp:effectExtent l="0" t="0" r="12700" b="15240"/>
            <wp:docPr id="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4"/>
                    <pic:cNvPicPr>
                      <a:picLocks noChangeAspect="1"/>
                    </pic:cNvPicPr>
                  </pic:nvPicPr>
                  <pic:blipFill>
                    <a:blip r:embed="rId68"/>
                    <a:stretch>
                      <a:fillRect/>
                    </a:stretch>
                  </pic:blipFill>
                  <pic:spPr>
                    <a:xfrm>
                      <a:off x="0" y="0"/>
                      <a:ext cx="6997700" cy="4766310"/>
                    </a:xfrm>
                    <a:prstGeom prst="rect">
                      <a:avLst/>
                    </a:prstGeom>
                    <a:noFill/>
                    <a:ln>
                      <a:noFill/>
                    </a:ln>
                  </pic:spPr>
                </pic:pic>
              </a:graphicData>
            </a:graphic>
          </wp:inline>
        </w:drawing>
      </w:r>
    </w:p>
    <w:bookmarkEnd w:id="14"/>
    <w:p w14:paraId="626221EE">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default" w:ascii="Times New Roman" w:hAnsi="Times New Roman" w:eastAsia="宋体" w:cs="Times New Roman"/>
          <w:color w:val="FF0000"/>
          <w:sz w:val="21"/>
          <w:szCs w:val="21"/>
          <w:highlight w:val="none"/>
        </w:rPr>
      </w:pPr>
      <w:bookmarkStart w:id="15" w:name="_Toc30150"/>
    </w:p>
    <w:p w14:paraId="3536C210">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ascii="宋体" w:hAnsi="宋体" w:eastAsia="宋体" w:cs="宋体"/>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附图</w:t>
      </w:r>
      <w:r>
        <w:rPr>
          <w:rFonts w:hint="eastAsia" w:eastAsia="宋体" w:cs="Times New Roman"/>
          <w:color w:val="000000" w:themeColor="text1"/>
          <w:sz w:val="21"/>
          <w:szCs w:val="21"/>
          <w:highlight w:val="none"/>
          <w:lang w:val="en-US" w:eastAsia="zh-CN"/>
          <w14:textFill>
            <w14:solidFill>
              <w14:schemeClr w14:val="tx1"/>
            </w14:solidFill>
          </w14:textFill>
        </w:rPr>
        <w:t xml:space="preserve">2 </w:t>
      </w:r>
      <w:r>
        <w:rPr>
          <w:rFonts w:hint="eastAsia" w:ascii="宋体" w:hAnsi="宋体" w:eastAsia="宋体" w:cs="宋体"/>
          <w:b/>
          <w:bCs/>
          <w:color w:val="000000" w:themeColor="text1"/>
          <w:sz w:val="21"/>
          <w:szCs w:val="21"/>
          <w:highlight w:val="none"/>
          <w14:textFill>
            <w14:solidFill>
              <w14:schemeClr w14:val="tx1"/>
            </w14:solidFill>
          </w14:textFill>
        </w:rPr>
        <w:t>周围环境保护目标分布图</w:t>
      </w:r>
    </w:p>
    <w:p w14:paraId="15737909">
      <w:pPr>
        <w:jc w:val="center"/>
        <w:rPr>
          <w:rFonts w:hint="eastAsia" w:ascii="宋体" w:hAnsi="宋体" w:eastAsia="宋体" w:cs="宋体"/>
          <w:b/>
          <w:bCs/>
          <w:color w:val="000000" w:themeColor="text1"/>
          <w:sz w:val="21"/>
          <w:szCs w:val="21"/>
          <w:highlight w:val="none"/>
          <w:lang w:eastAsia="zh-CN"/>
          <w14:textFill>
            <w14:solidFill>
              <w14:schemeClr w14:val="tx1"/>
            </w14:solidFill>
          </w14:textFill>
        </w:rPr>
      </w:pP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6753860</wp:posOffset>
                </wp:positionH>
                <wp:positionV relativeFrom="paragraph">
                  <wp:posOffset>3644265</wp:posOffset>
                </wp:positionV>
                <wp:extent cx="1597025" cy="1141730"/>
                <wp:effectExtent l="5080" t="4445" r="17145" b="15875"/>
                <wp:wrapNone/>
                <wp:docPr id="7" name="文本框 7"/>
                <wp:cNvGraphicFramePr/>
                <a:graphic xmlns:a="http://schemas.openxmlformats.org/drawingml/2006/main">
                  <a:graphicData uri="http://schemas.microsoft.com/office/word/2010/wordprocessingShape">
                    <wps:wsp>
                      <wps:cNvSpPr txBox="1"/>
                      <wps:spPr>
                        <a:xfrm>
                          <a:off x="0" y="0"/>
                          <a:ext cx="1597025" cy="114173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11C4C6E2">
                            <w:pPr>
                              <w:jc w:val="center"/>
                            </w:pPr>
                            <w:r>
                              <w:rPr>
                                <w:rFonts w:hint="eastAsia"/>
                              </w:rPr>
                              <w:t>图  例</w:t>
                            </w:r>
                          </w:p>
                          <w:p w14:paraId="5E24509D">
                            <w:pPr>
                              <w:keepNext w:val="0"/>
                              <w:keepLines w:val="0"/>
                              <w:pageBreakBefore w:val="0"/>
                              <w:widowControl w:val="0"/>
                              <w:kinsoku/>
                              <w:wordWrap/>
                              <w:overflowPunct/>
                              <w:topLinePunct w:val="0"/>
                              <w:bidi w:val="0"/>
                              <w:adjustRightInd/>
                              <w:snapToGrid/>
                              <w:spacing w:line="0" w:lineRule="atLeast"/>
                              <w:ind w:firstLine="420" w:firstLineChars="200"/>
                              <w:textAlignment w:val="auto"/>
                            </w:pPr>
                            <w:r>
                              <w:rPr>
                                <w:rFonts w:hint="eastAsia"/>
                              </w:rPr>
                              <w:t>项目位置</w:t>
                            </w:r>
                          </w:p>
                          <w:p w14:paraId="19001735">
                            <w:pPr>
                              <w:keepNext w:val="0"/>
                              <w:keepLines w:val="0"/>
                              <w:pageBreakBefore w:val="0"/>
                              <w:widowControl w:val="0"/>
                              <w:kinsoku/>
                              <w:wordWrap/>
                              <w:overflowPunct/>
                              <w:topLinePunct w:val="0"/>
                              <w:bidi w:val="0"/>
                              <w:adjustRightInd/>
                              <w:snapToGrid/>
                              <w:spacing w:line="0" w:lineRule="atLeast"/>
                              <w:ind w:firstLine="420" w:firstLineChars="200"/>
                              <w:textAlignment w:val="auto"/>
                            </w:pPr>
                            <w:r>
                              <w:rPr>
                                <w:rFonts w:hint="eastAsia"/>
                              </w:rPr>
                              <w:t>声环境保护范围</w:t>
                            </w:r>
                          </w:p>
                          <w:p w14:paraId="02F4FB6E">
                            <w:pPr>
                              <w:keepNext w:val="0"/>
                              <w:keepLines w:val="0"/>
                              <w:pageBreakBefore w:val="0"/>
                              <w:widowControl w:val="0"/>
                              <w:kinsoku/>
                              <w:wordWrap/>
                              <w:overflowPunct/>
                              <w:topLinePunct w:val="0"/>
                              <w:bidi w:val="0"/>
                              <w:adjustRightInd/>
                              <w:snapToGrid/>
                              <w:spacing w:line="0" w:lineRule="atLeast"/>
                              <w:ind w:firstLine="420" w:firstLineChars="200"/>
                              <w:textAlignment w:val="auto"/>
                              <w:rPr>
                                <w:rFonts w:hint="default" w:eastAsia="宋体"/>
                                <w:lang w:val="en-US" w:eastAsia="zh-CN"/>
                              </w:rPr>
                            </w:pPr>
                            <w:r>
                              <w:rPr>
                                <w:rFonts w:hint="eastAsia"/>
                              </w:rPr>
                              <w:t>大气环境保护范围</w:t>
                            </w:r>
                          </w:p>
                          <w:p w14:paraId="251DE589">
                            <w:pPr>
                              <w:jc w:val="both"/>
                              <w:rPr>
                                <w:rFonts w:hint="default" w:eastAsia="宋体"/>
                                <w:lang w:val="en-US" w:eastAsia="zh-CN"/>
                              </w:rPr>
                            </w:pPr>
                          </w:p>
                        </w:txbxContent>
                      </wps:txbx>
                      <wps:bodyPr upright="1"/>
                    </wps:wsp>
                  </a:graphicData>
                </a:graphic>
              </wp:anchor>
            </w:drawing>
          </mc:Choice>
          <mc:Fallback>
            <w:pict>
              <v:shape id="_x0000_s1026" o:spid="_x0000_s1026" o:spt="202" type="#_x0000_t202" style="position:absolute;left:0pt;margin-left:531.8pt;margin-top:286.95pt;height:89.9pt;width:125.75pt;z-index:251665408;mso-width-relative:page;mso-height-relative:page;" fillcolor="#FFFFFF" filled="t" stroked="t" coordsize="21600,21600" o:gfxdata="UEsDBAoAAAAAAIdO4kAAAAAAAAAAAAAAAAAEAAAAZHJzL1BLAwQUAAAACACHTuJAmXQVd9sAAAAN&#10;AQAADwAAAGRycy9kb3ducmV2LnhtbE2PXUvDMBSG7wX/QziCdy6JtamrTQcqgggyXGXXWXNsq/ko&#10;TdZt/97sSi9fzsP7PqdaHa0hM05h8E4CXzAg6FqvB9dJ+Gxebu6BhKicVsY7lHDCAKv68qJSpfYH&#10;94HzJnYklbhQKgl9jGNJaWh7tCos/Igu3b78ZFVMceqontQhlVtDbxkT1KrBpYVejfjUY/uz2VsJ&#10;7w3T5rvZijf+WKxPs3gN6+c7Ka+vOHsAEvEY/2A46yd1qJPTzu+dDsSkzEQmEishL7IlkDOS8ZwD&#10;2Uko8qwAWlf0/xf1L1BLAwQUAAAACACHTuJAg7TaThACAAA3BAAADgAAAGRycy9lMm9Eb2MueG1s&#10;rVNLjhMxEN0jcQfLe9KdQAgTpTMSE8IGAdLAARzb3W3JP7mcdOcCcANWbNhzrpxjyu4kMxk2WZBF&#10;p+wqP7/3qry47Y0mOxlAOVvR8aikRFruhLJNRb9/W796RwlEZgXTzsqK7iXQ2+XLF4vOz+XEtU4L&#10;GQiCWJh3vqJtjH5eFMBbaRiMnJcWk7ULhkVchqYQgXWIbnQxKcu3ReeC8MFxCYC7qyFJj4jhGkBX&#10;14rLleNbI20cUIPULKIkaJUHusxs61ry+KWuQUaiK4pKY/7iJRhv0rdYLti8Ccy3ih8psGsoPNNk&#10;mLJ46RlqxSIj26D+gTKKBweujiPuTDEIyY6ginH5zJv7lnmZtaDV4M+mw/+D5Z93XwNRoqIzSiwz&#10;2PDDr5+H338Pf36QWbKn8zDHqnuPdbF/73ocmtM+4GZS3dfBpH/UQzCP5u7P5so+Ep4OTW9m5WRK&#10;CcfcePxmPHud7S8ej/sA8aN0hqSgogG7l01lu08QkQqWnkrSbeC0EmuldV6EZnOnA9kx7PQ6/xJL&#10;PHJRpi3pKnozzUQYjm+NY4OcjEcLwDb5vosT8BS4LGfl3Yn2RVkitmLQDgRyahguo6IMecxaycQH&#10;K0jce7TZ4uuiiYyRghIt8TGmKFdGpvQ1lahOWxSZejT0IkWx3/QIk8KNE3vs29YH1bRoae5cLsd5&#10;yu4cZz8N7NN1Bn1878s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XQVd9sAAAANAQAADwAAAAAA&#10;AAABACAAAAAiAAAAZHJzL2Rvd25yZXYueG1sUEsBAhQAFAAAAAgAh07iQIO02k4QAgAANwQAAA4A&#10;AAAAAAAAAQAgAAAAKgEAAGRycy9lMm9Eb2MueG1sUEsFBgAAAAAGAAYAWQEAAKwFAAAAAA==&#10;">
                <v:fill on="t" focussize="0,0"/>
                <v:stroke color="#0070C0" joinstyle="miter"/>
                <v:imagedata o:title=""/>
                <o:lock v:ext="edit" aspectratio="f"/>
                <v:textbox>
                  <w:txbxContent>
                    <w:p w14:paraId="11C4C6E2">
                      <w:pPr>
                        <w:jc w:val="center"/>
                      </w:pPr>
                      <w:r>
                        <w:rPr>
                          <w:rFonts w:hint="eastAsia"/>
                        </w:rPr>
                        <w:t>图  例</w:t>
                      </w:r>
                    </w:p>
                    <w:p w14:paraId="5E24509D">
                      <w:pPr>
                        <w:keepNext w:val="0"/>
                        <w:keepLines w:val="0"/>
                        <w:pageBreakBefore w:val="0"/>
                        <w:widowControl w:val="0"/>
                        <w:kinsoku/>
                        <w:wordWrap/>
                        <w:overflowPunct/>
                        <w:topLinePunct w:val="0"/>
                        <w:bidi w:val="0"/>
                        <w:adjustRightInd/>
                        <w:snapToGrid/>
                        <w:spacing w:line="0" w:lineRule="atLeast"/>
                        <w:ind w:firstLine="420" w:firstLineChars="200"/>
                        <w:textAlignment w:val="auto"/>
                      </w:pPr>
                      <w:r>
                        <w:rPr>
                          <w:rFonts w:hint="eastAsia"/>
                        </w:rPr>
                        <w:t>项目位置</w:t>
                      </w:r>
                    </w:p>
                    <w:p w14:paraId="19001735">
                      <w:pPr>
                        <w:keepNext w:val="0"/>
                        <w:keepLines w:val="0"/>
                        <w:pageBreakBefore w:val="0"/>
                        <w:widowControl w:val="0"/>
                        <w:kinsoku/>
                        <w:wordWrap/>
                        <w:overflowPunct/>
                        <w:topLinePunct w:val="0"/>
                        <w:bidi w:val="0"/>
                        <w:adjustRightInd/>
                        <w:snapToGrid/>
                        <w:spacing w:line="0" w:lineRule="atLeast"/>
                        <w:ind w:firstLine="420" w:firstLineChars="200"/>
                        <w:textAlignment w:val="auto"/>
                      </w:pPr>
                      <w:r>
                        <w:rPr>
                          <w:rFonts w:hint="eastAsia"/>
                        </w:rPr>
                        <w:t>声环境保护范围</w:t>
                      </w:r>
                    </w:p>
                    <w:p w14:paraId="02F4FB6E">
                      <w:pPr>
                        <w:keepNext w:val="0"/>
                        <w:keepLines w:val="0"/>
                        <w:pageBreakBefore w:val="0"/>
                        <w:widowControl w:val="0"/>
                        <w:kinsoku/>
                        <w:wordWrap/>
                        <w:overflowPunct/>
                        <w:topLinePunct w:val="0"/>
                        <w:bidi w:val="0"/>
                        <w:adjustRightInd/>
                        <w:snapToGrid/>
                        <w:spacing w:line="0" w:lineRule="atLeast"/>
                        <w:ind w:firstLine="420" w:firstLineChars="200"/>
                        <w:textAlignment w:val="auto"/>
                        <w:rPr>
                          <w:rFonts w:hint="default" w:eastAsia="宋体"/>
                          <w:lang w:val="en-US" w:eastAsia="zh-CN"/>
                        </w:rPr>
                      </w:pPr>
                      <w:r>
                        <w:rPr>
                          <w:rFonts w:hint="eastAsia"/>
                        </w:rPr>
                        <w:t>大气环境保护范围</w:t>
                      </w:r>
                    </w:p>
                    <w:p w14:paraId="251DE589">
                      <w:pPr>
                        <w:jc w:val="both"/>
                        <w:rPr>
                          <w:rFonts w:hint="default" w:eastAsia="宋体"/>
                          <w:lang w:val="en-US" w:eastAsia="zh-CN"/>
                        </w:rPr>
                      </w:pPr>
                    </w:p>
                  </w:txbxContent>
                </v:textbox>
              </v:shape>
            </w:pict>
          </mc:Fallback>
        </mc:AlternateContent>
      </w:r>
      <w:r>
        <w:rPr>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6908165</wp:posOffset>
                </wp:positionH>
                <wp:positionV relativeFrom="paragraph">
                  <wp:posOffset>3898265</wp:posOffset>
                </wp:positionV>
                <wp:extent cx="165100" cy="106045"/>
                <wp:effectExtent l="9525" t="9525" r="15875" b="17780"/>
                <wp:wrapNone/>
                <wp:docPr id="30" name="矩形 30"/>
                <wp:cNvGraphicFramePr/>
                <a:graphic xmlns:a="http://schemas.openxmlformats.org/drawingml/2006/main">
                  <a:graphicData uri="http://schemas.microsoft.com/office/word/2010/wordprocessingShape">
                    <wps:wsp>
                      <wps:cNvSpPr/>
                      <wps:spPr>
                        <a:xfrm>
                          <a:off x="0" y="0"/>
                          <a:ext cx="165100" cy="106045"/>
                        </a:xfrm>
                        <a:prstGeom prst="rect">
                          <a:avLst/>
                        </a:prstGeom>
                        <a:noFill/>
                        <a:ln w="19050">
                          <a:solidFill>
                            <a:srgbClr val="FC0A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95pt;margin-top:306.95pt;height:8.35pt;width:13pt;z-index:251683840;v-text-anchor:middle;mso-width-relative:page;mso-height-relative:page;" filled="f" stroked="t" coordsize="21600,21600" o:gfxdata="UEsDBAoAAAAAAIdO4kAAAAAAAAAAAAAAAAAEAAAAZHJzL1BLAwQUAAAACACHTuJATFPUfNkAAAAN&#10;AQAADwAAAGRycy9kb3ducmV2LnhtbE2PT0vDQBDF74LfYRnBm92NgVhjNkUKCl6srYJ4282OSXD/&#10;kd209ds79aK392Yeb37TrI7Osj1OaQxeQrEQwNB3wYy+l/D2+nC1BJay8kbZ4FHCNyZYtednjapN&#10;OPgt7ne5Z1TiU60kDDnHmvPUDehUWoSInnafYXIqk516biZ1oHJn+bUQFXdq9HRhUBHXA3Zfu9lJ&#10;0E/zS/Wxfuw3OtrnpDflfXTvUl5eFOIOWMZj/gvDCZ/QoSUmHWZvErPkxfLmlrISqqIkcYoUv0rT&#10;qBQV8Lbh/79ofwBQSwMEFAAAAAgAh07iQMZjFBFdAgAAtQQAAA4AAABkcnMvZTJvRG9jLnhtbK1U&#10;zW4TMRC+I/EOlu90d0tS2qibKkoUhFTRSgVxdrx2diX/YTvZlJdB4sZD8DiI1+Czd/tD4dADl82M&#10;Z/zNfJ9ncn5x0IrshQ+dNTWtjkpKhOG26cy2ph8/rF+dUhIiMw1T1oia3opAL+YvX5z3biaObWtV&#10;IzwBiAmz3tW0jdHNiiLwVmgWjqwTBkFpvWYRrt8WjWc90LUqjsvypOitb5y3XISA09UQpCOifw6g&#10;lbLjYmX5TgsTB1QvFIugFNrOBTrP3UopeLySMohIVE3BNOYvisDepG8xP2ezrWeu7fjYAntOC084&#10;adYZFL2HWrHIyM53f0HpjnsbrIxH3OpiIJIVAYuqfKLNTcucyFwgdXD3oof/B8vf76896ZqavoYk&#10;hmm8+K+v33/++EZwAHV6F2ZIunHXfvQCzET1IL1OvyBBDlnR23tFxSESjsPqZFqVAOYIVeVJOZkm&#10;zOLhsvMhvhVWk2TU1OPBso5sfxnikHqXkmoZu+6UwjmbKUN6gJ6V04TPMIkSEwBTO7AJZksJU1uM&#10;OI8+QwaruiZdT7eD326WypM9w2Csl+WiPB07+yMt1V6x0A55OTSmKQMeSZxBjmRtbHMLMb0dpiw4&#10;vu5w/5KFeM08xgqNYvHiFT5SWXRvR4uS1vov/zpP+XhtRCnpMaZg9nnHvKBEvTOYg7NqMgFszM5k&#10;+uYYjn8c2TyOmJ1eWhCusOKOZzPlR3VnSm/1J+znIlVFiBmO2oOGo7OMw/pgw7lYLHIaZtmxeGlu&#10;HE/gw0stdtHKLj/igzqjaJjmPAbj5qV1eeznrId/m/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FPUfNkAAAANAQAADwAAAAAAAAABACAAAAAiAAAAZHJzL2Rvd25yZXYueG1sUEsBAhQAFAAAAAgA&#10;h07iQMZjFBFdAgAAtQQAAA4AAAAAAAAAAQAgAAAAKAEAAGRycy9lMm9Eb2MueG1sUEsFBgAAAAAG&#10;AAYAWQEAAPcFAAAAAA==&#10;">
                <v:fill on="f" focussize="0,0"/>
                <v:stroke weight="1.5pt" color="#FC0A08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6903720</wp:posOffset>
                </wp:positionH>
                <wp:positionV relativeFrom="paragraph">
                  <wp:posOffset>4070985</wp:posOffset>
                </wp:positionV>
                <wp:extent cx="165100" cy="106045"/>
                <wp:effectExtent l="9525" t="9525" r="15875" b="17780"/>
                <wp:wrapNone/>
                <wp:docPr id="23" name="矩形 23"/>
                <wp:cNvGraphicFramePr/>
                <a:graphic xmlns:a="http://schemas.openxmlformats.org/drawingml/2006/main">
                  <a:graphicData uri="http://schemas.microsoft.com/office/word/2010/wordprocessingShape">
                    <wps:wsp>
                      <wps:cNvSpPr/>
                      <wps:spPr>
                        <a:xfrm>
                          <a:off x="0" y="0"/>
                          <a:ext cx="165100" cy="106045"/>
                        </a:xfrm>
                        <a:prstGeom prst="rect">
                          <a:avLst/>
                        </a:prstGeom>
                        <a:noFill/>
                        <a:ln w="19050">
                          <a:solidFill>
                            <a:srgbClr val="0607F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6pt;margin-top:320.55pt;height:8.35pt;width:13pt;z-index:251682816;v-text-anchor:middle;mso-width-relative:page;mso-height-relative:page;" filled="f" stroked="t" coordsize="21600,21600" o:gfxdata="UEsDBAoAAAAAAIdO4kAAAAAAAAAAAAAAAAAEAAAAZHJzL1BLAwQUAAAACACHTuJA4x6fL9oAAAAN&#10;AQAADwAAAGRycy9kb3ducmV2LnhtbE2PzU7DMBCE70i8g7VI3KjtUJIoxKkqEOKAhETLhdsmNnHU&#10;2A6x+8Pbsz3R48x+mp2pVyc3soOZ4xC8ArkQwIzvgh58r+Bz+3JXAosJvcYxeKPg10RYNddXNVY6&#10;HP2HOWxSzyjExwoV2JSmivPYWeMwLsJkPN2+w+wwkZx7rmc8UrgbeSZEzh0Onj5YnMyTNd1us3cK&#10;1uL1TedFev+afrI18na73NlnpW5vpHgElswp/cNwrk/VoaFObdh7HdlIWpRFRqyCfCklsDMi5T1Z&#10;LVkPRQm8qfnliuYPUEsDBBQAAAAIAIdO4kBmK2CHXgIAALUEAAAOAAAAZHJzL2Uyb0RvYy54bWyt&#10;VM1uEzEQviPxDpbvdHdDktIomypqFIRU0UgBcXa8dtaS/xg72ZSXQeLGQ/A4iNdg7N3+UDj0wGUz&#10;4xl/M9/nmcwvT0aTo4CgnK1pdVZSIix3jbL7mn78sH71hpIQmW2YdlbU9FYEerl4+WLe+ZkYudbp&#10;RgBBEBtmna9pG6OfFUXgrTAsnDkvLAalA8MiurAvGmAdohtdjMpyWnQOGg+OixDwdNUH6YAIzwF0&#10;UiouVo4fjLCxRwWhWURKoVU+0EXuVkrB442UQUSia4pMY/5iEbR36Vss5my2B+ZbxYcW2HNaeMLJ&#10;MGWx6D3UikVGDqD+gjKKgwtOxjPuTNETyYogi6p8os22ZV5kLih18Peih/8Hy98fN0BUU9PRa0os&#10;M/jiv75+//njG8EDVKfzYYZJW7+BwQtoJqonCSb9Iglyyore3isqTpFwPKymk6pErTmGqnJajicJ&#10;s3i47CHEt8IZkoyaAj5Y1pEdr0PsU+9SUi3r1kprPGczbUmHoBflJOEznESJE4Cm8cgm2D0lTO9x&#10;xHmEDBmcVk26nm4H2O+uNJAjS4MxLc/X50Nnf6Sl2isW2j4vh4Y0bZFHEqeXI1k719yimOD6KQue&#10;rxXev2YhbhjgWGGjuHjxBj9SO+zeDRYlrYMv/zpP+fjaGKWkwzFFZp8PDAQl+p3FObioxmOEjdkZ&#10;T85H6MDjyO5xxB7MlUPCFa6459lM+VHfmRKc+YT7uUxVMcQsx9q9hoNzFfv1wQ3nYrnMaTjLnsVr&#10;u/U8gfcvtTxEJ1V+xAd1BtFwmvMYDJuX1uWxn7Me/m0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jHp8v2gAAAA0BAAAPAAAAAAAAAAEAIAAAACIAAABkcnMvZG93bnJldi54bWxQSwECFAAUAAAA&#10;CACHTuJAZitgh14CAAC1BAAADgAAAAAAAAABACAAAAApAQAAZHJzL2Uyb0RvYy54bWxQSwUGAAAA&#10;AAYABgBZAQAA+QUAAAAA&#10;">
                <v:fill on="f" focussize="0,0"/>
                <v:stroke weight="1.5pt" color="#0607F7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6902450</wp:posOffset>
                </wp:positionH>
                <wp:positionV relativeFrom="paragraph">
                  <wp:posOffset>4238625</wp:posOffset>
                </wp:positionV>
                <wp:extent cx="165100" cy="106045"/>
                <wp:effectExtent l="9525" t="9525" r="15875" b="17780"/>
                <wp:wrapNone/>
                <wp:docPr id="10" name="矩形 10"/>
                <wp:cNvGraphicFramePr/>
                <a:graphic xmlns:a="http://schemas.openxmlformats.org/drawingml/2006/main">
                  <a:graphicData uri="http://schemas.microsoft.com/office/word/2010/wordprocessingShape">
                    <wps:wsp>
                      <wps:cNvSpPr/>
                      <wps:spPr>
                        <a:xfrm>
                          <a:off x="0" y="0"/>
                          <a:ext cx="165100" cy="106045"/>
                        </a:xfrm>
                        <a:prstGeom prst="rect">
                          <a:avLst/>
                        </a:prstGeom>
                        <a:noFill/>
                        <a:ln w="19050">
                          <a:solidFill>
                            <a:srgbClr val="EDEE0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5pt;margin-top:333.75pt;height:8.35pt;width:13pt;z-index:251666432;v-text-anchor:middle;mso-width-relative:page;mso-height-relative:page;" filled="f" stroked="t" coordsize="21600,21600" o:gfxdata="UEsDBAoAAAAAAIdO4kAAAAAAAAAAAAAAAAAEAAAAZHJzL1BLAwQUAAAACACHTuJAx0EaRdoAAAAN&#10;AQAADwAAAGRycy9kb3ducmV2LnhtbE2PwU7DMBBE70j8g7VI3KidAmmUxukBgbhQoZaiXp14SaLG&#10;6xA7bfl7tic4zuxo9k2xOrteHHEMnScNyUyBQKq97ajRsPt4uctAhGjImt4TavjBAKvy+qowufUn&#10;2uBxGxvBJRRyo6GNccilDHWLzoSZH5D49uVHZyLLsZF2NCcud72cK5VKZzriD60Z8KnF+rCdnIbX&#10;z2qzbur4vE9JTofqze7ev9da394kagki4jn+heGCz+hQMlPlJ7JB9KxVtuAxUUOaLh5BXCJJcs9W&#10;xVb2MAdZFvL/ivIXUEsDBBQAAAAIAIdO4kCFlSiUXAIAALUEAAAOAAAAZHJzL2Uyb0RvYy54bWyt&#10;VM1uEzEQviPxDpbvdHerpNCoSRU1LUKqaKWCODteO2vJf9hONuVlkLjxEDwO4jX47N3+UDj0wGUz&#10;4xl/M9/nmZyc7o0mOxGicnZOm4OaEmG5a5XdzOnHDxev3lASE7Mt086KOb0VkZ4uXr446f1MHLrO&#10;6VYEAhAbZ72f0y4lP6uqyDthWDxwXlgEpQuGJbhhU7WB9UA3ujqs66Oqd6H1wXERI05XQ5COiOE5&#10;gE5KxcXK8a0RNg2oQWiWQCl2yke6KN1KKXi6kjKKRPScgmkqXxSBvc7fanHCZpvAfKf42AJ7TgtP&#10;OBmmLIreQ61YYmQb1F9QRvHgopPpgDtTDUSKImDR1E+0uemYF4ULpI7+XvT4/2D5+911IKrFJEAS&#10;ywxe/NfX7z9/fCM4gDq9jzMk3fjrMHoRZqa6l8HkX5Ag+6Lo7b2iYp8Ix2FzNG1qAHOEmvqonkwz&#10;ZvVw2YeY3gpnSDbmNODBio5sdxnTkHqXkmtZd6G0xjmbaUt6gB7X04zPMIkSEwDTeLCJdkMJ0xuM&#10;OE+hQEanVZuv59sxbNZnOpAdw2Ccr87P67vO/kjLtVcsdkNeCY0EtAWPLM4gR7bWrr2FmMENUxY9&#10;v1C4f8liumYBY4VGsXjpCh+pHbp3o0VJ58KXf53nfLw2opT0GFMw+7xlQVCi31nMwXEzmQA2FWcy&#10;fX0IJzyOrB9H7NacORBusOKeFzPnJ31nyuDMJ+znMldFiFmO2oOGo3OWhvXBhnOxXJY0zLJn6dLe&#10;eJ7Bh5dabpOTqjzigzqjaJjmMgbj5uV1eeyXrId/m8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0EaRdoAAAANAQAADwAAAAAAAAABACAAAAAiAAAAZHJzL2Rvd25yZXYueG1sUEsBAhQAFAAAAAgA&#10;h07iQIWVKJRcAgAAtQQAAA4AAAAAAAAAAQAgAAAAKQEAAGRycy9lMm9Eb2MueG1sUEsFBgAAAAAG&#10;AAYAWQEAAPcFAAAAAA==&#10;">
                <v:fill on="f" focussize="0,0"/>
                <v:stroke weight="1.5pt" color="#EDEE05 [3204]" joinstyle="round"/>
                <v:imagedata o:title=""/>
                <o:lock v:ext="edit" aspectratio="f"/>
              </v:rect>
            </w:pict>
          </mc:Fallback>
        </mc:AlternateContent>
      </w:r>
      <w:r>
        <w:drawing>
          <wp:anchor distT="0" distB="0" distL="114300" distR="114300" simplePos="0" relativeHeight="251671552" behindDoc="0" locked="0" layoutInCell="1" allowOverlap="1">
            <wp:simplePos x="0" y="0"/>
            <wp:positionH relativeFrom="column">
              <wp:posOffset>6798310</wp:posOffset>
            </wp:positionH>
            <wp:positionV relativeFrom="paragraph">
              <wp:posOffset>8890</wp:posOffset>
            </wp:positionV>
            <wp:extent cx="904240" cy="838200"/>
            <wp:effectExtent l="0" t="0" r="10160" b="0"/>
            <wp:wrapNone/>
            <wp:docPr id="97"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descr="鸡西风玫瑰"/>
                    <pic:cNvPicPr>
                      <a:picLocks noChangeAspect="1"/>
                    </pic:cNvPicPr>
                  </pic:nvPicPr>
                  <pic:blipFill>
                    <a:blip r:embed="rId67"/>
                    <a:stretch>
                      <a:fillRect/>
                    </a:stretch>
                  </pic:blipFill>
                  <pic:spPr>
                    <a:xfrm>
                      <a:off x="0" y="0"/>
                      <a:ext cx="904240" cy="838200"/>
                    </a:xfrm>
                    <a:prstGeom prst="rect">
                      <a:avLst/>
                    </a:prstGeom>
                    <a:noFill/>
                    <a:ln>
                      <a:noFill/>
                    </a:ln>
                  </pic:spPr>
                </pic:pic>
              </a:graphicData>
            </a:graphic>
          </wp:anchor>
        </w:drawing>
      </w:r>
      <w:r>
        <w:drawing>
          <wp:inline distT="0" distB="0" distL="114300" distR="114300">
            <wp:extent cx="4796155" cy="4770755"/>
            <wp:effectExtent l="0" t="0" r="4445" b="1079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69"/>
                    <a:stretch>
                      <a:fillRect/>
                    </a:stretch>
                  </pic:blipFill>
                  <pic:spPr>
                    <a:xfrm>
                      <a:off x="0" y="0"/>
                      <a:ext cx="4796155" cy="4770755"/>
                    </a:xfrm>
                    <a:prstGeom prst="rect">
                      <a:avLst/>
                    </a:prstGeom>
                    <a:noFill/>
                    <a:ln>
                      <a:noFill/>
                    </a:ln>
                  </pic:spPr>
                </pic:pic>
              </a:graphicData>
            </a:graphic>
          </wp:inline>
        </w:drawing>
      </w:r>
    </w:p>
    <w:bookmarkEnd w:id="15"/>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6"/>
        <w:gridCol w:w="5466"/>
      </w:tblGrid>
      <w:tr w14:paraId="037F8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1" w:hRule="atLeast"/>
          <w:jc w:val="center"/>
        </w:trPr>
        <w:tc>
          <w:tcPr>
            <w:tcW w:w="4530" w:type="dxa"/>
            <w:noWrap w:val="0"/>
            <w:vAlign w:val="center"/>
          </w:tcPr>
          <w:p w14:paraId="7C367064">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rPr>
              <w:drawing>
                <wp:inline distT="0" distB="0" distL="114300" distR="114300">
                  <wp:extent cx="3091180" cy="2065020"/>
                  <wp:effectExtent l="0" t="0" r="13970" b="11430"/>
                  <wp:docPr id="91" name="图片 27"/>
                  <wp:cNvGraphicFramePr/>
                  <a:graphic xmlns:a="http://schemas.openxmlformats.org/drawingml/2006/main">
                    <a:graphicData uri="http://schemas.openxmlformats.org/drawingml/2006/picture">
                      <pic:pic xmlns:pic="http://schemas.openxmlformats.org/drawingml/2006/picture">
                        <pic:nvPicPr>
                          <pic:cNvPr id="91" name="图片 27"/>
                          <pic:cNvPicPr/>
                        </pic:nvPicPr>
                        <pic:blipFill>
                          <a:blip r:embed="rId70"/>
                          <a:stretch>
                            <a:fillRect/>
                          </a:stretch>
                        </pic:blipFill>
                        <pic:spPr>
                          <a:xfrm>
                            <a:off x="0" y="0"/>
                            <a:ext cx="3091180" cy="2065020"/>
                          </a:xfrm>
                          <a:prstGeom prst="rect">
                            <a:avLst/>
                          </a:prstGeom>
                          <a:noFill/>
                          <a:ln>
                            <a:noFill/>
                          </a:ln>
                        </pic:spPr>
                      </pic:pic>
                    </a:graphicData>
                  </a:graphic>
                </wp:inline>
              </w:drawing>
            </w:r>
          </w:p>
        </w:tc>
        <w:tc>
          <w:tcPr>
            <w:tcW w:w="4530" w:type="dxa"/>
            <w:noWrap w:val="0"/>
            <w:vAlign w:val="center"/>
          </w:tcPr>
          <w:p w14:paraId="7373F5E2">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rPr>
              <w:drawing>
                <wp:inline distT="0" distB="0" distL="114300" distR="114300">
                  <wp:extent cx="3230880" cy="2131695"/>
                  <wp:effectExtent l="0" t="0" r="7620" b="1905"/>
                  <wp:docPr id="92" name="图片 28"/>
                  <wp:cNvGraphicFramePr/>
                  <a:graphic xmlns:a="http://schemas.openxmlformats.org/drawingml/2006/main">
                    <a:graphicData uri="http://schemas.openxmlformats.org/drawingml/2006/picture">
                      <pic:pic xmlns:pic="http://schemas.openxmlformats.org/drawingml/2006/picture">
                        <pic:nvPicPr>
                          <pic:cNvPr id="92" name="图片 28"/>
                          <pic:cNvPicPr/>
                        </pic:nvPicPr>
                        <pic:blipFill>
                          <a:blip r:embed="rId71"/>
                          <a:stretch>
                            <a:fillRect/>
                          </a:stretch>
                        </pic:blipFill>
                        <pic:spPr>
                          <a:xfrm>
                            <a:off x="0" y="0"/>
                            <a:ext cx="3230880" cy="2131695"/>
                          </a:xfrm>
                          <a:prstGeom prst="rect">
                            <a:avLst/>
                          </a:prstGeom>
                          <a:noFill/>
                          <a:ln>
                            <a:noFill/>
                          </a:ln>
                        </pic:spPr>
                      </pic:pic>
                    </a:graphicData>
                  </a:graphic>
                </wp:inline>
              </w:drawing>
            </w:r>
          </w:p>
        </w:tc>
      </w:tr>
      <w:tr w14:paraId="4E0A9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530" w:type="dxa"/>
            <w:noWrap w:val="0"/>
            <w:vAlign w:val="center"/>
          </w:tcPr>
          <w:p w14:paraId="383E6F90">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厂区东侧平阳村</w:t>
            </w:r>
          </w:p>
        </w:tc>
        <w:tc>
          <w:tcPr>
            <w:tcW w:w="4530" w:type="dxa"/>
            <w:noWrap w:val="0"/>
            <w:vAlign w:val="center"/>
          </w:tcPr>
          <w:p w14:paraId="25F84BF7">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厂区西侧平阳村</w:t>
            </w:r>
          </w:p>
        </w:tc>
      </w:tr>
      <w:tr w14:paraId="76827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14:paraId="2D5A1EEB">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rPr>
              <w:drawing>
                <wp:inline distT="0" distB="0" distL="114300" distR="114300">
                  <wp:extent cx="3094355" cy="2054225"/>
                  <wp:effectExtent l="0" t="0" r="10795" b="3175"/>
                  <wp:docPr id="94" name="图片 30"/>
                  <wp:cNvGraphicFramePr/>
                  <a:graphic xmlns:a="http://schemas.openxmlformats.org/drawingml/2006/main">
                    <a:graphicData uri="http://schemas.openxmlformats.org/drawingml/2006/picture">
                      <pic:pic xmlns:pic="http://schemas.openxmlformats.org/drawingml/2006/picture">
                        <pic:nvPicPr>
                          <pic:cNvPr id="94" name="图片 30"/>
                          <pic:cNvPicPr/>
                        </pic:nvPicPr>
                        <pic:blipFill>
                          <a:blip r:embed="rId72"/>
                          <a:stretch>
                            <a:fillRect/>
                          </a:stretch>
                        </pic:blipFill>
                        <pic:spPr>
                          <a:xfrm>
                            <a:off x="0" y="0"/>
                            <a:ext cx="3094355" cy="2054225"/>
                          </a:xfrm>
                          <a:prstGeom prst="rect">
                            <a:avLst/>
                          </a:prstGeom>
                          <a:noFill/>
                          <a:ln>
                            <a:noFill/>
                          </a:ln>
                        </pic:spPr>
                      </pic:pic>
                    </a:graphicData>
                  </a:graphic>
                </wp:inline>
              </w:drawing>
            </w:r>
          </w:p>
        </w:tc>
        <w:tc>
          <w:tcPr>
            <w:tcW w:w="4530" w:type="dxa"/>
            <w:noWrap w:val="0"/>
            <w:vAlign w:val="center"/>
          </w:tcPr>
          <w:p w14:paraId="5AF8E453">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rPr>
              <w:drawing>
                <wp:inline distT="0" distB="0" distL="114300" distR="114300">
                  <wp:extent cx="3324860" cy="2067560"/>
                  <wp:effectExtent l="0" t="0" r="8890" b="8890"/>
                  <wp:docPr id="93" name="图片 29"/>
                  <wp:cNvGraphicFramePr/>
                  <a:graphic xmlns:a="http://schemas.openxmlformats.org/drawingml/2006/main">
                    <a:graphicData uri="http://schemas.openxmlformats.org/drawingml/2006/picture">
                      <pic:pic xmlns:pic="http://schemas.openxmlformats.org/drawingml/2006/picture">
                        <pic:nvPicPr>
                          <pic:cNvPr id="93" name="图片 29"/>
                          <pic:cNvPicPr/>
                        </pic:nvPicPr>
                        <pic:blipFill>
                          <a:blip r:embed="rId73"/>
                          <a:stretch>
                            <a:fillRect/>
                          </a:stretch>
                        </pic:blipFill>
                        <pic:spPr>
                          <a:xfrm>
                            <a:off x="0" y="0"/>
                            <a:ext cx="3324860" cy="2067560"/>
                          </a:xfrm>
                          <a:prstGeom prst="rect">
                            <a:avLst/>
                          </a:prstGeom>
                          <a:noFill/>
                          <a:ln>
                            <a:noFill/>
                          </a:ln>
                        </pic:spPr>
                      </pic:pic>
                    </a:graphicData>
                  </a:graphic>
                </wp:inline>
              </w:drawing>
            </w:r>
          </w:p>
        </w:tc>
      </w:tr>
      <w:tr w14:paraId="5CA16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2472C06E">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厂区南侧114县道、平阳村</w:t>
            </w:r>
          </w:p>
        </w:tc>
        <w:tc>
          <w:tcPr>
            <w:tcW w:w="4530" w:type="dxa"/>
            <w:noWrap w:val="0"/>
            <w:vAlign w:val="center"/>
          </w:tcPr>
          <w:p w14:paraId="75786CA2">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厂区北侧农田</w:t>
            </w:r>
          </w:p>
        </w:tc>
      </w:tr>
    </w:tbl>
    <w:p w14:paraId="6FDE3BD2">
      <w:pPr>
        <w:pStyle w:val="5"/>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附图3 厂区四周图</w:t>
      </w:r>
    </w:p>
    <w:p w14:paraId="69AF4EBD">
      <w:pPr>
        <w:rPr>
          <w:rFonts w:hint="eastAsia" w:eastAsia="宋体" w:cs="Times New Roman"/>
          <w:color w:val="auto"/>
          <w:sz w:val="21"/>
          <w:szCs w:val="21"/>
          <w:highlight w:val="none"/>
          <w:lang w:val="en-US" w:eastAsia="zh-CN"/>
        </w:rPr>
      </w:pPr>
      <w:r>
        <w:drawing>
          <wp:anchor distT="0" distB="0" distL="114300" distR="114300" simplePos="0" relativeHeight="251673600" behindDoc="0" locked="0" layoutInCell="1" allowOverlap="1">
            <wp:simplePos x="0" y="0"/>
            <wp:positionH relativeFrom="column">
              <wp:posOffset>4808855</wp:posOffset>
            </wp:positionH>
            <wp:positionV relativeFrom="paragraph">
              <wp:posOffset>60960</wp:posOffset>
            </wp:positionV>
            <wp:extent cx="914400" cy="857250"/>
            <wp:effectExtent l="197485" t="169545" r="202565" b="173355"/>
            <wp:wrapNone/>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4"/>
                    <a:stretch>
                      <a:fillRect/>
                    </a:stretch>
                  </pic:blipFill>
                  <pic:spPr>
                    <a:xfrm rot="2760000">
                      <a:off x="0" y="0"/>
                      <a:ext cx="914400" cy="857250"/>
                    </a:xfrm>
                    <a:prstGeom prst="rect">
                      <a:avLst/>
                    </a:prstGeom>
                    <a:noFill/>
                    <a:ln>
                      <a:noFill/>
                    </a:ln>
                  </pic:spPr>
                </pic:pic>
              </a:graphicData>
            </a:graphic>
          </wp:anchor>
        </w:drawing>
      </w:r>
    </w:p>
    <w:p w14:paraId="4B2F0D0D">
      <w:pPr>
        <w:pStyle w:val="26"/>
        <w:rPr>
          <w:rFonts w:hint="eastAsia" w:eastAsia="宋体" w:cs="Times New Roman"/>
          <w:color w:val="auto"/>
          <w:sz w:val="21"/>
          <w:szCs w:val="21"/>
          <w:highlight w:val="none"/>
          <w:lang w:val="en-US" w:eastAsia="zh-CN"/>
        </w:rPr>
      </w:pPr>
    </w:p>
    <w:p w14:paraId="1C452BBB">
      <w:pPr>
        <w:rPr>
          <w:rFonts w:hint="eastAsia"/>
          <w:lang w:val="en-US" w:eastAsia="zh-CN"/>
        </w:rPr>
      </w:pPr>
    </w:p>
    <w:p w14:paraId="143E923F">
      <w:pPr>
        <w:rPr>
          <w:rFonts w:hint="eastAsia"/>
          <w:lang w:val="en-US" w:eastAsia="zh-CN"/>
        </w:rPr>
      </w:pPr>
    </w:p>
    <w:p w14:paraId="2925D33D">
      <w:pPr>
        <w:jc w:val="center"/>
        <w:rPr>
          <w:rFonts w:hint="default"/>
          <w:lang w:val="en-US"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2969260</wp:posOffset>
                </wp:positionH>
                <wp:positionV relativeFrom="paragraph">
                  <wp:posOffset>6343015</wp:posOffset>
                </wp:positionV>
                <wp:extent cx="2228850" cy="1104265"/>
                <wp:effectExtent l="4445" t="5080" r="14605" b="14605"/>
                <wp:wrapNone/>
                <wp:docPr id="16" name="文本框 16"/>
                <wp:cNvGraphicFramePr/>
                <a:graphic xmlns:a="http://schemas.openxmlformats.org/drawingml/2006/main">
                  <a:graphicData uri="http://schemas.microsoft.com/office/word/2010/wordprocessingShape">
                    <wps:wsp>
                      <wps:cNvSpPr txBox="1"/>
                      <wps:spPr>
                        <a:xfrm>
                          <a:off x="3910330" y="8322310"/>
                          <a:ext cx="2228850" cy="110426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B598EB">
                            <w:pPr>
                              <w:jc w:val="center"/>
                              <w:rPr>
                                <w:rFonts w:hint="eastAsia"/>
                                <w:lang w:val="en-US" w:eastAsia="zh-CN"/>
                              </w:rPr>
                            </w:pPr>
                            <w:r>
                              <w:rPr>
                                <w:rFonts w:hint="eastAsia"/>
                                <w:lang w:val="en-US" w:eastAsia="zh-CN"/>
                              </w:rPr>
                              <w:t>图例</w:t>
                            </w:r>
                          </w:p>
                          <w:p w14:paraId="24A741BE">
                            <w:pPr>
                              <w:pStyle w:val="26"/>
                              <w:rPr>
                                <w:rFonts w:hint="eastAsia"/>
                                <w:lang w:val="en-US" w:eastAsia="zh-CN"/>
                              </w:rPr>
                            </w:pPr>
                            <w:r>
                              <w:rPr>
                                <w:rFonts w:hint="eastAsia"/>
                                <w:lang w:val="en-US" w:eastAsia="zh-CN"/>
                              </w:rPr>
                              <w:t xml:space="preserve">    除尘器</w:t>
                            </w:r>
                          </w:p>
                          <w:p w14:paraId="445953BC">
                            <w:pPr>
                              <w:ind w:firstLine="840" w:firstLineChars="400"/>
                              <w:rPr>
                                <w:rFonts w:hint="eastAsia"/>
                                <w:lang w:val="en-US" w:eastAsia="zh-CN"/>
                              </w:rPr>
                            </w:pPr>
                            <w:r>
                              <w:rPr>
                                <w:rFonts w:hint="eastAsia"/>
                                <w:lang w:val="en-US" w:eastAsia="zh-CN"/>
                              </w:rPr>
                              <w:t>DA001</w:t>
                            </w:r>
                          </w:p>
                          <w:p w14:paraId="5C538913">
                            <w:pPr>
                              <w:rPr>
                                <w:rFonts w:hint="default"/>
                                <w:lang w:val="en-US" w:eastAsia="zh-CN"/>
                              </w:rPr>
                            </w:pPr>
                            <w:r>
                              <w:rPr>
                                <w:rFonts w:hint="eastAsia"/>
                                <w:lang w:val="en-US" w:eastAsia="zh-CN"/>
                              </w:rPr>
                              <w:t>燃料间及灰渣间设置在热风炉房内</w:t>
                            </w:r>
                          </w:p>
                          <w:p w14:paraId="368AA14F">
                            <w:pPr>
                              <w:rPr>
                                <w:rFonts w:hint="default"/>
                                <w:lang w:val="en-US" w:eastAsia="zh-CN"/>
                              </w:rPr>
                            </w:pPr>
                            <w:r>
                              <w:rPr>
                                <w:rFonts w:hint="eastAsia"/>
                                <w:lang w:val="en-US" w:eastAsia="zh-CN"/>
                              </w:rPr>
                              <w:t>危险废物贮存点设置在库房3内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8pt;margin-top:499.45pt;height:86.95pt;width:175.5pt;z-index:251677696;mso-width-relative:page;mso-height-relative:page;" filled="f" stroked="t" coordsize="21600,21600" o:gfxdata="UEsDBAoAAAAAAIdO4kAAAAAAAAAAAAAAAAAEAAAAZHJzL1BLAwQUAAAACACHTuJASYWaYdsAAAAM&#10;AQAADwAAAGRycy9kb3ducmV2LnhtbE2Py07DMBBF90j8gzVI7KidCvJqnC4QXSAhJAqiXTrxkET4&#10;EWI3LXw90xUsZ+bozrnV+mQNm3EKg3cSkoUAhq71enCdhLfXzU0OLETltDLeoYRvDLCuLy8qVWp/&#10;dC84b2PHKMSFUknoYxxLzkPbo1Vh4Ud0dPvwk1WRxqnjelJHCreGL4VIuVWDow+9GvG+x/Zze7AS&#10;nt53Xw+b573YYWOGu9lk/eNPI+X1VSJWwCKe4h8MZ31Sh5qcGn9wOjAj4TbNUkIlFEVeACMiT3La&#10;NIQm2TIHXlf8f4n6F1BLAwQUAAAACACHTuJArbDUjl0CAACdBAAADgAAAGRycy9lMm9Eb2MueG1s&#10;rVTNbtNAEL4j8Q6rvVPHThrSqE4VUhUhVbRSQJw363VssX/sbmKXB4A34MSFO8/V5+Bb22mjwqEH&#10;LpvZnS/fzHwz4/OLVkmyF87XRuc0PRlRIjQ3Ra23Of344erVjBIfmC6YNFrk9E54erF4+eK8sXOR&#10;mcrIQjgCEu3njc1pFYKdJ4nnlVDMnxgrNJylcYoFXN02KRxrwK5kko1G06QxrrDOcOE9Xi97Jx0Y&#10;3XMITVnWXFwavlNCh57VCckCSvJVbT1ddNmWpeDhpiy9CETmFJWG7kQQ2Jt4JotzNt86ZquaDymw&#10;56TwpCbFao2gD1SXLDCyc/VfVKrmznhThhNuVNIX0imCKtLRE23WFbOiqwVSe/sguv9/tPz9/taR&#10;usAkTCnRTKHj9z++3//8ff/rG8EbBGqsnwO3tkCG9o1pAT68ezzGutvSqfiLigj847N0NB5D5Luc&#10;zsZZNk4HqUUbCAcgy7LZ7BQADkSajibZ9DRyJo9U1vnwVhhFopFTh152ErP9tQ899ACJkbW5qqXs&#10;+ik1aXI6HYM/eryRdRGd8RL/spKO7BkmYiMZ/zyEPUIhCamRSyy8LzBaod20gxobU9xBDGf6efKW&#10;X9XgvWY+3DKHAUJhWLFwg6OUBsmYwaKkMu7rv94jHn2Fl5IGA5lT/2XHnKBEvtPo+Fk6mYA2dJfJ&#10;6esMF3fs2Rx79E6tDCpMscyWd2bEB3kwS2fUJ2ziMkaFi2mO2DkNB3MV+jXBJnOxXHYgzKxl4Vqv&#10;LY/UvezLXTBl3XUkytRrM6iHqe16OmxYXIvje4d6/Ko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JhZph2wAAAAwBAAAPAAAAAAAAAAEAIAAAACIAAABkcnMvZG93bnJldi54bWxQSwECFAAUAAAA&#10;CACHTuJArbDUjl0CAACdBAAADgAAAAAAAAABACAAAAAqAQAAZHJzL2Uyb0RvYy54bWxQSwUGAAAA&#10;AAYABgBZAQAA+QUAAAAA&#10;">
                <v:fill on="f" focussize="0,0"/>
                <v:stroke weight="0.5pt" color="#000000 [3204]" joinstyle="round"/>
                <v:imagedata o:title=""/>
                <o:lock v:ext="edit" aspectratio="f"/>
                <v:textbox>
                  <w:txbxContent>
                    <w:p w14:paraId="27B598EB">
                      <w:pPr>
                        <w:jc w:val="center"/>
                        <w:rPr>
                          <w:rFonts w:hint="eastAsia"/>
                          <w:lang w:val="en-US" w:eastAsia="zh-CN"/>
                        </w:rPr>
                      </w:pPr>
                      <w:r>
                        <w:rPr>
                          <w:rFonts w:hint="eastAsia"/>
                          <w:lang w:val="en-US" w:eastAsia="zh-CN"/>
                        </w:rPr>
                        <w:t>图例</w:t>
                      </w:r>
                    </w:p>
                    <w:p w14:paraId="24A741BE">
                      <w:pPr>
                        <w:pStyle w:val="26"/>
                        <w:rPr>
                          <w:rFonts w:hint="eastAsia"/>
                          <w:lang w:val="en-US" w:eastAsia="zh-CN"/>
                        </w:rPr>
                      </w:pPr>
                      <w:r>
                        <w:rPr>
                          <w:rFonts w:hint="eastAsia"/>
                          <w:lang w:val="en-US" w:eastAsia="zh-CN"/>
                        </w:rPr>
                        <w:t xml:space="preserve">    除尘器</w:t>
                      </w:r>
                    </w:p>
                    <w:p w14:paraId="445953BC">
                      <w:pPr>
                        <w:ind w:firstLine="840" w:firstLineChars="400"/>
                        <w:rPr>
                          <w:rFonts w:hint="eastAsia"/>
                          <w:lang w:val="en-US" w:eastAsia="zh-CN"/>
                        </w:rPr>
                      </w:pPr>
                      <w:r>
                        <w:rPr>
                          <w:rFonts w:hint="eastAsia"/>
                          <w:lang w:val="en-US" w:eastAsia="zh-CN"/>
                        </w:rPr>
                        <w:t>DA001</w:t>
                      </w:r>
                    </w:p>
                    <w:p w14:paraId="5C538913">
                      <w:pPr>
                        <w:rPr>
                          <w:rFonts w:hint="default"/>
                          <w:lang w:val="en-US" w:eastAsia="zh-CN"/>
                        </w:rPr>
                      </w:pPr>
                      <w:r>
                        <w:rPr>
                          <w:rFonts w:hint="eastAsia"/>
                          <w:lang w:val="en-US" w:eastAsia="zh-CN"/>
                        </w:rPr>
                        <w:t>燃料间及灰渣间设置在热风炉房内</w:t>
                      </w:r>
                    </w:p>
                    <w:p w14:paraId="368AA14F">
                      <w:pPr>
                        <w:rPr>
                          <w:rFonts w:hint="default"/>
                          <w:lang w:val="en-US" w:eastAsia="zh-CN"/>
                        </w:rPr>
                      </w:pPr>
                      <w:r>
                        <w:rPr>
                          <w:rFonts w:hint="eastAsia"/>
                          <w:lang w:val="en-US" w:eastAsia="zh-CN"/>
                        </w:rPr>
                        <w:t>危险废物贮存点设置在库房3内</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1880870</wp:posOffset>
                </wp:positionH>
                <wp:positionV relativeFrom="paragraph">
                  <wp:posOffset>2948305</wp:posOffset>
                </wp:positionV>
                <wp:extent cx="75565" cy="75565"/>
                <wp:effectExtent l="6350" t="6350" r="13335" b="13335"/>
                <wp:wrapNone/>
                <wp:docPr id="13" name="椭圆 13"/>
                <wp:cNvGraphicFramePr/>
                <a:graphic xmlns:a="http://schemas.openxmlformats.org/drawingml/2006/main">
                  <a:graphicData uri="http://schemas.microsoft.com/office/word/2010/wordprocessingShape">
                    <wps:wsp>
                      <wps:cNvSpPr/>
                      <wps:spPr>
                        <a:xfrm>
                          <a:off x="2853055" y="4831080"/>
                          <a:ext cx="75565" cy="75565"/>
                        </a:xfrm>
                        <a:prstGeom prst="ellipse">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8.1pt;margin-top:232.15pt;height:5.95pt;width:5.95pt;z-index:251675648;v-text-anchor:middle;mso-width-relative:page;mso-height-relative:page;" filled="f" stroked="t" coordsize="21600,21600" o:gfxdata="UEsDBAoAAAAAAIdO4kAAAAAAAAAAAAAAAAAEAAAAZHJzL1BLAwQUAAAACACHTuJAsf1VOtoAAAAL&#10;AQAADwAAAGRycy9kb3ducmV2LnhtbE2Py07DMBBF90j8gzVI7KidpElLiFOpoCyQ2FD4ACeePERs&#10;h9hNCl/PsILlzD26c6Y4XMzIFpz94KyEaCOAoW2cHmwn4f2tutsD80FZrUZnUcIXejiU11eFyrVb&#10;7Ssup9AxKrE+VxL6EKacc9/0aJTfuAktZa2bjQo0zh3Xs1qp3Iw8FiLjRg2WLvRqwscem4/T2Uj4&#10;jnfJc7U8tXVWtfiyfqbHY5pKeXsTiQdgAS/hD4ZffVKHkpxqd7bas1FCfJ/FhErYZtsEGBGJ2EfA&#10;atrsKOJlwf//UP4AUEsDBBQAAAAIAIdO4kCNVbXVaQIAAMIEAAAOAAAAZHJzL2Uyb0RvYy54bWyt&#10;VEtu2zAQ3RfoHQjuG8m/xBUsB0YMFwWCJkBadE1TlEWAv5K05fQAPUWX3eZY7Tn6KCmfpl1kUS/o&#10;Gc5wOO/xjRbnR63IQfggrSnp6CSnRBhuK2l2Jf30cfNmTkmIzFRMWSNKeisCPV++frVoXSHGtrGq&#10;Ep6giAlF60raxOiKLAu8EZqFE+uEQbC2XrMI1++yyrMW1bXKxnl+mrXWV85bLkLA7roP0qGif0lB&#10;W9eSi7Xley1M7Kt6oVgEpNBIF+iy67auBY9XdR1EJKqkQBq7FZfA3qY1Wy5YsfPMNZIPLbCXtPAM&#10;k2bS4NKHUmsWGdl7+VcpLbm3wdbxhFud9UA6RoBilD/j5qZhTnRYQHVwD6SH/1eWfzhceyIrKGFC&#10;iWEaL/7rx93P798INsBO60KBpBt37QcvwExQj7XX6R8gyLGk4/lsks9mlNyWdDqfjPL5wK44RsKR&#10;cDabnSLMEe9N1Mseyzgf4jthNUlGSYVSeMiEnhXscBlin32flbaN3UilsM8KZUgLCOOzHA/LGWRZ&#10;Qw4wtQO0YHaUMLWD3nn0XclglazS8XQ6+N32QnlyYFDJZpPjl6CjuT/S0t1rFpo+rwsNacogOzHV&#10;c5Osra1uway3veSC4xuJ85csxGvmoTE0iimMV1hqZdG9HSxKGuu//ms/5ePpEaWkhWaB7MueeUGJ&#10;em8girej6TSJvHOms7MxHP80sn0aMXt9YQF4hHl3vDNTflT3Zu2t/oxhXaVbEWKG4+6ew8G5iP0s&#10;Ydy5WK26NAjbsXhpbhxPxfuXWu2jrWX3iI/sDKRB2h3Zwxim2Xnqd1mPn57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H9VTraAAAACwEAAA8AAAAAAAAAAQAgAAAAIgAAAGRycy9kb3ducmV2Lnht&#10;bFBLAQIUABQAAAAIAIdO4kCNVbXVaQIAAMIEAAAOAAAAAAAAAAEAIAAAACkBAABkcnMvZTJvRG9j&#10;LnhtbFBLBQYAAAAABgAGAFkBAAAEBgAAAAA=&#10;">
                <v:fill on="f" focussize="0,0"/>
                <v:stroke weight="1pt" color="#FF0000 [3204]" joinstyle="round"/>
                <v:imagedata o:title=""/>
                <o:lock v:ext="edit" aspectratio="f"/>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1701800</wp:posOffset>
                </wp:positionH>
                <wp:positionV relativeFrom="paragraph">
                  <wp:posOffset>2940050</wp:posOffset>
                </wp:positionV>
                <wp:extent cx="119380" cy="75565"/>
                <wp:effectExtent l="6350" t="6350" r="7620" b="13335"/>
                <wp:wrapNone/>
                <wp:docPr id="12" name="矩形 12"/>
                <wp:cNvGraphicFramePr/>
                <a:graphic xmlns:a="http://schemas.openxmlformats.org/drawingml/2006/main">
                  <a:graphicData uri="http://schemas.microsoft.com/office/word/2010/wordprocessingShape">
                    <wps:wsp>
                      <wps:cNvSpPr/>
                      <wps:spPr>
                        <a:xfrm>
                          <a:off x="2673985" y="4822825"/>
                          <a:ext cx="119380" cy="75565"/>
                        </a:xfrm>
                        <a:prstGeom prst="rect">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pt;margin-top:231.5pt;height:5.95pt;width:9.4pt;z-index:251674624;v-text-anchor:middle;mso-width-relative:page;mso-height-relative:page;" filled="f" stroked="t" coordsize="21600,21600" o:gfxdata="UEsDBAoAAAAAAIdO4kAAAAAAAAAAAAAAAAAEAAAAZHJzL1BLAwQUAAAACACHTuJApMdJcNgAAAAL&#10;AQAADwAAAGRycy9kb3ducmV2LnhtbE2PP0/DMBDFdyS+g3VIbNRJqNIQ4nRAdGIASiXWa2ySqPHZ&#10;sp02fHuOCbb78+7d7zXbxU7ibEIcHSnIVxkIQ53TI/UKDh+7uwpETEgaJ0dGwbeJsG2vrxqstbvQ&#10;uznvUy/YhGKNCoaUfC1l7AZjMa6cN8S7LxcsJm5DL3XAC5vbSRZZVkqLI/GHAb15Gkx32s+WMfz0&#10;5vX8ejp85ssuPOuXiP1GqdubPHsEkcyS/sTwi8830DLT0c2ko5gUFGXFWZKCdXnPBSuKquQwR55s&#10;1g8g20b+z9D+AFBLAwQUAAAACACHTuJAnCT+k2sCAADABAAADgAAAGRycy9lMm9Eb2MueG1srVRL&#10;btswEN0X6B0I7mvZih07RuTAsOGiQNAYSIuuaYqyBPBXkracXqZAdz1Ej1P0Gn2klE/TLrKoF/SM&#10;5unNzOOMLq9OSpKjcL4xuqCjwZASobkpG70v6McPmzczSnxgumTSaFHQO+Hp1eL1q8vWzkVuaiNL&#10;4QhItJ+3tqB1CHaeZZ7XQjE/MFZoBCvjFAtw3T4rHWvBrmSWD4fnWWtcaZ3hwns8XXdB2jO6lxCa&#10;qmq4WBt+UEKHjtUJyQJa8nVjPV2kaqtK8HBTVV4EIguKTkM6kQT2Lp7Z4pLN947ZuuF9CewlJTzr&#10;SbFGI+kD1ZoFRg6u+YtKNdwZb6ow4EZlXSNJEXQxGj7T5rZmVqReILW3D6L7/0fL3x+3jjQlJiGn&#10;RDOFG//19fvPH98IHkCd1vo5QLd263rPw4ytniqn4j+aIKeC5ufTs4vZhJK7go5neT7LJ5264hQI&#10;B2A0ujibQXcOwHQyOU/h7JHHOh/eCqNINArqcHdJUna89gG5Ab2HxLTabBop0/1JTdrYwHQY6RmG&#10;ssIwwFQWjXm9p4TJPaadB5covZFNGV+PRN7tdyvpyJFhRjabIX6xcKT7AxZzr5mvO1wK9TCpgY46&#10;dcpEa2fKO+jqTDdw3vJNg/evmQ9b5jBhKBQ7GG5wVNKgetNblNTGffnX84jHxSNKSYuJRWefD8wJ&#10;SuQ7jZG4GI3HoA3JGU+mORz3NLJ7GtEHtTJoeIRttzyZER/kvVk5oz5hVZcxK0JMc+TuNOydVeg2&#10;CcvOxXKZYBhry8K1vrU8knc3tTwEUzXpEh/V6UXDYCex+yWMm/PUT6jHD8/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THSXDYAAAACwEAAA8AAAAAAAAAAQAgAAAAIgAAAGRycy9kb3ducmV2Lnht&#10;bFBLAQIUABQAAAAIAIdO4kCcJP6TawIAAMAEAAAOAAAAAAAAAAEAIAAAACcBAABkcnMvZTJvRG9j&#10;LnhtbFBLBQYAAAAABgAGAFkBAAAEBgAAAAA=&#10;">
                <v:fill on="f" focussize="0,0"/>
                <v:stroke weight="1pt" color="#FF0000 [3204]" joinstyle="round"/>
                <v:imagedata o:title=""/>
                <o:lock v:ext="edit" aspectratio="f"/>
              </v:rect>
            </w:pict>
          </mc:Fallback>
        </mc:AlternateContent>
      </w:r>
      <w:r>
        <w:drawing>
          <wp:inline distT="0" distB="0" distL="114300" distR="114300">
            <wp:extent cx="6289040" cy="5440680"/>
            <wp:effectExtent l="0" t="0" r="7620" b="16510"/>
            <wp:docPr id="99" name="图片 31"/>
            <wp:cNvGraphicFramePr/>
            <a:graphic xmlns:a="http://schemas.openxmlformats.org/drawingml/2006/main">
              <a:graphicData uri="http://schemas.openxmlformats.org/drawingml/2006/picture">
                <pic:pic xmlns:pic="http://schemas.openxmlformats.org/drawingml/2006/picture">
                  <pic:nvPicPr>
                    <pic:cNvPr id="99" name="图片 31"/>
                    <pic:cNvPicPr/>
                  </pic:nvPicPr>
                  <pic:blipFill>
                    <a:blip r:embed="rId75"/>
                    <a:stretch>
                      <a:fillRect/>
                    </a:stretch>
                  </pic:blipFill>
                  <pic:spPr>
                    <a:xfrm rot="5400000">
                      <a:off x="0" y="0"/>
                      <a:ext cx="6289040" cy="5440680"/>
                    </a:xfrm>
                    <a:prstGeom prst="rect">
                      <a:avLst/>
                    </a:prstGeom>
                    <a:noFill/>
                    <a:ln>
                      <a:noFill/>
                    </a:ln>
                  </pic:spPr>
                </pic:pic>
              </a:graphicData>
            </a:graphic>
          </wp:inline>
        </w:drawing>
      </w:r>
    </w:p>
    <w:p w14:paraId="182B76FF">
      <w:pPr>
        <w:pStyle w:val="5"/>
        <w:keepLines w:val="0"/>
        <w:pageBreakBefore w:val="0"/>
        <w:widowControl w:val="0"/>
        <w:kinsoku/>
        <w:wordWrap/>
        <w:topLinePunct w:val="0"/>
        <w:autoSpaceDE/>
        <w:autoSpaceDN/>
        <w:bidi w:val="0"/>
        <w:adjustRightInd/>
        <w:spacing w:before="0" w:after="0" w:line="240" w:lineRule="auto"/>
        <w:ind w:left="0" w:leftChars="0" w:firstLine="0" w:firstLine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p w14:paraId="52E22490">
      <w:pPr>
        <w:keepLines w:val="0"/>
        <w:pageBreakBefore w:val="0"/>
        <w:widowControl w:val="0"/>
        <w:kinsoku/>
        <w:wordWrap/>
        <w:topLinePunct w:val="0"/>
        <w:autoSpaceDE/>
        <w:autoSpaceDN/>
        <w:bidi w:val="0"/>
        <w:adjustRightInd/>
        <w:spacing w:line="240" w:lineRule="auto"/>
        <w:ind w:left="0" w:left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sz w:val="21"/>
        </w:rPr>
        <mc:AlternateContent>
          <mc:Choice Requires="wps">
            <w:drawing>
              <wp:anchor distT="0" distB="0" distL="114300" distR="114300" simplePos="0" relativeHeight="251676672" behindDoc="0" locked="0" layoutInCell="1" allowOverlap="1">
                <wp:simplePos x="0" y="0"/>
                <wp:positionH relativeFrom="column">
                  <wp:posOffset>3287395</wp:posOffset>
                </wp:positionH>
                <wp:positionV relativeFrom="paragraph">
                  <wp:posOffset>45085</wp:posOffset>
                </wp:positionV>
                <wp:extent cx="233680" cy="113665"/>
                <wp:effectExtent l="6350" t="6350" r="7620" b="13335"/>
                <wp:wrapNone/>
                <wp:docPr id="14" name="矩形 14"/>
                <wp:cNvGraphicFramePr/>
                <a:graphic xmlns:a="http://schemas.openxmlformats.org/drawingml/2006/main">
                  <a:graphicData uri="http://schemas.microsoft.com/office/word/2010/wordprocessingShape">
                    <wps:wsp>
                      <wps:cNvSpPr/>
                      <wps:spPr>
                        <a:xfrm>
                          <a:off x="0" y="0"/>
                          <a:ext cx="233680" cy="113665"/>
                        </a:xfrm>
                        <a:prstGeom prst="rect">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8.85pt;margin-top:3.55pt;height:8.95pt;width:18.4pt;z-index:251676672;v-text-anchor:middle;mso-width-relative:page;mso-height-relative:page;" filled="f" stroked="t" coordsize="21600,21600" o:gfxdata="UEsDBAoAAAAAAIdO4kAAAAAAAAAAAAAAAAAEAAAAZHJzL1BLAwQUAAAACACHTuJA9wpQw9UAAAAI&#10;AQAADwAAAGRycy9kb3ducmV2LnhtbE2PwU7DMBBE70j8g7VI3KjtChMU4vSA6IkD0Fbiuo1NEtVe&#10;R7bThr/HnOA4mtmZt81m8Y6dbUxjIA1yJYBZ6oIZqddw2G/vHoGljGTQBbIavm2CTXt91WBtwoU+&#10;7HmXe1ZKKNWoYch5qjlP3WA9plWYLBXvK0SPucjYcxPxUsq942shHrjHkcrCgJN9Hmx32s2+YEzu&#10;fTLz2+nwKZdtfDGvCftK69sbKZ6AZbvkvzD84pcbaAvTMcxkEnMalKyqEtVQSWDFV+peATtqWCsB&#10;vG34/wfaH1BLAwQUAAAACACHTuJA1Xlxpl0CAAC1BAAADgAAAGRycy9lMm9Eb2MueG1srVTNbhMx&#10;EL4j8Q6W73STNE1L1KSKGgUhVbRSQZwdr5215D9sJ5vyMkjceIg+DuI1+OzdpqVw6IEcnBnP+BvP&#10;52/2/GJvNNmJEJWzMzo8GlAiLHe1spsZ/fRx9eaMkpiYrZl2VszonYj0Yv761Xnrp2LkGqdrEQhA&#10;bJy2fkablPy0qiJvhGHxyHlhEZQuGJbghk1VB9YC3ehqNBhMqtaF2gfHRYzYXXZB2iOGlwA6KRUX&#10;S8e3RtjUoQahWUJLsVE+0nm5rZSCp2spo0hEzyg6TWVFEdjrvFbzczbdBOYbxfsrsJdc4VlPhimL&#10;ogeoJUuMbIP6C8ooHlx0Mh1xZ6qukcIIuhgOnnFz2zAvSi+gOvoD6fH/wfIPu5tAVA0ljCmxzODF&#10;f3378fP+O8EG2Gl9nCLp1t+E3oswc6t7GUz+RxNkXxi9OzAq9olwbI6Ojydn4JojNBweTyYnGbN6&#10;POxDTO+EMyQbMxrwYIVHtruKqUt9SMm1rFsprbHPptqSFqCj00HGZ1CihAJgGo9uot1QwvQGEucp&#10;FMjotKrz8Xw6hs36UgeyYxDGajXAr7/ZH2m59pLFpssroT5NW/SRyenoyNba1XcgM7hOZdHzlcL5&#10;KxbTDQuQFS6KwUvXWKR2uL3rLUoaF77+az/n47URpaSFTNHZly0LghL93kIHb4fjMWBTccYnpyM4&#10;4Wlk/TRit+bSoeEhRtzzYub8pB9MGZz5jPlc5KoIMctRu+Owdy5TNz6YcC4Wi5IGLXuWruyt5xm8&#10;e6nFNjmpyiM+stOTBjUXGfSTl8flqV+yHr82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3ClDD&#10;1QAAAAgBAAAPAAAAAAAAAAEAIAAAACIAAABkcnMvZG93bnJldi54bWxQSwECFAAUAAAACACHTuJA&#10;1Xlxpl0CAAC1BAAADgAAAAAAAAABACAAAAAkAQAAZHJzL2Uyb0RvYy54bWxQSwUGAAAAAAYABgBZ&#10;AQAA8wUAAAAA&#10;">
                <v:fill on="f" focussize="0,0"/>
                <v:stroke weight="1pt" color="#FF0000 [3204]" joinstyle="round"/>
                <v:imagedata o:title=""/>
                <o:lock v:ext="edit" aspectratio="f"/>
              </v:rect>
            </w:pict>
          </mc:Fallback>
        </mc:AlternateContent>
      </w:r>
    </w:p>
    <w:p w14:paraId="08D3976F">
      <w:pPr>
        <w:pStyle w:val="26"/>
        <w:keepLines w:val="0"/>
        <w:pageBreakBefore w:val="0"/>
        <w:widowControl w:val="0"/>
        <w:kinsoku/>
        <w:wordWrap/>
        <w:topLinePunct w:val="0"/>
        <w:autoSpaceDE/>
        <w:autoSpaceDN/>
        <w:bidi w:val="0"/>
        <w:adjustRightInd/>
        <w:spacing w:line="240" w:lineRule="auto"/>
        <w:ind w:left="0" w:leftChars="0"/>
        <w:textAlignment w:val="auto"/>
        <w:rPr>
          <w:rFonts w:hint="default"/>
          <w:lang w:val="en-US" w:eastAsia="zh-CN"/>
        </w:rPr>
      </w:pPr>
      <w:r>
        <w:rPr>
          <w:sz w:val="21"/>
        </w:rPr>
        <mc:AlternateContent>
          <mc:Choice Requires="wps">
            <w:drawing>
              <wp:anchor distT="0" distB="0" distL="114300" distR="114300" simplePos="0" relativeHeight="251678720" behindDoc="0" locked="0" layoutInCell="1" allowOverlap="1">
                <wp:simplePos x="0" y="0"/>
                <wp:positionH relativeFrom="column">
                  <wp:posOffset>3342005</wp:posOffset>
                </wp:positionH>
                <wp:positionV relativeFrom="paragraph">
                  <wp:posOffset>60960</wp:posOffset>
                </wp:positionV>
                <wp:extent cx="132715" cy="132715"/>
                <wp:effectExtent l="6350" t="6350" r="13335" b="13335"/>
                <wp:wrapNone/>
                <wp:docPr id="17" name="椭圆 17"/>
                <wp:cNvGraphicFramePr/>
                <a:graphic xmlns:a="http://schemas.openxmlformats.org/drawingml/2006/main">
                  <a:graphicData uri="http://schemas.microsoft.com/office/word/2010/wordprocessingShape">
                    <wps:wsp>
                      <wps:cNvSpPr/>
                      <wps:spPr>
                        <a:xfrm>
                          <a:off x="0" y="0"/>
                          <a:ext cx="132715" cy="132715"/>
                        </a:xfrm>
                        <a:prstGeom prst="ellipse">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3.15pt;margin-top:4.8pt;height:10.45pt;width:10.45pt;z-index:251678720;v-text-anchor:middle;mso-width-relative:page;mso-height-relative:page;" filled="f" stroked="t" coordsize="21600,21600" o:gfxdata="UEsDBAoAAAAAAIdO4kAAAAAAAAAAAAAAAAAEAAAAZHJzL1BLAwQUAAAACACHTuJA24fcN9cAAAAI&#10;AQAADwAAAGRycy9kb3ducmV2LnhtbE2PzU7DMBCE70i8g7VI3KjdBKcQ4lQqKAckLhQewIk3PyJe&#10;h9hNCk+POcFxNKOZb4r92Y5swdkPjhRsNwIYUuPMQJ2C97fq5g6YD5qMHh2hgi/0sC8vLwqdG7fS&#10;Ky7H0LFYQj7XCvoQppxz3/Rotd+4CSl6rZutDlHOHTezXmO5HXkiRMatHigu9HrCxx6bj+PJKvhO&#10;dulztTy1dVa1+LJ+ysNBSqWur7biAVjAc/gLwy9+RIcyMtXuRMazUYFMsjRGFdxnwKIvb3cJsFpB&#10;KiTwsuD/D5Q/UEsDBBQAAAAIAIdO4kDAi9GoXAIAALgEAAAOAAAAZHJzL2Uyb0RvYy54bWytVMtu&#10;EzEU3SPxD5b3dJLQEhg1qaJEQUgVrRQQa8djZyz5he1kUj6Ar2DJls+C7+DYM31QWHRBFs59+fqe&#10;c++d84uj0eQgQlTOzuj4ZESJsNw1yu5m9OOH9YvXlMTEbMO0s2JGb0SkF/Pnz847X4uJa51uRCBI&#10;YmPd+RltU/J1VUXeCsPiifPCwildMCxBDbuqCaxDdqOryWj0qupcaHxwXMQI66p30iFjeEpCJ6Xi&#10;YuX43gib+qxBaJYAKbbKRzov1UopeLqSMopE9IwCaSonHoG8zWc1P2f1LjDfKj6UwJ5SwiNMhimL&#10;R+9SrVhiZB/UX6mM4sFFJ9MJd6bqgRRGgGI8esTNpmVeFCygOvo70uP/S8vfH64DUQ0mYUqJZQYd&#10;//X9x89vXwkMYKfzsUbQxl+HQYsQM9SjDCb/AwQ5FkZv7hgVx0Q4jOOXk+n4jBIO1yAjS3V/2YeY&#10;3gpnSBZmVGiN9mXMrGaHy5j66NuobLZurbSGndXakg55J9MR2skZhlFiCCAaD0DR7ihheocp5ymU&#10;lNFp1eTr+XYMu+1SB3JgmI31eoRfBozi/gjLb69YbPu44hrCtEV05qdnJEtb19yAz+D6QYuerxXu&#10;X7KYrlnAZKFQ7F66wiG1Q/VukChpXfjyL3uOR8PhpaTDpALZ5z0LghL9zmIU3oxPT/NoF+X0bDqB&#10;Eh56tg89dm+WDoDH2HLPi5jjk74VZXDmE1Z0kV+Fi1mOt3sOB2WZ+g3CknOxWJQwjLNn6dJuPM/J&#10;+04t9slJVZp4z85AGga6kD0sX96Yh3qJuv/gz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24fc&#10;N9cAAAAIAQAADwAAAAAAAAABACAAAAAiAAAAZHJzL2Rvd25yZXYueG1sUEsBAhQAFAAAAAgAh07i&#10;QMCL0ahcAgAAuAQAAA4AAAAAAAAAAQAgAAAAJgEAAGRycy9lMm9Eb2MueG1sUEsFBgAAAAAGAAYA&#10;WQEAAPQFAAAAAA==&#10;">
                <v:fill on="f" focussize="0,0"/>
                <v:stroke weight="1pt" color="#FF0000 [3204]" joinstyle="round"/>
                <v:imagedata o:title=""/>
                <o:lock v:ext="edit" aspectratio="f"/>
              </v:shape>
            </w:pict>
          </mc:Fallback>
        </mc:AlternateContent>
      </w:r>
    </w:p>
    <w:p w14:paraId="25F9BD96">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p w14:paraId="238E0242">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p w14:paraId="308A0BB5">
      <w:pPr>
        <w:rPr>
          <w:rFonts w:hint="default"/>
          <w:lang w:val="en-US" w:eastAsia="zh-CN"/>
        </w:rPr>
      </w:pPr>
    </w:p>
    <w:p w14:paraId="537545A1">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leftChars="0" w:firstLine="0" w:firstLineChars="0"/>
        <w:jc w:val="center"/>
        <w:textAlignment w:val="auto"/>
        <w:rPr>
          <w:rFonts w:hint="default"/>
          <w:lang w:val="en-US" w:eastAsia="zh-CN"/>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附图4厂区平面布置图</w:t>
      </w:r>
    </w:p>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Cambria">
    <w:panose1 w:val="02040503050406030204"/>
    <w:charset w:val="00"/>
    <w:family w:val="auto"/>
    <w:pitch w:val="default"/>
    <w:sig w:usb0="E00006FF" w:usb1="420024FF" w:usb2="02000000" w:usb3="00000000" w:csb0="2000019F"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new times roma">
    <w:altName w:val="Times New Roman"/>
    <w:panose1 w:val="00000000000000000000"/>
    <w:charset w:val="00"/>
    <w:family w:val="auto"/>
    <w:pitch w:val="default"/>
    <w:sig w:usb0="00000000" w:usb1="00000000" w:usb2="00000000"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imes New Roman Regular">
    <w:altName w:val="Times New Roman"/>
    <w:panose1 w:val="02020503050405090304"/>
    <w:charset w:val="00"/>
    <w:family w:val="auto"/>
    <w:pitch w:val="default"/>
    <w:sig w:usb0="00000000" w:usb1="00000000" w:usb2="00000001" w:usb3="00000000" w:csb0="4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7ABC5">
    <w:pPr>
      <w:pStyle w:val="19"/>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DE869">
    <w:pPr>
      <w:pStyle w:val="19"/>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E8C34F">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50E8C34F">
                    <w:pPr>
                      <w:pStyle w:val="19"/>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1717F">
    <w:pPr>
      <w:pStyle w:val="19"/>
      <w:tabs>
        <w:tab w:val="center" w:pos="4121"/>
        <w:tab w:val="clear" w:pos="4153"/>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A884B3">
                          <w:pPr>
                            <w:pStyle w:val="19"/>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1CA884B3">
                    <w:pPr>
                      <w:pStyle w:val="19"/>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C9E9D">
    <w:pPr>
      <w:pStyle w:val="19"/>
      <w:tabs>
        <w:tab w:val="center" w:pos="4121"/>
        <w:tab w:val="clear" w:pos="4153"/>
        <w:tab w:val="clear" w:pos="8306"/>
      </w:tabs>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4A80B1">
                          <w:pPr>
                            <w:pStyle w:val="19"/>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594A80B1">
                    <w:pPr>
                      <w:pStyle w:val="19"/>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F8ED4F"/>
    <w:multiLevelType w:val="singleLevel"/>
    <w:tmpl w:val="A2F8ED4F"/>
    <w:lvl w:ilvl="0" w:tentative="0">
      <w:start w:val="2"/>
      <w:numFmt w:val="decimal"/>
      <w:pStyle w:val="136"/>
      <w:suff w:val="nothing"/>
      <w:lvlText w:val="（%1）"/>
      <w:lvlJc w:val="left"/>
    </w:lvl>
  </w:abstractNum>
  <w:abstractNum w:abstractNumId="1">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2">
    <w:nsid w:val="47C032C3"/>
    <w:multiLevelType w:val="singleLevel"/>
    <w:tmpl w:val="47C032C3"/>
    <w:lvl w:ilvl="0" w:tentative="0">
      <w:start w:val="1"/>
      <w:numFmt w:val="decimal"/>
      <w:suff w:val="nothing"/>
      <w:lvlText w:val="%1、"/>
      <w:lvlJc w:val="left"/>
    </w:lvl>
  </w:abstractNum>
  <w:abstractNum w:abstractNumId="3">
    <w:nsid w:val="4FFD0C1F"/>
    <w:multiLevelType w:val="singleLevel"/>
    <w:tmpl w:val="4FFD0C1F"/>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A3ZDEzYTcyZWRiOGYyNzJkZjRjYTAzZDg0ODNmY2UifQ=="/>
  </w:docVars>
  <w:rsids>
    <w:rsidRoot w:val="00172A27"/>
    <w:rsid w:val="00001CED"/>
    <w:rsid w:val="00001E67"/>
    <w:rsid w:val="00003CD8"/>
    <w:rsid w:val="00014965"/>
    <w:rsid w:val="0001523A"/>
    <w:rsid w:val="00016ECB"/>
    <w:rsid w:val="000269F6"/>
    <w:rsid w:val="00031939"/>
    <w:rsid w:val="00032D25"/>
    <w:rsid w:val="0005219D"/>
    <w:rsid w:val="0005568F"/>
    <w:rsid w:val="00060C6A"/>
    <w:rsid w:val="0006153D"/>
    <w:rsid w:val="00061B1F"/>
    <w:rsid w:val="000664DB"/>
    <w:rsid w:val="00066EBC"/>
    <w:rsid w:val="000701C4"/>
    <w:rsid w:val="0007127D"/>
    <w:rsid w:val="00071AE5"/>
    <w:rsid w:val="00074783"/>
    <w:rsid w:val="000763E4"/>
    <w:rsid w:val="00076D34"/>
    <w:rsid w:val="000801E0"/>
    <w:rsid w:val="00082A29"/>
    <w:rsid w:val="0008331D"/>
    <w:rsid w:val="00083C18"/>
    <w:rsid w:val="00092899"/>
    <w:rsid w:val="00097F13"/>
    <w:rsid w:val="000A002F"/>
    <w:rsid w:val="000A178E"/>
    <w:rsid w:val="000A557E"/>
    <w:rsid w:val="000B058F"/>
    <w:rsid w:val="000B44D3"/>
    <w:rsid w:val="000B693F"/>
    <w:rsid w:val="000C09AC"/>
    <w:rsid w:val="000C0A63"/>
    <w:rsid w:val="000C437E"/>
    <w:rsid w:val="000E5F16"/>
    <w:rsid w:val="000F4452"/>
    <w:rsid w:val="000F6DA1"/>
    <w:rsid w:val="000F6F68"/>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86BF0"/>
    <w:rsid w:val="0019146B"/>
    <w:rsid w:val="00193414"/>
    <w:rsid w:val="00194398"/>
    <w:rsid w:val="001A64C4"/>
    <w:rsid w:val="001A7D2A"/>
    <w:rsid w:val="001B574C"/>
    <w:rsid w:val="001C0AF9"/>
    <w:rsid w:val="001C155A"/>
    <w:rsid w:val="001C48C0"/>
    <w:rsid w:val="001C66E0"/>
    <w:rsid w:val="001D1BE5"/>
    <w:rsid w:val="001D6726"/>
    <w:rsid w:val="001E600B"/>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03F39"/>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665D"/>
    <w:rsid w:val="003E7681"/>
    <w:rsid w:val="003F0809"/>
    <w:rsid w:val="003F611C"/>
    <w:rsid w:val="003F6A92"/>
    <w:rsid w:val="003F755C"/>
    <w:rsid w:val="00406F01"/>
    <w:rsid w:val="00411B36"/>
    <w:rsid w:val="00411CA3"/>
    <w:rsid w:val="004121D7"/>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D6899"/>
    <w:rsid w:val="004E43BF"/>
    <w:rsid w:val="004E5B30"/>
    <w:rsid w:val="004E7D88"/>
    <w:rsid w:val="004F0779"/>
    <w:rsid w:val="004F1230"/>
    <w:rsid w:val="004F173F"/>
    <w:rsid w:val="004F177C"/>
    <w:rsid w:val="004F2DCE"/>
    <w:rsid w:val="005039CB"/>
    <w:rsid w:val="0050558F"/>
    <w:rsid w:val="005057E0"/>
    <w:rsid w:val="00506286"/>
    <w:rsid w:val="00510813"/>
    <w:rsid w:val="00511DE0"/>
    <w:rsid w:val="00515C5E"/>
    <w:rsid w:val="00517F02"/>
    <w:rsid w:val="005221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C088A"/>
    <w:rsid w:val="005D0369"/>
    <w:rsid w:val="005D4603"/>
    <w:rsid w:val="005D53FE"/>
    <w:rsid w:val="005D7A0F"/>
    <w:rsid w:val="005E0438"/>
    <w:rsid w:val="005E1791"/>
    <w:rsid w:val="005E24E7"/>
    <w:rsid w:val="005E2CE6"/>
    <w:rsid w:val="005E6324"/>
    <w:rsid w:val="005F228B"/>
    <w:rsid w:val="005F29CD"/>
    <w:rsid w:val="005F4DFB"/>
    <w:rsid w:val="005F6CC0"/>
    <w:rsid w:val="00603E5B"/>
    <w:rsid w:val="00604BC8"/>
    <w:rsid w:val="00615B4C"/>
    <w:rsid w:val="00615B5D"/>
    <w:rsid w:val="0062146F"/>
    <w:rsid w:val="00627E6B"/>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B6D1F"/>
    <w:rsid w:val="006C3F75"/>
    <w:rsid w:val="006D170E"/>
    <w:rsid w:val="006E06AF"/>
    <w:rsid w:val="006F1789"/>
    <w:rsid w:val="00706C5D"/>
    <w:rsid w:val="007118E6"/>
    <w:rsid w:val="007225C9"/>
    <w:rsid w:val="00733E26"/>
    <w:rsid w:val="00735CD7"/>
    <w:rsid w:val="00754034"/>
    <w:rsid w:val="00754BF1"/>
    <w:rsid w:val="00755A30"/>
    <w:rsid w:val="00755DF0"/>
    <w:rsid w:val="00755E1C"/>
    <w:rsid w:val="00756556"/>
    <w:rsid w:val="0076132B"/>
    <w:rsid w:val="007623AE"/>
    <w:rsid w:val="00770B19"/>
    <w:rsid w:val="00774FA0"/>
    <w:rsid w:val="00776620"/>
    <w:rsid w:val="00777B6D"/>
    <w:rsid w:val="0078143C"/>
    <w:rsid w:val="00784855"/>
    <w:rsid w:val="00784F39"/>
    <w:rsid w:val="0078545C"/>
    <w:rsid w:val="0078768E"/>
    <w:rsid w:val="007906C4"/>
    <w:rsid w:val="007940EA"/>
    <w:rsid w:val="007967E8"/>
    <w:rsid w:val="007A165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189B"/>
    <w:rsid w:val="00892ECF"/>
    <w:rsid w:val="00892F06"/>
    <w:rsid w:val="00894285"/>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312B"/>
    <w:rsid w:val="00904961"/>
    <w:rsid w:val="0091736D"/>
    <w:rsid w:val="009269A2"/>
    <w:rsid w:val="00931001"/>
    <w:rsid w:val="00931863"/>
    <w:rsid w:val="00933524"/>
    <w:rsid w:val="00936276"/>
    <w:rsid w:val="0094278D"/>
    <w:rsid w:val="00951FEE"/>
    <w:rsid w:val="0095308A"/>
    <w:rsid w:val="00953D9C"/>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0FA4"/>
    <w:rsid w:val="009A72C7"/>
    <w:rsid w:val="009B0897"/>
    <w:rsid w:val="009D0852"/>
    <w:rsid w:val="009D1FBF"/>
    <w:rsid w:val="009D3880"/>
    <w:rsid w:val="009E399C"/>
    <w:rsid w:val="009E43C1"/>
    <w:rsid w:val="009E7E95"/>
    <w:rsid w:val="009F116F"/>
    <w:rsid w:val="009F329E"/>
    <w:rsid w:val="009F5089"/>
    <w:rsid w:val="009F7ED3"/>
    <w:rsid w:val="00A010BF"/>
    <w:rsid w:val="00A03607"/>
    <w:rsid w:val="00A047FF"/>
    <w:rsid w:val="00A04FEF"/>
    <w:rsid w:val="00A122CD"/>
    <w:rsid w:val="00A12A32"/>
    <w:rsid w:val="00A14248"/>
    <w:rsid w:val="00A14947"/>
    <w:rsid w:val="00A1745D"/>
    <w:rsid w:val="00A23DC5"/>
    <w:rsid w:val="00A34028"/>
    <w:rsid w:val="00A35568"/>
    <w:rsid w:val="00A37056"/>
    <w:rsid w:val="00A40483"/>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97848"/>
    <w:rsid w:val="00AA2C17"/>
    <w:rsid w:val="00AA3CEC"/>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0DF2"/>
    <w:rsid w:val="00B21118"/>
    <w:rsid w:val="00B24F30"/>
    <w:rsid w:val="00B31ABF"/>
    <w:rsid w:val="00B32474"/>
    <w:rsid w:val="00B335AE"/>
    <w:rsid w:val="00B37CE1"/>
    <w:rsid w:val="00B40ACF"/>
    <w:rsid w:val="00B46918"/>
    <w:rsid w:val="00B46BAA"/>
    <w:rsid w:val="00B503C6"/>
    <w:rsid w:val="00B50B5F"/>
    <w:rsid w:val="00B54128"/>
    <w:rsid w:val="00B55826"/>
    <w:rsid w:val="00B60426"/>
    <w:rsid w:val="00B622DD"/>
    <w:rsid w:val="00B63522"/>
    <w:rsid w:val="00B76F1D"/>
    <w:rsid w:val="00B92A19"/>
    <w:rsid w:val="00B93F2F"/>
    <w:rsid w:val="00B9544C"/>
    <w:rsid w:val="00B95CDD"/>
    <w:rsid w:val="00BA29E9"/>
    <w:rsid w:val="00BB3618"/>
    <w:rsid w:val="00BC0C9E"/>
    <w:rsid w:val="00BC32DC"/>
    <w:rsid w:val="00BC57CD"/>
    <w:rsid w:val="00BD1B51"/>
    <w:rsid w:val="00BD47F6"/>
    <w:rsid w:val="00BE312D"/>
    <w:rsid w:val="00BE3FCA"/>
    <w:rsid w:val="00BF720C"/>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D79DA"/>
    <w:rsid w:val="00CE02CD"/>
    <w:rsid w:val="00CE10E9"/>
    <w:rsid w:val="00CF3752"/>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E0A62"/>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A6F52"/>
    <w:rsid w:val="00EB041C"/>
    <w:rsid w:val="00EC5874"/>
    <w:rsid w:val="00ED192D"/>
    <w:rsid w:val="00ED30B4"/>
    <w:rsid w:val="00ED31F5"/>
    <w:rsid w:val="00EE538D"/>
    <w:rsid w:val="00EF2759"/>
    <w:rsid w:val="00EF45EB"/>
    <w:rsid w:val="00EF5099"/>
    <w:rsid w:val="00EF5E33"/>
    <w:rsid w:val="00F00075"/>
    <w:rsid w:val="00F07822"/>
    <w:rsid w:val="00F15C95"/>
    <w:rsid w:val="00F22985"/>
    <w:rsid w:val="00F241AB"/>
    <w:rsid w:val="00F31382"/>
    <w:rsid w:val="00F35829"/>
    <w:rsid w:val="00F42868"/>
    <w:rsid w:val="00F44F67"/>
    <w:rsid w:val="00F465A7"/>
    <w:rsid w:val="00F50B7C"/>
    <w:rsid w:val="00F5202D"/>
    <w:rsid w:val="00F52A8D"/>
    <w:rsid w:val="00F52CF6"/>
    <w:rsid w:val="00F54496"/>
    <w:rsid w:val="00F61097"/>
    <w:rsid w:val="00F74345"/>
    <w:rsid w:val="00F74441"/>
    <w:rsid w:val="00F77F30"/>
    <w:rsid w:val="00F82589"/>
    <w:rsid w:val="00F82B19"/>
    <w:rsid w:val="00F90AA7"/>
    <w:rsid w:val="00F9212D"/>
    <w:rsid w:val="00FA301A"/>
    <w:rsid w:val="00FA406A"/>
    <w:rsid w:val="00FA5CB6"/>
    <w:rsid w:val="00FC3E1B"/>
    <w:rsid w:val="00FC66AC"/>
    <w:rsid w:val="00FD18F4"/>
    <w:rsid w:val="00FD74B4"/>
    <w:rsid w:val="00FF6FCE"/>
    <w:rsid w:val="00FF7518"/>
    <w:rsid w:val="00FF7FD8"/>
    <w:rsid w:val="01010593"/>
    <w:rsid w:val="01017684"/>
    <w:rsid w:val="01020556"/>
    <w:rsid w:val="010351AA"/>
    <w:rsid w:val="010A6538"/>
    <w:rsid w:val="01134188"/>
    <w:rsid w:val="01161381"/>
    <w:rsid w:val="01192C1F"/>
    <w:rsid w:val="011A24F4"/>
    <w:rsid w:val="011B6997"/>
    <w:rsid w:val="011C62C9"/>
    <w:rsid w:val="01211AD4"/>
    <w:rsid w:val="012D0479"/>
    <w:rsid w:val="012F41F1"/>
    <w:rsid w:val="01323CE1"/>
    <w:rsid w:val="01415CD2"/>
    <w:rsid w:val="014468F6"/>
    <w:rsid w:val="01483505"/>
    <w:rsid w:val="014852B3"/>
    <w:rsid w:val="014F219D"/>
    <w:rsid w:val="014F4893"/>
    <w:rsid w:val="01505F15"/>
    <w:rsid w:val="0151367A"/>
    <w:rsid w:val="01527EDF"/>
    <w:rsid w:val="015E6884"/>
    <w:rsid w:val="01610122"/>
    <w:rsid w:val="016539DF"/>
    <w:rsid w:val="01697764"/>
    <w:rsid w:val="016D6AC7"/>
    <w:rsid w:val="0176597C"/>
    <w:rsid w:val="017C6910"/>
    <w:rsid w:val="017D31AE"/>
    <w:rsid w:val="01804A4C"/>
    <w:rsid w:val="018362EB"/>
    <w:rsid w:val="018B32D0"/>
    <w:rsid w:val="01910A08"/>
    <w:rsid w:val="019422A6"/>
    <w:rsid w:val="0194674A"/>
    <w:rsid w:val="0196601E"/>
    <w:rsid w:val="019B3634"/>
    <w:rsid w:val="019C0823"/>
    <w:rsid w:val="019F1F35"/>
    <w:rsid w:val="01A3073B"/>
    <w:rsid w:val="01A56261"/>
    <w:rsid w:val="01A717A9"/>
    <w:rsid w:val="01AD5116"/>
    <w:rsid w:val="01B110AA"/>
    <w:rsid w:val="01B30A50"/>
    <w:rsid w:val="01B34E22"/>
    <w:rsid w:val="01B464A4"/>
    <w:rsid w:val="01B666C0"/>
    <w:rsid w:val="01BA61B0"/>
    <w:rsid w:val="01C2082B"/>
    <w:rsid w:val="01C44B91"/>
    <w:rsid w:val="01C7267B"/>
    <w:rsid w:val="01C901A1"/>
    <w:rsid w:val="01CE57B8"/>
    <w:rsid w:val="01D30B9A"/>
    <w:rsid w:val="01D31020"/>
    <w:rsid w:val="01D35E86"/>
    <w:rsid w:val="01D37272"/>
    <w:rsid w:val="01D46B46"/>
    <w:rsid w:val="01D6466C"/>
    <w:rsid w:val="01D803E5"/>
    <w:rsid w:val="01E07299"/>
    <w:rsid w:val="01E62463"/>
    <w:rsid w:val="01E764AF"/>
    <w:rsid w:val="01E9759B"/>
    <w:rsid w:val="01EA0118"/>
    <w:rsid w:val="01EC0334"/>
    <w:rsid w:val="01ED7C29"/>
    <w:rsid w:val="01EF3980"/>
    <w:rsid w:val="01F42D45"/>
    <w:rsid w:val="01FB40D3"/>
    <w:rsid w:val="020411DA"/>
    <w:rsid w:val="02070CCA"/>
    <w:rsid w:val="02077A8A"/>
    <w:rsid w:val="020D4CA4"/>
    <w:rsid w:val="020F7B7E"/>
    <w:rsid w:val="02117D9A"/>
    <w:rsid w:val="0213766F"/>
    <w:rsid w:val="02145195"/>
    <w:rsid w:val="02145238"/>
    <w:rsid w:val="021740F7"/>
    <w:rsid w:val="021A6C4F"/>
    <w:rsid w:val="021E7DCE"/>
    <w:rsid w:val="02217FDE"/>
    <w:rsid w:val="022655F4"/>
    <w:rsid w:val="02290C40"/>
    <w:rsid w:val="02291B07"/>
    <w:rsid w:val="022C24DE"/>
    <w:rsid w:val="022E26FA"/>
    <w:rsid w:val="023A5B99"/>
    <w:rsid w:val="023B0973"/>
    <w:rsid w:val="023B1CD9"/>
    <w:rsid w:val="02441F1E"/>
    <w:rsid w:val="02447828"/>
    <w:rsid w:val="024B6E08"/>
    <w:rsid w:val="025657AD"/>
    <w:rsid w:val="025739FF"/>
    <w:rsid w:val="02581525"/>
    <w:rsid w:val="02595DB9"/>
    <w:rsid w:val="025A704C"/>
    <w:rsid w:val="025D08EA"/>
    <w:rsid w:val="02693733"/>
    <w:rsid w:val="026976F5"/>
    <w:rsid w:val="026C4FD1"/>
    <w:rsid w:val="026E0D49"/>
    <w:rsid w:val="026E2029"/>
    <w:rsid w:val="027125E7"/>
    <w:rsid w:val="02753FD3"/>
    <w:rsid w:val="02756840"/>
    <w:rsid w:val="02783976"/>
    <w:rsid w:val="027A76EE"/>
    <w:rsid w:val="027C5214"/>
    <w:rsid w:val="027E18B7"/>
    <w:rsid w:val="02816E42"/>
    <w:rsid w:val="02821C14"/>
    <w:rsid w:val="02832A46"/>
    <w:rsid w:val="028440C8"/>
    <w:rsid w:val="028916DF"/>
    <w:rsid w:val="02936A01"/>
    <w:rsid w:val="0295277A"/>
    <w:rsid w:val="029C3B08"/>
    <w:rsid w:val="029E562B"/>
    <w:rsid w:val="02A14633"/>
    <w:rsid w:val="02A40196"/>
    <w:rsid w:val="02A76009"/>
    <w:rsid w:val="02A97FD3"/>
    <w:rsid w:val="02AB3D4B"/>
    <w:rsid w:val="02B50726"/>
    <w:rsid w:val="02B56978"/>
    <w:rsid w:val="02B6369A"/>
    <w:rsid w:val="02C40969"/>
    <w:rsid w:val="02C60B85"/>
    <w:rsid w:val="02C941D1"/>
    <w:rsid w:val="02CE4CF7"/>
    <w:rsid w:val="02D54924"/>
    <w:rsid w:val="02D908B8"/>
    <w:rsid w:val="02E2723F"/>
    <w:rsid w:val="02E42DB9"/>
    <w:rsid w:val="02E74049"/>
    <w:rsid w:val="02E80AFB"/>
    <w:rsid w:val="02EA149B"/>
    <w:rsid w:val="02EC0712"/>
    <w:rsid w:val="02EF1E8A"/>
    <w:rsid w:val="02F54FC6"/>
    <w:rsid w:val="02F76F90"/>
    <w:rsid w:val="02FD4D40"/>
    <w:rsid w:val="02FE031F"/>
    <w:rsid w:val="0301396B"/>
    <w:rsid w:val="03031491"/>
    <w:rsid w:val="030D0562"/>
    <w:rsid w:val="031273D2"/>
    <w:rsid w:val="03165668"/>
    <w:rsid w:val="0317318F"/>
    <w:rsid w:val="031C2553"/>
    <w:rsid w:val="03206072"/>
    <w:rsid w:val="03217B69"/>
    <w:rsid w:val="03253AFD"/>
    <w:rsid w:val="032558AB"/>
    <w:rsid w:val="03265180"/>
    <w:rsid w:val="032A1114"/>
    <w:rsid w:val="032C4E8C"/>
    <w:rsid w:val="032D4760"/>
    <w:rsid w:val="032F5C6D"/>
    <w:rsid w:val="03367AB9"/>
    <w:rsid w:val="033710B6"/>
    <w:rsid w:val="03391357"/>
    <w:rsid w:val="03393105"/>
    <w:rsid w:val="033A0C2B"/>
    <w:rsid w:val="033A62E9"/>
    <w:rsid w:val="033C40A2"/>
    <w:rsid w:val="033E071B"/>
    <w:rsid w:val="033E4BBF"/>
    <w:rsid w:val="034321D6"/>
    <w:rsid w:val="03455F4E"/>
    <w:rsid w:val="034A70C0"/>
    <w:rsid w:val="034E72B8"/>
    <w:rsid w:val="035148F2"/>
    <w:rsid w:val="03546191"/>
    <w:rsid w:val="03547F3F"/>
    <w:rsid w:val="035717DD"/>
    <w:rsid w:val="036B7087"/>
    <w:rsid w:val="037212ED"/>
    <w:rsid w:val="03726617"/>
    <w:rsid w:val="0374413D"/>
    <w:rsid w:val="0385634A"/>
    <w:rsid w:val="038A3960"/>
    <w:rsid w:val="038C592B"/>
    <w:rsid w:val="038D3451"/>
    <w:rsid w:val="038D4A2D"/>
    <w:rsid w:val="03927D69"/>
    <w:rsid w:val="039B3DC0"/>
    <w:rsid w:val="039B791C"/>
    <w:rsid w:val="039C407F"/>
    <w:rsid w:val="039C5442"/>
    <w:rsid w:val="03A013D6"/>
    <w:rsid w:val="03A2514E"/>
    <w:rsid w:val="03A72764"/>
    <w:rsid w:val="03B31109"/>
    <w:rsid w:val="03B804CE"/>
    <w:rsid w:val="03B978B9"/>
    <w:rsid w:val="03BB7FBE"/>
    <w:rsid w:val="03C245F7"/>
    <w:rsid w:val="03C42CC6"/>
    <w:rsid w:val="03C9309C"/>
    <w:rsid w:val="03CA6453"/>
    <w:rsid w:val="03CC265C"/>
    <w:rsid w:val="03CD1261"/>
    <w:rsid w:val="03CD1A9F"/>
    <w:rsid w:val="03D41080"/>
    <w:rsid w:val="03D472D2"/>
    <w:rsid w:val="03DF1EFE"/>
    <w:rsid w:val="03DF6A02"/>
    <w:rsid w:val="03E017D2"/>
    <w:rsid w:val="03E54254"/>
    <w:rsid w:val="03E56DE9"/>
    <w:rsid w:val="03E80687"/>
    <w:rsid w:val="03EA43FF"/>
    <w:rsid w:val="03EE0393"/>
    <w:rsid w:val="03EF4CA9"/>
    <w:rsid w:val="03EF5EB9"/>
    <w:rsid w:val="03F56037"/>
    <w:rsid w:val="03F62DA4"/>
    <w:rsid w:val="03FD4132"/>
    <w:rsid w:val="03FE341B"/>
    <w:rsid w:val="03FE4B5C"/>
    <w:rsid w:val="04001FDF"/>
    <w:rsid w:val="040556DD"/>
    <w:rsid w:val="040A4AA1"/>
    <w:rsid w:val="040D5F94"/>
    <w:rsid w:val="040E27E3"/>
    <w:rsid w:val="040E4592"/>
    <w:rsid w:val="04133956"/>
    <w:rsid w:val="041651F4"/>
    <w:rsid w:val="041E22FB"/>
    <w:rsid w:val="04253689"/>
    <w:rsid w:val="042C4A18"/>
    <w:rsid w:val="042E24FA"/>
    <w:rsid w:val="042E253E"/>
    <w:rsid w:val="043A5387"/>
    <w:rsid w:val="043B2EAD"/>
    <w:rsid w:val="043B510F"/>
    <w:rsid w:val="043D09D3"/>
    <w:rsid w:val="043D29C9"/>
    <w:rsid w:val="04553F6E"/>
    <w:rsid w:val="0455536E"/>
    <w:rsid w:val="045B70AB"/>
    <w:rsid w:val="045F2DCA"/>
    <w:rsid w:val="045F6B9B"/>
    <w:rsid w:val="046441B2"/>
    <w:rsid w:val="04673CA2"/>
    <w:rsid w:val="046828E1"/>
    <w:rsid w:val="046B3BE8"/>
    <w:rsid w:val="046C0D5B"/>
    <w:rsid w:val="047343F5"/>
    <w:rsid w:val="04762137"/>
    <w:rsid w:val="04777A0C"/>
    <w:rsid w:val="047C599F"/>
    <w:rsid w:val="04812FB5"/>
    <w:rsid w:val="048B5BE2"/>
    <w:rsid w:val="048D3235"/>
    <w:rsid w:val="048E56D2"/>
    <w:rsid w:val="04912D27"/>
    <w:rsid w:val="0495080F"/>
    <w:rsid w:val="04966335"/>
    <w:rsid w:val="04974587"/>
    <w:rsid w:val="049802FF"/>
    <w:rsid w:val="04984EBD"/>
    <w:rsid w:val="049C1B9D"/>
    <w:rsid w:val="04A3117E"/>
    <w:rsid w:val="04A57341"/>
    <w:rsid w:val="04AC5B58"/>
    <w:rsid w:val="04AE18D1"/>
    <w:rsid w:val="04B30C95"/>
    <w:rsid w:val="04B36EE7"/>
    <w:rsid w:val="04B54A0D"/>
    <w:rsid w:val="04B70785"/>
    <w:rsid w:val="04B80AA3"/>
    <w:rsid w:val="04BF1806"/>
    <w:rsid w:val="04BF763A"/>
    <w:rsid w:val="04C2712A"/>
    <w:rsid w:val="04D255BF"/>
    <w:rsid w:val="04D330E5"/>
    <w:rsid w:val="04DB409D"/>
    <w:rsid w:val="04DC643E"/>
    <w:rsid w:val="04DF250D"/>
    <w:rsid w:val="04E31402"/>
    <w:rsid w:val="04E35A1E"/>
    <w:rsid w:val="04EB042F"/>
    <w:rsid w:val="04ED41A7"/>
    <w:rsid w:val="04F01EE9"/>
    <w:rsid w:val="04F75026"/>
    <w:rsid w:val="04FA6B11"/>
    <w:rsid w:val="04FE4606"/>
    <w:rsid w:val="04FF3EDA"/>
    <w:rsid w:val="05015EA4"/>
    <w:rsid w:val="05017C52"/>
    <w:rsid w:val="05045994"/>
    <w:rsid w:val="05047743"/>
    <w:rsid w:val="050B287F"/>
    <w:rsid w:val="05107E95"/>
    <w:rsid w:val="051A0D14"/>
    <w:rsid w:val="051C683A"/>
    <w:rsid w:val="051E6A56"/>
    <w:rsid w:val="051E7732"/>
    <w:rsid w:val="052027CE"/>
    <w:rsid w:val="05235E1B"/>
    <w:rsid w:val="052954F7"/>
    <w:rsid w:val="052B4CCF"/>
    <w:rsid w:val="052D0A47"/>
    <w:rsid w:val="052D1694"/>
    <w:rsid w:val="052D4EEB"/>
    <w:rsid w:val="05322502"/>
    <w:rsid w:val="0532605E"/>
    <w:rsid w:val="053718C6"/>
    <w:rsid w:val="053C0C8A"/>
    <w:rsid w:val="05404C1F"/>
    <w:rsid w:val="05412745"/>
    <w:rsid w:val="05412FEB"/>
    <w:rsid w:val="05453FE3"/>
    <w:rsid w:val="05464CD5"/>
    <w:rsid w:val="0547556E"/>
    <w:rsid w:val="0548762F"/>
    <w:rsid w:val="054F58B7"/>
    <w:rsid w:val="05557F9E"/>
    <w:rsid w:val="05561E22"/>
    <w:rsid w:val="05575AC4"/>
    <w:rsid w:val="055C18F5"/>
    <w:rsid w:val="055D7941"/>
    <w:rsid w:val="055E7FA4"/>
    <w:rsid w:val="05614B95"/>
    <w:rsid w:val="056401E1"/>
    <w:rsid w:val="05685F23"/>
    <w:rsid w:val="056B77C2"/>
    <w:rsid w:val="056D178C"/>
    <w:rsid w:val="056D3E42"/>
    <w:rsid w:val="056F72DE"/>
    <w:rsid w:val="05742AC8"/>
    <w:rsid w:val="05793C8D"/>
    <w:rsid w:val="057C377D"/>
    <w:rsid w:val="05852BDA"/>
    <w:rsid w:val="058663AA"/>
    <w:rsid w:val="058873D6"/>
    <w:rsid w:val="058979DF"/>
    <w:rsid w:val="058B29E1"/>
    <w:rsid w:val="058B4EAD"/>
    <w:rsid w:val="0591547A"/>
    <w:rsid w:val="05917228"/>
    <w:rsid w:val="05940AC6"/>
    <w:rsid w:val="05942874"/>
    <w:rsid w:val="0596483F"/>
    <w:rsid w:val="059E36F3"/>
    <w:rsid w:val="059E7B97"/>
    <w:rsid w:val="05A50F26"/>
    <w:rsid w:val="05AB5C72"/>
    <w:rsid w:val="05AC4062"/>
    <w:rsid w:val="05B13426"/>
    <w:rsid w:val="05BB6053"/>
    <w:rsid w:val="05C55124"/>
    <w:rsid w:val="05C57BB2"/>
    <w:rsid w:val="05C84C14"/>
    <w:rsid w:val="05CA0CA4"/>
    <w:rsid w:val="05CF7D50"/>
    <w:rsid w:val="05D15877"/>
    <w:rsid w:val="05D2339D"/>
    <w:rsid w:val="05D90BCF"/>
    <w:rsid w:val="05D9472B"/>
    <w:rsid w:val="05ED01D7"/>
    <w:rsid w:val="05EE2510"/>
    <w:rsid w:val="05EE467B"/>
    <w:rsid w:val="05F52F17"/>
    <w:rsid w:val="05F862B3"/>
    <w:rsid w:val="05F902FF"/>
    <w:rsid w:val="05F9301F"/>
    <w:rsid w:val="05FD48BE"/>
    <w:rsid w:val="06055520"/>
    <w:rsid w:val="06057FE3"/>
    <w:rsid w:val="06106C35"/>
    <w:rsid w:val="06127C3D"/>
    <w:rsid w:val="06155DE8"/>
    <w:rsid w:val="0616597F"/>
    <w:rsid w:val="0616772D"/>
    <w:rsid w:val="06174FC9"/>
    <w:rsid w:val="061834A6"/>
    <w:rsid w:val="061A40F4"/>
    <w:rsid w:val="06233BF8"/>
    <w:rsid w:val="062956B3"/>
    <w:rsid w:val="062C51A3"/>
    <w:rsid w:val="062E0F1B"/>
    <w:rsid w:val="062E2CC9"/>
    <w:rsid w:val="062F6A41"/>
    <w:rsid w:val="06305B70"/>
    <w:rsid w:val="0631571D"/>
    <w:rsid w:val="063400E4"/>
    <w:rsid w:val="06352F05"/>
    <w:rsid w:val="0637015B"/>
    <w:rsid w:val="063858F6"/>
    <w:rsid w:val="063B53E6"/>
    <w:rsid w:val="063D115E"/>
    <w:rsid w:val="063E7D85"/>
    <w:rsid w:val="064047AA"/>
    <w:rsid w:val="064222D0"/>
    <w:rsid w:val="06471FDD"/>
    <w:rsid w:val="06472967"/>
    <w:rsid w:val="06475E2A"/>
    <w:rsid w:val="064C13A1"/>
    <w:rsid w:val="06514C09"/>
    <w:rsid w:val="06523C1B"/>
    <w:rsid w:val="06530982"/>
    <w:rsid w:val="06563FCE"/>
    <w:rsid w:val="06587D46"/>
    <w:rsid w:val="0659586C"/>
    <w:rsid w:val="065A4856"/>
    <w:rsid w:val="065B15E4"/>
    <w:rsid w:val="065B7836"/>
    <w:rsid w:val="06604169"/>
    <w:rsid w:val="066606B5"/>
    <w:rsid w:val="06693D01"/>
    <w:rsid w:val="066C559F"/>
    <w:rsid w:val="066E16F3"/>
    <w:rsid w:val="067B57E2"/>
    <w:rsid w:val="067D77AC"/>
    <w:rsid w:val="0680104B"/>
    <w:rsid w:val="06823015"/>
    <w:rsid w:val="06826B71"/>
    <w:rsid w:val="068B1EC9"/>
    <w:rsid w:val="068D62C8"/>
    <w:rsid w:val="068E3768"/>
    <w:rsid w:val="06954AF6"/>
    <w:rsid w:val="069D1BFD"/>
    <w:rsid w:val="069D39AB"/>
    <w:rsid w:val="069D7E4F"/>
    <w:rsid w:val="069E1EDD"/>
    <w:rsid w:val="069F5975"/>
    <w:rsid w:val="06A27213"/>
    <w:rsid w:val="06A42F8B"/>
    <w:rsid w:val="06A44D39"/>
    <w:rsid w:val="06A66D03"/>
    <w:rsid w:val="06BB0913"/>
    <w:rsid w:val="06BB2083"/>
    <w:rsid w:val="06BC02D5"/>
    <w:rsid w:val="06C07699"/>
    <w:rsid w:val="06C12665"/>
    <w:rsid w:val="06C158EB"/>
    <w:rsid w:val="06C62F02"/>
    <w:rsid w:val="06C6670B"/>
    <w:rsid w:val="06C76C7A"/>
    <w:rsid w:val="06C9323D"/>
    <w:rsid w:val="06CB64FF"/>
    <w:rsid w:val="06CC4290"/>
    <w:rsid w:val="06CD24E2"/>
    <w:rsid w:val="06D179D1"/>
    <w:rsid w:val="06D53145"/>
    <w:rsid w:val="06D64D61"/>
    <w:rsid w:val="06DE46EF"/>
    <w:rsid w:val="06E15F8D"/>
    <w:rsid w:val="06E415DA"/>
    <w:rsid w:val="06F04422"/>
    <w:rsid w:val="06F21D26"/>
    <w:rsid w:val="06F23CF7"/>
    <w:rsid w:val="06F7755F"/>
    <w:rsid w:val="06F832D7"/>
    <w:rsid w:val="06FC6923"/>
    <w:rsid w:val="070677A2"/>
    <w:rsid w:val="0708176C"/>
    <w:rsid w:val="070875E0"/>
    <w:rsid w:val="070F2026"/>
    <w:rsid w:val="07100621"/>
    <w:rsid w:val="071023CF"/>
    <w:rsid w:val="07110BA2"/>
    <w:rsid w:val="071A324D"/>
    <w:rsid w:val="071E2D3E"/>
    <w:rsid w:val="07293586"/>
    <w:rsid w:val="07295285"/>
    <w:rsid w:val="072D2F81"/>
    <w:rsid w:val="072D508B"/>
    <w:rsid w:val="072F22BE"/>
    <w:rsid w:val="07306DA6"/>
    <w:rsid w:val="07322345"/>
    <w:rsid w:val="073360BD"/>
    <w:rsid w:val="073443D1"/>
    <w:rsid w:val="073562D9"/>
    <w:rsid w:val="0737795B"/>
    <w:rsid w:val="073A569E"/>
    <w:rsid w:val="073B6467"/>
    <w:rsid w:val="073E518E"/>
    <w:rsid w:val="074107DA"/>
    <w:rsid w:val="07462294"/>
    <w:rsid w:val="07464042"/>
    <w:rsid w:val="07481B68"/>
    <w:rsid w:val="07483BF5"/>
    <w:rsid w:val="074C0E53"/>
    <w:rsid w:val="074E2EF7"/>
    <w:rsid w:val="07500A1D"/>
    <w:rsid w:val="07515272"/>
    <w:rsid w:val="07524795"/>
    <w:rsid w:val="07526D7F"/>
    <w:rsid w:val="075A189C"/>
    <w:rsid w:val="075A5E7B"/>
    <w:rsid w:val="075A7AEE"/>
    <w:rsid w:val="075C7F8E"/>
    <w:rsid w:val="0765096C"/>
    <w:rsid w:val="076B2ECD"/>
    <w:rsid w:val="076D5A73"/>
    <w:rsid w:val="076F6FBB"/>
    <w:rsid w:val="077639A5"/>
    <w:rsid w:val="07770C56"/>
    <w:rsid w:val="07797F74"/>
    <w:rsid w:val="077C1812"/>
    <w:rsid w:val="07812C00"/>
    <w:rsid w:val="07844B53"/>
    <w:rsid w:val="07866B35"/>
    <w:rsid w:val="07893F2F"/>
    <w:rsid w:val="078B5EF9"/>
    <w:rsid w:val="07943F08"/>
    <w:rsid w:val="0794648D"/>
    <w:rsid w:val="07960AD9"/>
    <w:rsid w:val="07A06BA0"/>
    <w:rsid w:val="07A23A55"/>
    <w:rsid w:val="07A56FBB"/>
    <w:rsid w:val="07A64AE1"/>
    <w:rsid w:val="07A66D5A"/>
    <w:rsid w:val="07A73637"/>
    <w:rsid w:val="07A84FDE"/>
    <w:rsid w:val="07AA0EFE"/>
    <w:rsid w:val="07AB20F7"/>
    <w:rsid w:val="07AC5A1F"/>
    <w:rsid w:val="07AF4ECA"/>
    <w:rsid w:val="07B0158F"/>
    <w:rsid w:val="07B01DD8"/>
    <w:rsid w:val="07B12231"/>
    <w:rsid w:val="07B13BB2"/>
    <w:rsid w:val="07B216D8"/>
    <w:rsid w:val="07B23486"/>
    <w:rsid w:val="07B90CB8"/>
    <w:rsid w:val="07B92A66"/>
    <w:rsid w:val="07B96BED"/>
    <w:rsid w:val="07C136C9"/>
    <w:rsid w:val="07C80EFB"/>
    <w:rsid w:val="07CB629E"/>
    <w:rsid w:val="07CC09EB"/>
    <w:rsid w:val="07CD4764"/>
    <w:rsid w:val="07D26499"/>
    <w:rsid w:val="07D7113E"/>
    <w:rsid w:val="07D931AC"/>
    <w:rsid w:val="07D94EB6"/>
    <w:rsid w:val="07D96C64"/>
    <w:rsid w:val="07DD10FF"/>
    <w:rsid w:val="07DD49A7"/>
    <w:rsid w:val="07DE071F"/>
    <w:rsid w:val="07DF4305"/>
    <w:rsid w:val="07E76222"/>
    <w:rsid w:val="07E8334B"/>
    <w:rsid w:val="07E86EA8"/>
    <w:rsid w:val="07ED2710"/>
    <w:rsid w:val="07F13FAE"/>
    <w:rsid w:val="07F27D26"/>
    <w:rsid w:val="07F43A9E"/>
    <w:rsid w:val="07F92E63"/>
    <w:rsid w:val="0802003B"/>
    <w:rsid w:val="08031F33"/>
    <w:rsid w:val="08033CE1"/>
    <w:rsid w:val="080811D8"/>
    <w:rsid w:val="080C528C"/>
    <w:rsid w:val="080F2686"/>
    <w:rsid w:val="08111A6D"/>
    <w:rsid w:val="08114650"/>
    <w:rsid w:val="08123F24"/>
    <w:rsid w:val="081C4DA3"/>
    <w:rsid w:val="081D4626"/>
    <w:rsid w:val="08226344"/>
    <w:rsid w:val="08255A35"/>
    <w:rsid w:val="08262F95"/>
    <w:rsid w:val="08273E74"/>
    <w:rsid w:val="082A5712"/>
    <w:rsid w:val="08316AA1"/>
    <w:rsid w:val="083818D9"/>
    <w:rsid w:val="08387E2F"/>
    <w:rsid w:val="083E2F6B"/>
    <w:rsid w:val="083E4D1A"/>
    <w:rsid w:val="08426486"/>
    <w:rsid w:val="084661C6"/>
    <w:rsid w:val="08470072"/>
    <w:rsid w:val="0848797A"/>
    <w:rsid w:val="084A5DB4"/>
    <w:rsid w:val="084F0A5C"/>
    <w:rsid w:val="084F4E8A"/>
    <w:rsid w:val="085409E1"/>
    <w:rsid w:val="0854453D"/>
    <w:rsid w:val="085D4452"/>
    <w:rsid w:val="086230FE"/>
    <w:rsid w:val="08697415"/>
    <w:rsid w:val="086A3D60"/>
    <w:rsid w:val="086B7B56"/>
    <w:rsid w:val="086D316B"/>
    <w:rsid w:val="086F380C"/>
    <w:rsid w:val="087109F5"/>
    <w:rsid w:val="087A4C54"/>
    <w:rsid w:val="088210AA"/>
    <w:rsid w:val="08850A8D"/>
    <w:rsid w:val="08862D93"/>
    <w:rsid w:val="08872B64"/>
    <w:rsid w:val="08874912"/>
    <w:rsid w:val="08894C98"/>
    <w:rsid w:val="088968DD"/>
    <w:rsid w:val="08923091"/>
    <w:rsid w:val="0898267C"/>
    <w:rsid w:val="08997879"/>
    <w:rsid w:val="08A2174C"/>
    <w:rsid w:val="08A54D99"/>
    <w:rsid w:val="08A92ADB"/>
    <w:rsid w:val="08AC299F"/>
    <w:rsid w:val="08B03E69"/>
    <w:rsid w:val="08B111EB"/>
    <w:rsid w:val="08B576D2"/>
    <w:rsid w:val="08B651F8"/>
    <w:rsid w:val="08BD0334"/>
    <w:rsid w:val="08C05347"/>
    <w:rsid w:val="08C6543B"/>
    <w:rsid w:val="08C91AB8"/>
    <w:rsid w:val="08CA34D3"/>
    <w:rsid w:val="08CE2541"/>
    <w:rsid w:val="08CE42EF"/>
    <w:rsid w:val="08CF1E16"/>
    <w:rsid w:val="08D14FA8"/>
    <w:rsid w:val="08D538D0"/>
    <w:rsid w:val="08D63276"/>
    <w:rsid w:val="08D72F06"/>
    <w:rsid w:val="08DB6A0C"/>
    <w:rsid w:val="08DF474E"/>
    <w:rsid w:val="08E104C7"/>
    <w:rsid w:val="08E92932"/>
    <w:rsid w:val="08F301FA"/>
    <w:rsid w:val="08F53CDB"/>
    <w:rsid w:val="08FA1588"/>
    <w:rsid w:val="08FF094D"/>
    <w:rsid w:val="090158E3"/>
    <w:rsid w:val="090221EB"/>
    <w:rsid w:val="09023F99"/>
    <w:rsid w:val="090C4E18"/>
    <w:rsid w:val="0913264A"/>
    <w:rsid w:val="09153C1F"/>
    <w:rsid w:val="091567F4"/>
    <w:rsid w:val="09197523"/>
    <w:rsid w:val="091C06C1"/>
    <w:rsid w:val="092217DD"/>
    <w:rsid w:val="09240154"/>
    <w:rsid w:val="09265BCD"/>
    <w:rsid w:val="092B7C9F"/>
    <w:rsid w:val="09300B06"/>
    <w:rsid w:val="09300E18"/>
    <w:rsid w:val="09307AB0"/>
    <w:rsid w:val="093525C0"/>
    <w:rsid w:val="09363922"/>
    <w:rsid w:val="09371E95"/>
    <w:rsid w:val="093A7294"/>
    <w:rsid w:val="093F343F"/>
    <w:rsid w:val="09401129"/>
    <w:rsid w:val="09414AC1"/>
    <w:rsid w:val="09442803"/>
    <w:rsid w:val="094648A7"/>
    <w:rsid w:val="094B5940"/>
    <w:rsid w:val="094D5D1D"/>
    <w:rsid w:val="095011A8"/>
    <w:rsid w:val="09510A7C"/>
    <w:rsid w:val="095742E5"/>
    <w:rsid w:val="095C7B4D"/>
    <w:rsid w:val="095E38C5"/>
    <w:rsid w:val="09615163"/>
    <w:rsid w:val="09652EA6"/>
    <w:rsid w:val="0969226A"/>
    <w:rsid w:val="09694018"/>
    <w:rsid w:val="096D3B08"/>
    <w:rsid w:val="09714A80"/>
    <w:rsid w:val="09714C67"/>
    <w:rsid w:val="097A7FD3"/>
    <w:rsid w:val="098350DA"/>
    <w:rsid w:val="0984611E"/>
    <w:rsid w:val="098470A4"/>
    <w:rsid w:val="09886B94"/>
    <w:rsid w:val="098B0432"/>
    <w:rsid w:val="098B21E0"/>
    <w:rsid w:val="098C5B93"/>
    <w:rsid w:val="098E3A7F"/>
    <w:rsid w:val="098F7F23"/>
    <w:rsid w:val="099168C1"/>
    <w:rsid w:val="099217C1"/>
    <w:rsid w:val="09926E4D"/>
    <w:rsid w:val="099346C1"/>
    <w:rsid w:val="099948FD"/>
    <w:rsid w:val="099A2423"/>
    <w:rsid w:val="099A310A"/>
    <w:rsid w:val="099E0166"/>
    <w:rsid w:val="099F7A3A"/>
    <w:rsid w:val="09A137B2"/>
    <w:rsid w:val="09A17C56"/>
    <w:rsid w:val="09A35B15"/>
    <w:rsid w:val="09AA1703"/>
    <w:rsid w:val="09AE7545"/>
    <w:rsid w:val="09B41737"/>
    <w:rsid w:val="09BB6819"/>
    <w:rsid w:val="09BE1A52"/>
    <w:rsid w:val="09BE4364"/>
    <w:rsid w:val="09C0187F"/>
    <w:rsid w:val="09C120A6"/>
    <w:rsid w:val="09C53944"/>
    <w:rsid w:val="09C6146A"/>
    <w:rsid w:val="09C65D3C"/>
    <w:rsid w:val="09C851E3"/>
    <w:rsid w:val="09C94AB7"/>
    <w:rsid w:val="09D121EF"/>
    <w:rsid w:val="09D122E9"/>
    <w:rsid w:val="09D65B51"/>
    <w:rsid w:val="09DA6CC4"/>
    <w:rsid w:val="09DB3C13"/>
    <w:rsid w:val="09DE2882"/>
    <w:rsid w:val="09DF68E3"/>
    <w:rsid w:val="09E0077E"/>
    <w:rsid w:val="09E35B78"/>
    <w:rsid w:val="09E518F1"/>
    <w:rsid w:val="09E60BF4"/>
    <w:rsid w:val="09E75B73"/>
    <w:rsid w:val="09EA33AB"/>
    <w:rsid w:val="09EB0ED1"/>
    <w:rsid w:val="09EB65C7"/>
    <w:rsid w:val="09EF466A"/>
    <w:rsid w:val="09F77876"/>
    <w:rsid w:val="09FC4E8C"/>
    <w:rsid w:val="09FF584F"/>
    <w:rsid w:val="0A026946"/>
    <w:rsid w:val="0A083831"/>
    <w:rsid w:val="0A0A75A9"/>
    <w:rsid w:val="0A0B50CF"/>
    <w:rsid w:val="0A173A74"/>
    <w:rsid w:val="0A1755E4"/>
    <w:rsid w:val="0A1B7FBE"/>
    <w:rsid w:val="0A1C108A"/>
    <w:rsid w:val="0A1E3055"/>
    <w:rsid w:val="0A287A2F"/>
    <w:rsid w:val="0A2C39C3"/>
    <w:rsid w:val="0A392EC5"/>
    <w:rsid w:val="0A3D5178"/>
    <w:rsid w:val="0A40121D"/>
    <w:rsid w:val="0A430D0D"/>
    <w:rsid w:val="0A4707FD"/>
    <w:rsid w:val="0A4D1921"/>
    <w:rsid w:val="0A560A40"/>
    <w:rsid w:val="0A56459C"/>
    <w:rsid w:val="0A5847B8"/>
    <w:rsid w:val="0A595E3B"/>
    <w:rsid w:val="0A621193"/>
    <w:rsid w:val="0A634F0B"/>
    <w:rsid w:val="0A650C83"/>
    <w:rsid w:val="0A682522"/>
    <w:rsid w:val="0A6B77AC"/>
    <w:rsid w:val="0A6C2012"/>
    <w:rsid w:val="0A6D18E6"/>
    <w:rsid w:val="0A6D7B38"/>
    <w:rsid w:val="0A742C74"/>
    <w:rsid w:val="0A762E91"/>
    <w:rsid w:val="0A7964DD"/>
    <w:rsid w:val="0A7C2668"/>
    <w:rsid w:val="0A801619"/>
    <w:rsid w:val="0A80786B"/>
    <w:rsid w:val="0A8530D4"/>
    <w:rsid w:val="0A8A2498"/>
    <w:rsid w:val="0A8E01DA"/>
    <w:rsid w:val="0A8F3F52"/>
    <w:rsid w:val="0A8F5D00"/>
    <w:rsid w:val="0A960E3D"/>
    <w:rsid w:val="0A981059"/>
    <w:rsid w:val="0A9B6453"/>
    <w:rsid w:val="0AA03A6A"/>
    <w:rsid w:val="0AA413E9"/>
    <w:rsid w:val="0AA51080"/>
    <w:rsid w:val="0AA6225D"/>
    <w:rsid w:val="0AAB0D8C"/>
    <w:rsid w:val="0AB7712F"/>
    <w:rsid w:val="0ABB4D47"/>
    <w:rsid w:val="0ABD286D"/>
    <w:rsid w:val="0AC012A3"/>
    <w:rsid w:val="0AC05DC1"/>
    <w:rsid w:val="0AC86757"/>
    <w:rsid w:val="0ACB4F8A"/>
    <w:rsid w:val="0ACB6BE6"/>
    <w:rsid w:val="0ACD14A9"/>
    <w:rsid w:val="0ACE05D7"/>
    <w:rsid w:val="0AD028F9"/>
    <w:rsid w:val="0AD33E3F"/>
    <w:rsid w:val="0AD630BE"/>
    <w:rsid w:val="0AD96F7B"/>
    <w:rsid w:val="0ADB0F46"/>
    <w:rsid w:val="0ADC6C9F"/>
    <w:rsid w:val="0ADD081A"/>
    <w:rsid w:val="0ADE5D3C"/>
    <w:rsid w:val="0AE41BA8"/>
    <w:rsid w:val="0AE53B72"/>
    <w:rsid w:val="0AE71698"/>
    <w:rsid w:val="0AEB5587"/>
    <w:rsid w:val="0AEC6CAF"/>
    <w:rsid w:val="0AF02C43"/>
    <w:rsid w:val="0AF049F1"/>
    <w:rsid w:val="0AF40E28"/>
    <w:rsid w:val="0AFA13CC"/>
    <w:rsid w:val="0AFA761E"/>
    <w:rsid w:val="0B01749D"/>
    <w:rsid w:val="0B024724"/>
    <w:rsid w:val="0B04049C"/>
    <w:rsid w:val="0B04224A"/>
    <w:rsid w:val="0B043FF8"/>
    <w:rsid w:val="0B0C7351"/>
    <w:rsid w:val="0B116715"/>
    <w:rsid w:val="0B1306DF"/>
    <w:rsid w:val="0B136931"/>
    <w:rsid w:val="0B187AA4"/>
    <w:rsid w:val="0B1D330C"/>
    <w:rsid w:val="0B2430EF"/>
    <w:rsid w:val="0B24469B"/>
    <w:rsid w:val="0B2510BA"/>
    <w:rsid w:val="0B2621C1"/>
    <w:rsid w:val="0B27418B"/>
    <w:rsid w:val="0B2C354F"/>
    <w:rsid w:val="0B2D1895"/>
    <w:rsid w:val="0B2D220D"/>
    <w:rsid w:val="0B316DB7"/>
    <w:rsid w:val="0B3B0A82"/>
    <w:rsid w:val="0B424B21"/>
    <w:rsid w:val="0B464611"/>
    <w:rsid w:val="0B494101"/>
    <w:rsid w:val="0B584344"/>
    <w:rsid w:val="0B5A3A72"/>
    <w:rsid w:val="0B5D195B"/>
    <w:rsid w:val="0B5F1B77"/>
    <w:rsid w:val="0B5F56D3"/>
    <w:rsid w:val="0B626F71"/>
    <w:rsid w:val="0B646908"/>
    <w:rsid w:val="0B696551"/>
    <w:rsid w:val="0B6E3B68"/>
    <w:rsid w:val="0B723658"/>
    <w:rsid w:val="0B73117E"/>
    <w:rsid w:val="0B745622"/>
    <w:rsid w:val="0B7A4555"/>
    <w:rsid w:val="0B84338B"/>
    <w:rsid w:val="0B84410E"/>
    <w:rsid w:val="0B870F82"/>
    <w:rsid w:val="0B974E6D"/>
    <w:rsid w:val="0B9A495D"/>
    <w:rsid w:val="0B9F6417"/>
    <w:rsid w:val="0BA43585"/>
    <w:rsid w:val="0BA47589"/>
    <w:rsid w:val="0BA74B97"/>
    <w:rsid w:val="0BAD4690"/>
    <w:rsid w:val="0BB21CA6"/>
    <w:rsid w:val="0BB94E6C"/>
    <w:rsid w:val="0BBF6171"/>
    <w:rsid w:val="0BC1013B"/>
    <w:rsid w:val="0BC55E7E"/>
    <w:rsid w:val="0BC8311D"/>
    <w:rsid w:val="0BD27BF6"/>
    <w:rsid w:val="0BD3667B"/>
    <w:rsid w:val="0BD460C1"/>
    <w:rsid w:val="0BD7795F"/>
    <w:rsid w:val="0BD845F9"/>
    <w:rsid w:val="0BD94AAC"/>
    <w:rsid w:val="0BD95485"/>
    <w:rsid w:val="0BDA11FD"/>
    <w:rsid w:val="0BDC31C7"/>
    <w:rsid w:val="0BE1258C"/>
    <w:rsid w:val="0BE67BA2"/>
    <w:rsid w:val="0BE856C8"/>
    <w:rsid w:val="0BF422BF"/>
    <w:rsid w:val="0BF978D5"/>
    <w:rsid w:val="0BFA364D"/>
    <w:rsid w:val="0C085D6A"/>
    <w:rsid w:val="0C0B7609"/>
    <w:rsid w:val="0C107BA8"/>
    <w:rsid w:val="0C1110C3"/>
    <w:rsid w:val="0C14470F"/>
    <w:rsid w:val="0C1464BD"/>
    <w:rsid w:val="0C186B5B"/>
    <w:rsid w:val="0C193AD3"/>
    <w:rsid w:val="0C1A784C"/>
    <w:rsid w:val="0C1B3CF0"/>
    <w:rsid w:val="0C1E0947"/>
    <w:rsid w:val="0C1E558E"/>
    <w:rsid w:val="0C216E2C"/>
    <w:rsid w:val="0C2529C5"/>
    <w:rsid w:val="0C260CA9"/>
    <w:rsid w:val="0C261DCE"/>
    <w:rsid w:val="0C2661F0"/>
    <w:rsid w:val="0C280B07"/>
    <w:rsid w:val="0C2A5CE1"/>
    <w:rsid w:val="0C300E1D"/>
    <w:rsid w:val="0C324046"/>
    <w:rsid w:val="0C344DB1"/>
    <w:rsid w:val="0C357A56"/>
    <w:rsid w:val="0C3628D7"/>
    <w:rsid w:val="0C364685"/>
    <w:rsid w:val="0C3B0317"/>
    <w:rsid w:val="0C4274CE"/>
    <w:rsid w:val="0C4D19CF"/>
    <w:rsid w:val="0C4F3999"/>
    <w:rsid w:val="0C517711"/>
    <w:rsid w:val="0C523489"/>
    <w:rsid w:val="0C542E4F"/>
    <w:rsid w:val="0C55370B"/>
    <w:rsid w:val="0C57776C"/>
    <w:rsid w:val="0C5B40EC"/>
    <w:rsid w:val="0C62191E"/>
    <w:rsid w:val="0C645AF4"/>
    <w:rsid w:val="0C662A91"/>
    <w:rsid w:val="0C6A07D3"/>
    <w:rsid w:val="0C6A432F"/>
    <w:rsid w:val="0C6D3E1F"/>
    <w:rsid w:val="0C6F1945"/>
    <w:rsid w:val="0C716BA6"/>
    <w:rsid w:val="0C721436"/>
    <w:rsid w:val="0C735804"/>
    <w:rsid w:val="0C7B02EA"/>
    <w:rsid w:val="0C7B653C"/>
    <w:rsid w:val="0C7D22B4"/>
    <w:rsid w:val="0C7E65A6"/>
    <w:rsid w:val="0C825DB1"/>
    <w:rsid w:val="0C886EAB"/>
    <w:rsid w:val="0C8A2C23"/>
    <w:rsid w:val="0C8A49D1"/>
    <w:rsid w:val="0C8C63AB"/>
    <w:rsid w:val="0C8D626F"/>
    <w:rsid w:val="0C9615C8"/>
    <w:rsid w:val="0C965124"/>
    <w:rsid w:val="0C9910B8"/>
    <w:rsid w:val="0C9E00D7"/>
    <w:rsid w:val="0C9E02D7"/>
    <w:rsid w:val="0C9E047D"/>
    <w:rsid w:val="0CA35A93"/>
    <w:rsid w:val="0CA43CE5"/>
    <w:rsid w:val="0CA44632"/>
    <w:rsid w:val="0CA75159"/>
    <w:rsid w:val="0CAB4505"/>
    <w:rsid w:val="0CAD06C0"/>
    <w:rsid w:val="0CAF4438"/>
    <w:rsid w:val="0CB101B0"/>
    <w:rsid w:val="0CB11F59"/>
    <w:rsid w:val="0CB437FC"/>
    <w:rsid w:val="0CB67574"/>
    <w:rsid w:val="0CBB102F"/>
    <w:rsid w:val="0CBB4B8B"/>
    <w:rsid w:val="0CBD4DA7"/>
    <w:rsid w:val="0CC223BD"/>
    <w:rsid w:val="0CC779D3"/>
    <w:rsid w:val="0CCA3020"/>
    <w:rsid w:val="0CD914B5"/>
    <w:rsid w:val="0CDA2FAD"/>
    <w:rsid w:val="0CDD2D53"/>
    <w:rsid w:val="0CDD48B1"/>
    <w:rsid w:val="0CE40585"/>
    <w:rsid w:val="0CE42333"/>
    <w:rsid w:val="0CE642FD"/>
    <w:rsid w:val="0CE73BD2"/>
    <w:rsid w:val="0CE75980"/>
    <w:rsid w:val="0CEA6847"/>
    <w:rsid w:val="0CEB1914"/>
    <w:rsid w:val="0CEC743A"/>
    <w:rsid w:val="0CEE6D0E"/>
    <w:rsid w:val="0CF06F2A"/>
    <w:rsid w:val="0CFB142B"/>
    <w:rsid w:val="0CFD3DAC"/>
    <w:rsid w:val="0CFF716D"/>
    <w:rsid w:val="0D020A0B"/>
    <w:rsid w:val="0D026C5D"/>
    <w:rsid w:val="0D054058"/>
    <w:rsid w:val="0D081CA7"/>
    <w:rsid w:val="0D0A78C0"/>
    <w:rsid w:val="0D0C2411"/>
    <w:rsid w:val="0D0C3638"/>
    <w:rsid w:val="0D0D0C68"/>
    <w:rsid w:val="0D0E73B0"/>
    <w:rsid w:val="0D0F4ED6"/>
    <w:rsid w:val="0D136775"/>
    <w:rsid w:val="0D15073F"/>
    <w:rsid w:val="0D197576"/>
    <w:rsid w:val="0D1A101C"/>
    <w:rsid w:val="0D1A3FA7"/>
    <w:rsid w:val="0D1B19F6"/>
    <w:rsid w:val="0D1C7D1F"/>
    <w:rsid w:val="0D1F336B"/>
    <w:rsid w:val="0D26294C"/>
    <w:rsid w:val="0D2941EA"/>
    <w:rsid w:val="0D2A3ABE"/>
    <w:rsid w:val="0D2A599A"/>
    <w:rsid w:val="0D2C5A88"/>
    <w:rsid w:val="0D336E17"/>
    <w:rsid w:val="0D34161D"/>
    <w:rsid w:val="0D352B8F"/>
    <w:rsid w:val="0D35493D"/>
    <w:rsid w:val="0D3859A2"/>
    <w:rsid w:val="0D3D123F"/>
    <w:rsid w:val="0D3D37F2"/>
    <w:rsid w:val="0D3F3A0E"/>
    <w:rsid w:val="0D3F57BC"/>
    <w:rsid w:val="0D4032E2"/>
    <w:rsid w:val="0D411050"/>
    <w:rsid w:val="0D4903E8"/>
    <w:rsid w:val="0D4A1E5A"/>
    <w:rsid w:val="0D4D75F3"/>
    <w:rsid w:val="0D554FDF"/>
    <w:rsid w:val="0D55637F"/>
    <w:rsid w:val="0D6214AA"/>
    <w:rsid w:val="0D63594E"/>
    <w:rsid w:val="0D646FD0"/>
    <w:rsid w:val="0D660F9A"/>
    <w:rsid w:val="0D6B4803"/>
    <w:rsid w:val="0D6D6BDD"/>
    <w:rsid w:val="0D701E19"/>
    <w:rsid w:val="0D71793F"/>
    <w:rsid w:val="0D73168E"/>
    <w:rsid w:val="0D731909"/>
    <w:rsid w:val="0D735465"/>
    <w:rsid w:val="0D7511DD"/>
    <w:rsid w:val="0D796E2B"/>
    <w:rsid w:val="0D7A67F4"/>
    <w:rsid w:val="0D7C3B01"/>
    <w:rsid w:val="0D892919"/>
    <w:rsid w:val="0D892EDB"/>
    <w:rsid w:val="0D894C75"/>
    <w:rsid w:val="0D8B5CA5"/>
    <w:rsid w:val="0D8E7657"/>
    <w:rsid w:val="0D904269"/>
    <w:rsid w:val="0D93340D"/>
    <w:rsid w:val="0D9773A6"/>
    <w:rsid w:val="0D9B708A"/>
    <w:rsid w:val="0D9C49BC"/>
    <w:rsid w:val="0DA05C1B"/>
    <w:rsid w:val="0DA10224"/>
    <w:rsid w:val="0DAC2BE0"/>
    <w:rsid w:val="0DAD6BC9"/>
    <w:rsid w:val="0DB00467"/>
    <w:rsid w:val="0DB42355"/>
    <w:rsid w:val="0DB462BF"/>
    <w:rsid w:val="0DB51118"/>
    <w:rsid w:val="0DBA3094"/>
    <w:rsid w:val="0DBA7538"/>
    <w:rsid w:val="0DBD2424"/>
    <w:rsid w:val="0DC03503"/>
    <w:rsid w:val="0DC108C7"/>
    <w:rsid w:val="0DC3421D"/>
    <w:rsid w:val="0DC45CC1"/>
    <w:rsid w:val="0DC53105"/>
    <w:rsid w:val="0DC932D7"/>
    <w:rsid w:val="0DC9777B"/>
    <w:rsid w:val="0DCB34F3"/>
    <w:rsid w:val="0DCD445C"/>
    <w:rsid w:val="0DD028B8"/>
    <w:rsid w:val="0DD26630"/>
    <w:rsid w:val="0DD34156"/>
    <w:rsid w:val="0DD423A8"/>
    <w:rsid w:val="0DD56120"/>
    <w:rsid w:val="0DD73C46"/>
    <w:rsid w:val="0DD8176C"/>
    <w:rsid w:val="0DDC057E"/>
    <w:rsid w:val="0DDC125D"/>
    <w:rsid w:val="0DE72AC0"/>
    <w:rsid w:val="0DEC26E8"/>
    <w:rsid w:val="0DEE2D3E"/>
    <w:rsid w:val="0DF06AB6"/>
    <w:rsid w:val="0DF447F8"/>
    <w:rsid w:val="0DF465A6"/>
    <w:rsid w:val="0DFC36AD"/>
    <w:rsid w:val="0DFC545B"/>
    <w:rsid w:val="0DFD5C6B"/>
    <w:rsid w:val="0E0662D9"/>
    <w:rsid w:val="0E0B5706"/>
    <w:rsid w:val="0E0D7668"/>
    <w:rsid w:val="0E100F06"/>
    <w:rsid w:val="0E110D06"/>
    <w:rsid w:val="0E1C78AB"/>
    <w:rsid w:val="0E1E1875"/>
    <w:rsid w:val="0E214EC1"/>
    <w:rsid w:val="0E2844A2"/>
    <w:rsid w:val="0E2873B4"/>
    <w:rsid w:val="0E2D7D0A"/>
    <w:rsid w:val="0E301273"/>
    <w:rsid w:val="0E303356"/>
    <w:rsid w:val="0E3177FA"/>
    <w:rsid w:val="0E320723"/>
    <w:rsid w:val="0E364E11"/>
    <w:rsid w:val="0E3746E5"/>
    <w:rsid w:val="0E3A0F99"/>
    <w:rsid w:val="0E3A5F83"/>
    <w:rsid w:val="0E3C04AA"/>
    <w:rsid w:val="0E4376A8"/>
    <w:rsid w:val="0E460DCC"/>
    <w:rsid w:val="0E48359D"/>
    <w:rsid w:val="0E4A4418"/>
    <w:rsid w:val="0E4D215A"/>
    <w:rsid w:val="0E4E52E2"/>
    <w:rsid w:val="0E4F1A2E"/>
    <w:rsid w:val="0E552DBD"/>
    <w:rsid w:val="0E574D87"/>
    <w:rsid w:val="0E6179B4"/>
    <w:rsid w:val="0E715E49"/>
    <w:rsid w:val="0E72510F"/>
    <w:rsid w:val="0E76520D"/>
    <w:rsid w:val="0E790B75"/>
    <w:rsid w:val="0E7B2823"/>
    <w:rsid w:val="0E7B6CC7"/>
    <w:rsid w:val="0E7C47EE"/>
    <w:rsid w:val="0E8042DE"/>
    <w:rsid w:val="0E811E04"/>
    <w:rsid w:val="0E8518F4"/>
    <w:rsid w:val="0E8A515C"/>
    <w:rsid w:val="0E8F4521"/>
    <w:rsid w:val="0E903DF5"/>
    <w:rsid w:val="0E905A81"/>
    <w:rsid w:val="0E912047"/>
    <w:rsid w:val="0E927B6D"/>
    <w:rsid w:val="0E9733D5"/>
    <w:rsid w:val="0E9D17C6"/>
    <w:rsid w:val="0E9E29B6"/>
    <w:rsid w:val="0E9E6512"/>
    <w:rsid w:val="0EA004DC"/>
    <w:rsid w:val="0EA2342F"/>
    <w:rsid w:val="0EA37FCC"/>
    <w:rsid w:val="0EAB6D9A"/>
    <w:rsid w:val="0EC56195"/>
    <w:rsid w:val="0EC71F0D"/>
    <w:rsid w:val="0EC85224"/>
    <w:rsid w:val="0ECA07E3"/>
    <w:rsid w:val="0ECB1C73"/>
    <w:rsid w:val="0ECC12D1"/>
    <w:rsid w:val="0ECD1453"/>
    <w:rsid w:val="0ECF0DC1"/>
    <w:rsid w:val="0ED168E7"/>
    <w:rsid w:val="0EDB59B8"/>
    <w:rsid w:val="0EDF1579"/>
    <w:rsid w:val="0EE52393"/>
    <w:rsid w:val="0EE526EA"/>
    <w:rsid w:val="0EE7120F"/>
    <w:rsid w:val="0EE859DF"/>
    <w:rsid w:val="0EE91E83"/>
    <w:rsid w:val="0EEE56EB"/>
    <w:rsid w:val="0EF10D38"/>
    <w:rsid w:val="0EF600FC"/>
    <w:rsid w:val="0EF80E8F"/>
    <w:rsid w:val="0EFC21E2"/>
    <w:rsid w:val="0F022F45"/>
    <w:rsid w:val="0F046CBD"/>
    <w:rsid w:val="0F0F67BD"/>
    <w:rsid w:val="0F111837"/>
    <w:rsid w:val="0F113188"/>
    <w:rsid w:val="0F13775A"/>
    <w:rsid w:val="0F1A028E"/>
    <w:rsid w:val="0F205C7F"/>
    <w:rsid w:val="0F215791"/>
    <w:rsid w:val="0F230541"/>
    <w:rsid w:val="0F28662E"/>
    <w:rsid w:val="0F2B249C"/>
    <w:rsid w:val="0F2E09A0"/>
    <w:rsid w:val="0F317386"/>
    <w:rsid w:val="0F3375A2"/>
    <w:rsid w:val="0F346E76"/>
    <w:rsid w:val="0F390A43"/>
    <w:rsid w:val="0F3C025F"/>
    <w:rsid w:val="0F3D21CF"/>
    <w:rsid w:val="0F3E6EA4"/>
    <w:rsid w:val="0F3F5FF6"/>
    <w:rsid w:val="0F3F7CF5"/>
    <w:rsid w:val="0F452E31"/>
    <w:rsid w:val="0F4672D5"/>
    <w:rsid w:val="0F580DB7"/>
    <w:rsid w:val="0F620288"/>
    <w:rsid w:val="0F6634D4"/>
    <w:rsid w:val="0F670FFA"/>
    <w:rsid w:val="0F676B13"/>
    <w:rsid w:val="0F713C26"/>
    <w:rsid w:val="0F7200CA"/>
    <w:rsid w:val="0F732BD1"/>
    <w:rsid w:val="0F7C2CF7"/>
    <w:rsid w:val="0F7D25CB"/>
    <w:rsid w:val="0F7F6343"/>
    <w:rsid w:val="0F8676D2"/>
    <w:rsid w:val="0F87169C"/>
    <w:rsid w:val="0F8B4CE8"/>
    <w:rsid w:val="0F932BA2"/>
    <w:rsid w:val="0F9928EF"/>
    <w:rsid w:val="0F9A050E"/>
    <w:rsid w:val="0F9A112B"/>
    <w:rsid w:val="0FA07BF0"/>
    <w:rsid w:val="0FA1275E"/>
    <w:rsid w:val="0FAB0EE6"/>
    <w:rsid w:val="0FAD1102"/>
    <w:rsid w:val="0FAE692A"/>
    <w:rsid w:val="0FAF2E3E"/>
    <w:rsid w:val="0FAF4135"/>
    <w:rsid w:val="0FB01208"/>
    <w:rsid w:val="0FB51D65"/>
    <w:rsid w:val="0FB56209"/>
    <w:rsid w:val="0FB57FB7"/>
    <w:rsid w:val="0FBC1346"/>
    <w:rsid w:val="0FBD6E6C"/>
    <w:rsid w:val="0FC54AD9"/>
    <w:rsid w:val="0FD04DF1"/>
    <w:rsid w:val="0FD22917"/>
    <w:rsid w:val="0FDF3286"/>
    <w:rsid w:val="0FE8038D"/>
    <w:rsid w:val="0FED59A3"/>
    <w:rsid w:val="0FED7687"/>
    <w:rsid w:val="0FF02D9D"/>
    <w:rsid w:val="0FF1044E"/>
    <w:rsid w:val="0FF65E06"/>
    <w:rsid w:val="0FF7237E"/>
    <w:rsid w:val="0FFA00C0"/>
    <w:rsid w:val="10022AD1"/>
    <w:rsid w:val="10044A9B"/>
    <w:rsid w:val="10086339"/>
    <w:rsid w:val="100910F7"/>
    <w:rsid w:val="100920B1"/>
    <w:rsid w:val="10093E5F"/>
    <w:rsid w:val="100D1BA1"/>
    <w:rsid w:val="100F5919"/>
    <w:rsid w:val="101051ED"/>
    <w:rsid w:val="10153D18"/>
    <w:rsid w:val="10172A20"/>
    <w:rsid w:val="101B44FB"/>
    <w:rsid w:val="10202516"/>
    <w:rsid w:val="10251AC8"/>
    <w:rsid w:val="10294501"/>
    <w:rsid w:val="103274FC"/>
    <w:rsid w:val="103435D2"/>
    <w:rsid w:val="103449ED"/>
    <w:rsid w:val="1034712E"/>
    <w:rsid w:val="10352EA6"/>
    <w:rsid w:val="10360127"/>
    <w:rsid w:val="1037079D"/>
    <w:rsid w:val="103A58B2"/>
    <w:rsid w:val="104355C3"/>
    <w:rsid w:val="104A4BA3"/>
    <w:rsid w:val="104A6951"/>
    <w:rsid w:val="10507CE0"/>
    <w:rsid w:val="10525131"/>
    <w:rsid w:val="10532F3B"/>
    <w:rsid w:val="105968CE"/>
    <w:rsid w:val="105A46BB"/>
    <w:rsid w:val="1066305F"/>
    <w:rsid w:val="106B4B1A"/>
    <w:rsid w:val="106D2F64"/>
    <w:rsid w:val="106F0166"/>
    <w:rsid w:val="10720430"/>
    <w:rsid w:val="107734BE"/>
    <w:rsid w:val="10790FE5"/>
    <w:rsid w:val="10795489"/>
    <w:rsid w:val="107D1AA2"/>
    <w:rsid w:val="107E2A9F"/>
    <w:rsid w:val="107E65FB"/>
    <w:rsid w:val="10853E2D"/>
    <w:rsid w:val="10856F1B"/>
    <w:rsid w:val="108B0D18"/>
    <w:rsid w:val="108F6861"/>
    <w:rsid w:val="109113A8"/>
    <w:rsid w:val="10933A8A"/>
    <w:rsid w:val="10944070"/>
    <w:rsid w:val="10945E1E"/>
    <w:rsid w:val="10991559"/>
    <w:rsid w:val="109C5456"/>
    <w:rsid w:val="109E16F7"/>
    <w:rsid w:val="10A5002C"/>
    <w:rsid w:val="10A832F4"/>
    <w:rsid w:val="10A83678"/>
    <w:rsid w:val="10AA3894"/>
    <w:rsid w:val="10AD0C8E"/>
    <w:rsid w:val="10AD6EE0"/>
    <w:rsid w:val="10AF1D60"/>
    <w:rsid w:val="10B05EDD"/>
    <w:rsid w:val="10B4201D"/>
    <w:rsid w:val="10B63710"/>
    <w:rsid w:val="10BA1AAE"/>
    <w:rsid w:val="10BB33AB"/>
    <w:rsid w:val="10BC7123"/>
    <w:rsid w:val="10C1473A"/>
    <w:rsid w:val="10C77FA2"/>
    <w:rsid w:val="10CA2AD6"/>
    <w:rsid w:val="10CA5CE4"/>
    <w:rsid w:val="10CD30DE"/>
    <w:rsid w:val="10CF355A"/>
    <w:rsid w:val="10D10E21"/>
    <w:rsid w:val="10D752FB"/>
    <w:rsid w:val="10D821AF"/>
    <w:rsid w:val="10D8227B"/>
    <w:rsid w:val="10D95F27"/>
    <w:rsid w:val="10DB1C9F"/>
    <w:rsid w:val="10E072B6"/>
    <w:rsid w:val="10E16B8A"/>
    <w:rsid w:val="10E50993"/>
    <w:rsid w:val="10E675D1"/>
    <w:rsid w:val="10E70644"/>
    <w:rsid w:val="10E87C94"/>
    <w:rsid w:val="10EA5A3E"/>
    <w:rsid w:val="10ED3781"/>
    <w:rsid w:val="10EE1F98"/>
    <w:rsid w:val="10EF574B"/>
    <w:rsid w:val="10F5444F"/>
    <w:rsid w:val="10F863AD"/>
    <w:rsid w:val="10FB33EF"/>
    <w:rsid w:val="10FC5772"/>
    <w:rsid w:val="10FE14EA"/>
    <w:rsid w:val="10FF6CE8"/>
    <w:rsid w:val="11005262"/>
    <w:rsid w:val="11056D1C"/>
    <w:rsid w:val="110C3C07"/>
    <w:rsid w:val="11143B39"/>
    <w:rsid w:val="111451B1"/>
    <w:rsid w:val="111C2F7A"/>
    <w:rsid w:val="111D4066"/>
    <w:rsid w:val="1126606F"/>
    <w:rsid w:val="112C24FB"/>
    <w:rsid w:val="112C6057"/>
    <w:rsid w:val="112E1DCF"/>
    <w:rsid w:val="113008C4"/>
    <w:rsid w:val="113013DE"/>
    <w:rsid w:val="11423ACC"/>
    <w:rsid w:val="11447845"/>
    <w:rsid w:val="114B16DA"/>
    <w:rsid w:val="114E421F"/>
    <w:rsid w:val="115770D7"/>
    <w:rsid w:val="115929AD"/>
    <w:rsid w:val="115D4462"/>
    <w:rsid w:val="115F2023"/>
    <w:rsid w:val="115F6467"/>
    <w:rsid w:val="11660972"/>
    <w:rsid w:val="11673533"/>
    <w:rsid w:val="116A6B7F"/>
    <w:rsid w:val="116E6670"/>
    <w:rsid w:val="11717F0E"/>
    <w:rsid w:val="117618C6"/>
    <w:rsid w:val="1178129C"/>
    <w:rsid w:val="117A5014"/>
    <w:rsid w:val="117D68B3"/>
    <w:rsid w:val="117E185E"/>
    <w:rsid w:val="117F6ACF"/>
    <w:rsid w:val="11811732"/>
    <w:rsid w:val="118A6CA0"/>
    <w:rsid w:val="118E0AC0"/>
    <w:rsid w:val="119C5AA8"/>
    <w:rsid w:val="11A05CA3"/>
    <w:rsid w:val="11A16A45"/>
    <w:rsid w:val="11A2456B"/>
    <w:rsid w:val="11A32AB7"/>
    <w:rsid w:val="11AA2F63"/>
    <w:rsid w:val="11B04EDA"/>
    <w:rsid w:val="11B232FE"/>
    <w:rsid w:val="11C049F1"/>
    <w:rsid w:val="11C269BB"/>
    <w:rsid w:val="11C450E6"/>
    <w:rsid w:val="11C54C7E"/>
    <w:rsid w:val="11C73FD2"/>
    <w:rsid w:val="11C75D80"/>
    <w:rsid w:val="11CC15E8"/>
    <w:rsid w:val="11CE710E"/>
    <w:rsid w:val="11CE752D"/>
    <w:rsid w:val="11D010D8"/>
    <w:rsid w:val="11D02E86"/>
    <w:rsid w:val="11D230A2"/>
    <w:rsid w:val="11D373CE"/>
    <w:rsid w:val="11D62156"/>
    <w:rsid w:val="11D72467"/>
    <w:rsid w:val="11D84431"/>
    <w:rsid w:val="11DD37F5"/>
    <w:rsid w:val="11DF30C9"/>
    <w:rsid w:val="11E44B84"/>
    <w:rsid w:val="11E46AD9"/>
    <w:rsid w:val="11E9219A"/>
    <w:rsid w:val="11EB0C04"/>
    <w:rsid w:val="11EE77B0"/>
    <w:rsid w:val="11F0177A"/>
    <w:rsid w:val="11F47FFB"/>
    <w:rsid w:val="11F72B09"/>
    <w:rsid w:val="11F76665"/>
    <w:rsid w:val="11FA6155"/>
    <w:rsid w:val="11FC1ECD"/>
    <w:rsid w:val="11FC3E71"/>
    <w:rsid w:val="11FE3312"/>
    <w:rsid w:val="12042B30"/>
    <w:rsid w:val="12072620"/>
    <w:rsid w:val="120D40DA"/>
    <w:rsid w:val="12152F8F"/>
    <w:rsid w:val="121865DB"/>
    <w:rsid w:val="121A67F7"/>
    <w:rsid w:val="121C431D"/>
    <w:rsid w:val="121E5D7B"/>
    <w:rsid w:val="121E62E8"/>
    <w:rsid w:val="121F796A"/>
    <w:rsid w:val="12266F4A"/>
    <w:rsid w:val="122B06C2"/>
    <w:rsid w:val="122D7F4C"/>
    <w:rsid w:val="122E5DFF"/>
    <w:rsid w:val="12327017"/>
    <w:rsid w:val="1232769D"/>
    <w:rsid w:val="12331667"/>
    <w:rsid w:val="12373093"/>
    <w:rsid w:val="123738A9"/>
    <w:rsid w:val="12380A2C"/>
    <w:rsid w:val="12394ECF"/>
    <w:rsid w:val="1240313D"/>
    <w:rsid w:val="12445622"/>
    <w:rsid w:val="12463148"/>
    <w:rsid w:val="124B4C03"/>
    <w:rsid w:val="124D2729"/>
    <w:rsid w:val="12502B21"/>
    <w:rsid w:val="12575478"/>
    <w:rsid w:val="125A6BF4"/>
    <w:rsid w:val="125A7AA6"/>
    <w:rsid w:val="125D0492"/>
    <w:rsid w:val="12635AA8"/>
    <w:rsid w:val="126A321F"/>
    <w:rsid w:val="126D2DCB"/>
    <w:rsid w:val="126D6927"/>
    <w:rsid w:val="127001C5"/>
    <w:rsid w:val="127140EA"/>
    <w:rsid w:val="12744159"/>
    <w:rsid w:val="127759F8"/>
    <w:rsid w:val="12791770"/>
    <w:rsid w:val="127A1044"/>
    <w:rsid w:val="127B49BD"/>
    <w:rsid w:val="127C6B6A"/>
    <w:rsid w:val="127E6D86"/>
    <w:rsid w:val="127F48AC"/>
    <w:rsid w:val="12810624"/>
    <w:rsid w:val="12844F29"/>
    <w:rsid w:val="12863E8D"/>
    <w:rsid w:val="128679E9"/>
    <w:rsid w:val="1289734F"/>
    <w:rsid w:val="128B3251"/>
    <w:rsid w:val="12994E87"/>
    <w:rsid w:val="129E4D32"/>
    <w:rsid w:val="129F0AAB"/>
    <w:rsid w:val="129F5B09"/>
    <w:rsid w:val="12A143E4"/>
    <w:rsid w:val="12A40CC7"/>
    <w:rsid w:val="12A604AE"/>
    <w:rsid w:val="12AB56A1"/>
    <w:rsid w:val="12AD1419"/>
    <w:rsid w:val="12AE3240"/>
    <w:rsid w:val="12B04A66"/>
    <w:rsid w:val="12B5308E"/>
    <w:rsid w:val="12B91B6C"/>
    <w:rsid w:val="12BA4BDF"/>
    <w:rsid w:val="12C05E31"/>
    <w:rsid w:val="12C30D5F"/>
    <w:rsid w:val="12C50511"/>
    <w:rsid w:val="12C81DAF"/>
    <w:rsid w:val="12D138EB"/>
    <w:rsid w:val="12D44BF8"/>
    <w:rsid w:val="12DB7D35"/>
    <w:rsid w:val="12DC179C"/>
    <w:rsid w:val="12DD1CFF"/>
    <w:rsid w:val="12E267A6"/>
    <w:rsid w:val="12E3308D"/>
    <w:rsid w:val="12E34E3B"/>
    <w:rsid w:val="12E7492B"/>
    <w:rsid w:val="12EA61CA"/>
    <w:rsid w:val="12EB3CF0"/>
    <w:rsid w:val="12ED7A68"/>
    <w:rsid w:val="12F2507E"/>
    <w:rsid w:val="12F36DB2"/>
    <w:rsid w:val="12F40DF6"/>
    <w:rsid w:val="12F6691D"/>
    <w:rsid w:val="12F708E7"/>
    <w:rsid w:val="130152C1"/>
    <w:rsid w:val="130354DD"/>
    <w:rsid w:val="13071CE4"/>
    <w:rsid w:val="13076D7C"/>
    <w:rsid w:val="13097217"/>
    <w:rsid w:val="130A23C8"/>
    <w:rsid w:val="130C25E4"/>
    <w:rsid w:val="130C4392"/>
    <w:rsid w:val="130C5FE0"/>
    <w:rsid w:val="130F79DE"/>
    <w:rsid w:val="131119A8"/>
    <w:rsid w:val="13117BFA"/>
    <w:rsid w:val="13141499"/>
    <w:rsid w:val="13171F28"/>
    <w:rsid w:val="13182D37"/>
    <w:rsid w:val="131836D1"/>
    <w:rsid w:val="1319260B"/>
    <w:rsid w:val="13196AAF"/>
    <w:rsid w:val="131C5101"/>
    <w:rsid w:val="13201BEB"/>
    <w:rsid w:val="13223BB5"/>
    <w:rsid w:val="13225964"/>
    <w:rsid w:val="132536A6"/>
    <w:rsid w:val="13272F7A"/>
    <w:rsid w:val="13294F44"/>
    <w:rsid w:val="132C233E"/>
    <w:rsid w:val="13370CE3"/>
    <w:rsid w:val="133D279D"/>
    <w:rsid w:val="133D3E1D"/>
    <w:rsid w:val="133E6515"/>
    <w:rsid w:val="13460082"/>
    <w:rsid w:val="13495C7E"/>
    <w:rsid w:val="134A310C"/>
    <w:rsid w:val="134E49AB"/>
    <w:rsid w:val="134F427F"/>
    <w:rsid w:val="135D4BEE"/>
    <w:rsid w:val="13620456"/>
    <w:rsid w:val="13637D2A"/>
    <w:rsid w:val="136917E4"/>
    <w:rsid w:val="13702B73"/>
    <w:rsid w:val="13722A67"/>
    <w:rsid w:val="137361BF"/>
    <w:rsid w:val="13743CE5"/>
    <w:rsid w:val="1377358E"/>
    <w:rsid w:val="13781A27"/>
    <w:rsid w:val="137B0136"/>
    <w:rsid w:val="137B5074"/>
    <w:rsid w:val="137D34C8"/>
    <w:rsid w:val="13857CA0"/>
    <w:rsid w:val="13871C6A"/>
    <w:rsid w:val="13893C35"/>
    <w:rsid w:val="138C102F"/>
    <w:rsid w:val="138C54D3"/>
    <w:rsid w:val="13914897"/>
    <w:rsid w:val="139254CE"/>
    <w:rsid w:val="13951726"/>
    <w:rsid w:val="139D188B"/>
    <w:rsid w:val="13A66F92"/>
    <w:rsid w:val="13A7230D"/>
    <w:rsid w:val="13AE369B"/>
    <w:rsid w:val="13B14F39"/>
    <w:rsid w:val="13B32A60"/>
    <w:rsid w:val="13B660AC"/>
    <w:rsid w:val="13BD38DE"/>
    <w:rsid w:val="13C133CE"/>
    <w:rsid w:val="13C1400A"/>
    <w:rsid w:val="13C277AD"/>
    <w:rsid w:val="13C30AFC"/>
    <w:rsid w:val="13CC58CF"/>
    <w:rsid w:val="13CE4568"/>
    <w:rsid w:val="13CE7DBD"/>
    <w:rsid w:val="13E16F11"/>
    <w:rsid w:val="13E250F3"/>
    <w:rsid w:val="13E64BE3"/>
    <w:rsid w:val="13EB137C"/>
    <w:rsid w:val="13F05A62"/>
    <w:rsid w:val="13FA243C"/>
    <w:rsid w:val="13FA68E0"/>
    <w:rsid w:val="13FB6FA3"/>
    <w:rsid w:val="13FF7A53"/>
    <w:rsid w:val="14076907"/>
    <w:rsid w:val="14103A0E"/>
    <w:rsid w:val="14186D67"/>
    <w:rsid w:val="14197487"/>
    <w:rsid w:val="141C6857"/>
    <w:rsid w:val="141E70C5"/>
    <w:rsid w:val="14213FC1"/>
    <w:rsid w:val="14215C1B"/>
    <w:rsid w:val="14221EEF"/>
    <w:rsid w:val="14261483"/>
    <w:rsid w:val="14270D58"/>
    <w:rsid w:val="14295324"/>
    <w:rsid w:val="142D2812"/>
    <w:rsid w:val="142E5135"/>
    <w:rsid w:val="142E658A"/>
    <w:rsid w:val="14305E5E"/>
    <w:rsid w:val="1432607A"/>
    <w:rsid w:val="143771ED"/>
    <w:rsid w:val="14396509"/>
    <w:rsid w:val="14397409"/>
    <w:rsid w:val="143E4A1F"/>
    <w:rsid w:val="143F3336"/>
    <w:rsid w:val="143F60A1"/>
    <w:rsid w:val="1441006B"/>
    <w:rsid w:val="1447165C"/>
    <w:rsid w:val="1448144A"/>
    <w:rsid w:val="144B0EEA"/>
    <w:rsid w:val="144B713C"/>
    <w:rsid w:val="145002AE"/>
    <w:rsid w:val="14515DD5"/>
    <w:rsid w:val="14575AE1"/>
    <w:rsid w:val="14592FC7"/>
    <w:rsid w:val="145A737F"/>
    <w:rsid w:val="145C4EA5"/>
    <w:rsid w:val="145E6E6F"/>
    <w:rsid w:val="14611454"/>
    <w:rsid w:val="14612B95"/>
    <w:rsid w:val="14643D5A"/>
    <w:rsid w:val="14691370"/>
    <w:rsid w:val="146C1B76"/>
    <w:rsid w:val="146D0E60"/>
    <w:rsid w:val="146E4BD8"/>
    <w:rsid w:val="146E5199"/>
    <w:rsid w:val="147026FF"/>
    <w:rsid w:val="14733F9D"/>
    <w:rsid w:val="14756348"/>
    <w:rsid w:val="147815B3"/>
    <w:rsid w:val="14795A57"/>
    <w:rsid w:val="147E16A4"/>
    <w:rsid w:val="14860174"/>
    <w:rsid w:val="14885C9A"/>
    <w:rsid w:val="148A7C64"/>
    <w:rsid w:val="148C7CBF"/>
    <w:rsid w:val="148F0807"/>
    <w:rsid w:val="14902DA1"/>
    <w:rsid w:val="149503B7"/>
    <w:rsid w:val="14952165"/>
    <w:rsid w:val="14A16D5C"/>
    <w:rsid w:val="14A25CD1"/>
    <w:rsid w:val="14A300D8"/>
    <w:rsid w:val="14A40884"/>
    <w:rsid w:val="14A960ED"/>
    <w:rsid w:val="14AD5701"/>
    <w:rsid w:val="14B06F9F"/>
    <w:rsid w:val="14B24AC5"/>
    <w:rsid w:val="14B44D5D"/>
    <w:rsid w:val="14B91001"/>
    <w:rsid w:val="14BA1BCC"/>
    <w:rsid w:val="14C1721D"/>
    <w:rsid w:val="14C60571"/>
    <w:rsid w:val="14C667C2"/>
    <w:rsid w:val="14C842E9"/>
    <w:rsid w:val="14C91E0F"/>
    <w:rsid w:val="14D05CA0"/>
    <w:rsid w:val="14D47131"/>
    <w:rsid w:val="14D709D0"/>
    <w:rsid w:val="14D94748"/>
    <w:rsid w:val="14DC7D94"/>
    <w:rsid w:val="14E05AD6"/>
    <w:rsid w:val="14E1184E"/>
    <w:rsid w:val="14E12169"/>
    <w:rsid w:val="14E31122"/>
    <w:rsid w:val="14E8498B"/>
    <w:rsid w:val="14E9477F"/>
    <w:rsid w:val="14ED1FA1"/>
    <w:rsid w:val="14EF1875"/>
    <w:rsid w:val="14EF7AC7"/>
    <w:rsid w:val="14F1476F"/>
    <w:rsid w:val="14F47D6F"/>
    <w:rsid w:val="14F65E5A"/>
    <w:rsid w:val="14F9337C"/>
    <w:rsid w:val="15007F26"/>
    <w:rsid w:val="15054F9B"/>
    <w:rsid w:val="1505553D"/>
    <w:rsid w:val="150712B5"/>
    <w:rsid w:val="15080B89"/>
    <w:rsid w:val="150D619F"/>
    <w:rsid w:val="150F1F18"/>
    <w:rsid w:val="150F3CC6"/>
    <w:rsid w:val="151B539B"/>
    <w:rsid w:val="151C0715"/>
    <w:rsid w:val="151C63E2"/>
    <w:rsid w:val="151E215B"/>
    <w:rsid w:val="15202377"/>
    <w:rsid w:val="15205ED3"/>
    <w:rsid w:val="15233B2D"/>
    <w:rsid w:val="1526228F"/>
    <w:rsid w:val="152E2759"/>
    <w:rsid w:val="1537146E"/>
    <w:rsid w:val="153B2D0D"/>
    <w:rsid w:val="15451DDD"/>
    <w:rsid w:val="154871D8"/>
    <w:rsid w:val="154A11A2"/>
    <w:rsid w:val="154A73F4"/>
    <w:rsid w:val="154C6CC8"/>
    <w:rsid w:val="154D0C92"/>
    <w:rsid w:val="154D2A40"/>
    <w:rsid w:val="154E022A"/>
    <w:rsid w:val="15510782"/>
    <w:rsid w:val="15521101"/>
    <w:rsid w:val="15542020"/>
    <w:rsid w:val="15570834"/>
    <w:rsid w:val="15581B10"/>
    <w:rsid w:val="15595889"/>
    <w:rsid w:val="155C4C28"/>
    <w:rsid w:val="15624F26"/>
    <w:rsid w:val="15634011"/>
    <w:rsid w:val="15695ACC"/>
    <w:rsid w:val="156D5C71"/>
    <w:rsid w:val="15744B16"/>
    <w:rsid w:val="15791A87"/>
    <w:rsid w:val="157B57FF"/>
    <w:rsid w:val="157D4738"/>
    <w:rsid w:val="15804BC3"/>
    <w:rsid w:val="158741A4"/>
    <w:rsid w:val="15877D00"/>
    <w:rsid w:val="15883A78"/>
    <w:rsid w:val="15897F1C"/>
    <w:rsid w:val="158C17BA"/>
    <w:rsid w:val="158C2634"/>
    <w:rsid w:val="159468C1"/>
    <w:rsid w:val="159D01CA"/>
    <w:rsid w:val="15A40BEE"/>
    <w:rsid w:val="15A5287C"/>
    <w:rsid w:val="15A779A4"/>
    <w:rsid w:val="15A85EC8"/>
    <w:rsid w:val="15A9236C"/>
    <w:rsid w:val="15AC59B8"/>
    <w:rsid w:val="15AE34DE"/>
    <w:rsid w:val="15BB209F"/>
    <w:rsid w:val="15BD5E17"/>
    <w:rsid w:val="15C72C7C"/>
    <w:rsid w:val="15C90318"/>
    <w:rsid w:val="15CA4090"/>
    <w:rsid w:val="15CB06E2"/>
    <w:rsid w:val="15D33DF0"/>
    <w:rsid w:val="15D76017"/>
    <w:rsid w:val="15DD0268"/>
    <w:rsid w:val="15E05662"/>
    <w:rsid w:val="15E46F00"/>
    <w:rsid w:val="15E769F0"/>
    <w:rsid w:val="15EE7D7F"/>
    <w:rsid w:val="15F66C34"/>
    <w:rsid w:val="15FA2BC8"/>
    <w:rsid w:val="15FA6724"/>
    <w:rsid w:val="15FF1F8C"/>
    <w:rsid w:val="15FF3D3A"/>
    <w:rsid w:val="16027CCE"/>
    <w:rsid w:val="160457F4"/>
    <w:rsid w:val="16077A7C"/>
    <w:rsid w:val="1609105D"/>
    <w:rsid w:val="16092E0B"/>
    <w:rsid w:val="160A26DF"/>
    <w:rsid w:val="160B0931"/>
    <w:rsid w:val="160B1CC9"/>
    <w:rsid w:val="160E0421"/>
    <w:rsid w:val="160E696E"/>
    <w:rsid w:val="16126189"/>
    <w:rsid w:val="16131283"/>
    <w:rsid w:val="16135A37"/>
    <w:rsid w:val="1615355E"/>
    <w:rsid w:val="16175528"/>
    <w:rsid w:val="161C0D90"/>
    <w:rsid w:val="161C2B3E"/>
    <w:rsid w:val="161F262E"/>
    <w:rsid w:val="162419F3"/>
    <w:rsid w:val="162C6AF9"/>
    <w:rsid w:val="162E2871"/>
    <w:rsid w:val="162F5EEB"/>
    <w:rsid w:val="163757C5"/>
    <w:rsid w:val="16380A5A"/>
    <w:rsid w:val="16386068"/>
    <w:rsid w:val="163976E4"/>
    <w:rsid w:val="163F4A7E"/>
    <w:rsid w:val="16411730"/>
    <w:rsid w:val="164707FC"/>
    <w:rsid w:val="1649352F"/>
    <w:rsid w:val="16504596"/>
    <w:rsid w:val="165266F1"/>
    <w:rsid w:val="16531DCD"/>
    <w:rsid w:val="1658169C"/>
    <w:rsid w:val="165B2F3A"/>
    <w:rsid w:val="165B64DD"/>
    <w:rsid w:val="165C73DE"/>
    <w:rsid w:val="16617428"/>
    <w:rsid w:val="16640041"/>
    <w:rsid w:val="166B7621"/>
    <w:rsid w:val="166D55CB"/>
    <w:rsid w:val="166E0EC0"/>
    <w:rsid w:val="167209B0"/>
    <w:rsid w:val="167364D6"/>
    <w:rsid w:val="16777D74"/>
    <w:rsid w:val="167B7C4B"/>
    <w:rsid w:val="167C44F8"/>
    <w:rsid w:val="167F131F"/>
    <w:rsid w:val="16826719"/>
    <w:rsid w:val="168626AD"/>
    <w:rsid w:val="16872A35"/>
    <w:rsid w:val="168B7CC4"/>
    <w:rsid w:val="168D57EA"/>
    <w:rsid w:val="16900E36"/>
    <w:rsid w:val="1694148D"/>
    <w:rsid w:val="1695469E"/>
    <w:rsid w:val="1699418F"/>
    <w:rsid w:val="169C5A2D"/>
    <w:rsid w:val="169D3553"/>
    <w:rsid w:val="169E79F7"/>
    <w:rsid w:val="169F551D"/>
    <w:rsid w:val="169F72CB"/>
    <w:rsid w:val="16A13043"/>
    <w:rsid w:val="16A36DBB"/>
    <w:rsid w:val="16A81790"/>
    <w:rsid w:val="16AB2114"/>
    <w:rsid w:val="16AB658F"/>
    <w:rsid w:val="16AD19E8"/>
    <w:rsid w:val="16B014D8"/>
    <w:rsid w:val="16B207CA"/>
    <w:rsid w:val="16B9038D"/>
    <w:rsid w:val="16BB3C28"/>
    <w:rsid w:val="16BC5986"/>
    <w:rsid w:val="16C44AD8"/>
    <w:rsid w:val="16C4566D"/>
    <w:rsid w:val="16D276A1"/>
    <w:rsid w:val="16D650DD"/>
    <w:rsid w:val="16DA6555"/>
    <w:rsid w:val="16DF3B6C"/>
    <w:rsid w:val="16E82A20"/>
    <w:rsid w:val="16F212ED"/>
    <w:rsid w:val="16F45869"/>
    <w:rsid w:val="16F615E1"/>
    <w:rsid w:val="16F92E7F"/>
    <w:rsid w:val="16FB4332"/>
    <w:rsid w:val="17066928"/>
    <w:rsid w:val="17084E91"/>
    <w:rsid w:val="171364CE"/>
    <w:rsid w:val="17171557"/>
    <w:rsid w:val="171A6059"/>
    <w:rsid w:val="171F2C3F"/>
    <w:rsid w:val="172120C7"/>
    <w:rsid w:val="17215F32"/>
    <w:rsid w:val="17221F62"/>
    <w:rsid w:val="17250967"/>
    <w:rsid w:val="172805BA"/>
    <w:rsid w:val="17281893"/>
    <w:rsid w:val="17285513"/>
    <w:rsid w:val="173043C7"/>
    <w:rsid w:val="17312619"/>
    <w:rsid w:val="17312D11"/>
    <w:rsid w:val="17342109"/>
    <w:rsid w:val="1735378C"/>
    <w:rsid w:val="173C34E8"/>
    <w:rsid w:val="1740285C"/>
    <w:rsid w:val="174165D4"/>
    <w:rsid w:val="17465999"/>
    <w:rsid w:val="17471E3D"/>
    <w:rsid w:val="174C7453"/>
    <w:rsid w:val="17525B6D"/>
    <w:rsid w:val="17563E2E"/>
    <w:rsid w:val="175653EE"/>
    <w:rsid w:val="17577BA6"/>
    <w:rsid w:val="175C6F6A"/>
    <w:rsid w:val="17666845"/>
    <w:rsid w:val="176A1687"/>
    <w:rsid w:val="176A78D9"/>
    <w:rsid w:val="176C4AB8"/>
    <w:rsid w:val="176C7FAF"/>
    <w:rsid w:val="176D1177"/>
    <w:rsid w:val="1770386E"/>
    <w:rsid w:val="17714935"/>
    <w:rsid w:val="177235B3"/>
    <w:rsid w:val="17735226"/>
    <w:rsid w:val="177B1AE6"/>
    <w:rsid w:val="177D49C9"/>
    <w:rsid w:val="177D585E"/>
    <w:rsid w:val="17832749"/>
    <w:rsid w:val="17842AD0"/>
    <w:rsid w:val="178564C1"/>
    <w:rsid w:val="1787048B"/>
    <w:rsid w:val="178B7795"/>
    <w:rsid w:val="178D1819"/>
    <w:rsid w:val="178E7A6B"/>
    <w:rsid w:val="178F7340"/>
    <w:rsid w:val="179606CE"/>
    <w:rsid w:val="17994519"/>
    <w:rsid w:val="17994B59"/>
    <w:rsid w:val="179C49C1"/>
    <w:rsid w:val="179E7583"/>
    <w:rsid w:val="17A06CE7"/>
    <w:rsid w:val="17A56B63"/>
    <w:rsid w:val="17A728DB"/>
    <w:rsid w:val="17A75F91"/>
    <w:rsid w:val="17A80401"/>
    <w:rsid w:val="17AA4179"/>
    <w:rsid w:val="17AC1CA0"/>
    <w:rsid w:val="17AC3583"/>
    <w:rsid w:val="17B15508"/>
    <w:rsid w:val="17B41E54"/>
    <w:rsid w:val="17B631A7"/>
    <w:rsid w:val="17B80644"/>
    <w:rsid w:val="17B91FA2"/>
    <w:rsid w:val="17B9260F"/>
    <w:rsid w:val="17BB3400"/>
    <w:rsid w:val="17C074F9"/>
    <w:rsid w:val="17C52D61"/>
    <w:rsid w:val="17C76AD9"/>
    <w:rsid w:val="17D43BE0"/>
    <w:rsid w:val="17DA4A5F"/>
    <w:rsid w:val="17DE55A1"/>
    <w:rsid w:val="17E21B65"/>
    <w:rsid w:val="17E72CD8"/>
    <w:rsid w:val="17E94CA2"/>
    <w:rsid w:val="17EC6540"/>
    <w:rsid w:val="17EF6030"/>
    <w:rsid w:val="17EF7DDE"/>
    <w:rsid w:val="17F12BE8"/>
    <w:rsid w:val="17F324AA"/>
    <w:rsid w:val="18055854"/>
    <w:rsid w:val="18057602"/>
    <w:rsid w:val="18094A7F"/>
    <w:rsid w:val="18095344"/>
    <w:rsid w:val="180A2E6A"/>
    <w:rsid w:val="180D7C95"/>
    <w:rsid w:val="18100480"/>
    <w:rsid w:val="18117D55"/>
    <w:rsid w:val="18134CAA"/>
    <w:rsid w:val="18147845"/>
    <w:rsid w:val="18165F03"/>
    <w:rsid w:val="182061EA"/>
    <w:rsid w:val="182201B4"/>
    <w:rsid w:val="18226406"/>
    <w:rsid w:val="18295F5F"/>
    <w:rsid w:val="18297794"/>
    <w:rsid w:val="182B6DD0"/>
    <w:rsid w:val="182C4B8E"/>
    <w:rsid w:val="182E0907"/>
    <w:rsid w:val="1833416F"/>
    <w:rsid w:val="18351C95"/>
    <w:rsid w:val="18363C5F"/>
    <w:rsid w:val="183879D7"/>
    <w:rsid w:val="183A60CC"/>
    <w:rsid w:val="183D6D9C"/>
    <w:rsid w:val="183E57A4"/>
    <w:rsid w:val="183F2B14"/>
    <w:rsid w:val="1840063A"/>
    <w:rsid w:val="184243B2"/>
    <w:rsid w:val="18477C1A"/>
    <w:rsid w:val="185540E5"/>
    <w:rsid w:val="18581E27"/>
    <w:rsid w:val="18583BD5"/>
    <w:rsid w:val="1869193F"/>
    <w:rsid w:val="186B56B7"/>
    <w:rsid w:val="186F23AF"/>
    <w:rsid w:val="18714C97"/>
    <w:rsid w:val="187529D9"/>
    <w:rsid w:val="187A1D9E"/>
    <w:rsid w:val="187F1162"/>
    <w:rsid w:val="18826EA4"/>
    <w:rsid w:val="18833979"/>
    <w:rsid w:val="188744BB"/>
    <w:rsid w:val="1888635B"/>
    <w:rsid w:val="18893D8F"/>
    <w:rsid w:val="188B5D59"/>
    <w:rsid w:val="18954E2A"/>
    <w:rsid w:val="18956899"/>
    <w:rsid w:val="18982224"/>
    <w:rsid w:val="18985DE5"/>
    <w:rsid w:val="18A46E1B"/>
    <w:rsid w:val="18AA6B24"/>
    <w:rsid w:val="18AE0D2F"/>
    <w:rsid w:val="18AF5EEB"/>
    <w:rsid w:val="18B0756E"/>
    <w:rsid w:val="18B21538"/>
    <w:rsid w:val="18B90B18"/>
    <w:rsid w:val="18BC23B6"/>
    <w:rsid w:val="18BF12FA"/>
    <w:rsid w:val="18C13529"/>
    <w:rsid w:val="18C179CD"/>
    <w:rsid w:val="18C63235"/>
    <w:rsid w:val="18C64FE3"/>
    <w:rsid w:val="18C87522"/>
    <w:rsid w:val="18C94AD3"/>
    <w:rsid w:val="18C96881"/>
    <w:rsid w:val="18CD45C3"/>
    <w:rsid w:val="18CE20EA"/>
    <w:rsid w:val="18D07C10"/>
    <w:rsid w:val="18D47700"/>
    <w:rsid w:val="18D72D4C"/>
    <w:rsid w:val="18DD40DB"/>
    <w:rsid w:val="18E35B95"/>
    <w:rsid w:val="18E86D07"/>
    <w:rsid w:val="18EB67F8"/>
    <w:rsid w:val="18ED08AB"/>
    <w:rsid w:val="18F179C4"/>
    <w:rsid w:val="18FA6A3B"/>
    <w:rsid w:val="18FC6C57"/>
    <w:rsid w:val="18FE29CF"/>
    <w:rsid w:val="190470B1"/>
    <w:rsid w:val="190873AA"/>
    <w:rsid w:val="19094547"/>
    <w:rsid w:val="190B6E9A"/>
    <w:rsid w:val="19103908"/>
    <w:rsid w:val="1910625E"/>
    <w:rsid w:val="19130CA3"/>
    <w:rsid w:val="19185113"/>
    <w:rsid w:val="191A0E8B"/>
    <w:rsid w:val="191A70DD"/>
    <w:rsid w:val="191C2E55"/>
    <w:rsid w:val="191C59B6"/>
    <w:rsid w:val="192341E3"/>
    <w:rsid w:val="192A37C4"/>
    <w:rsid w:val="192D79FD"/>
    <w:rsid w:val="192F4936"/>
    <w:rsid w:val="193208CA"/>
    <w:rsid w:val="19371A3D"/>
    <w:rsid w:val="193F08F1"/>
    <w:rsid w:val="19404D95"/>
    <w:rsid w:val="1941466A"/>
    <w:rsid w:val="19436634"/>
    <w:rsid w:val="194D74B2"/>
    <w:rsid w:val="194F7E45"/>
    <w:rsid w:val="19520625"/>
    <w:rsid w:val="19550115"/>
    <w:rsid w:val="195645B9"/>
    <w:rsid w:val="19570331"/>
    <w:rsid w:val="19572D68"/>
    <w:rsid w:val="195C1FE7"/>
    <w:rsid w:val="195D6EAA"/>
    <w:rsid w:val="195F2D42"/>
    <w:rsid w:val="19650358"/>
    <w:rsid w:val="196565AA"/>
    <w:rsid w:val="196842EC"/>
    <w:rsid w:val="1968518A"/>
    <w:rsid w:val="1968609A"/>
    <w:rsid w:val="196A0064"/>
    <w:rsid w:val="196F11D7"/>
    <w:rsid w:val="19713BDF"/>
    <w:rsid w:val="1973708C"/>
    <w:rsid w:val="197762DD"/>
    <w:rsid w:val="19793E03"/>
    <w:rsid w:val="197C1B46"/>
    <w:rsid w:val="197C38F4"/>
    <w:rsid w:val="198253AE"/>
    <w:rsid w:val="19847484"/>
    <w:rsid w:val="198B3B37"/>
    <w:rsid w:val="1990114D"/>
    <w:rsid w:val="199109E2"/>
    <w:rsid w:val="19940C3D"/>
    <w:rsid w:val="19962FCC"/>
    <w:rsid w:val="199E50E5"/>
    <w:rsid w:val="19A05834"/>
    <w:rsid w:val="19A31463"/>
    <w:rsid w:val="19A52E4A"/>
    <w:rsid w:val="19A74E14"/>
    <w:rsid w:val="19AA66B3"/>
    <w:rsid w:val="19AC41D9"/>
    <w:rsid w:val="19AC5F87"/>
    <w:rsid w:val="19AF7825"/>
    <w:rsid w:val="19B22744"/>
    <w:rsid w:val="19B337B9"/>
    <w:rsid w:val="19B65058"/>
    <w:rsid w:val="19BB441C"/>
    <w:rsid w:val="19BD63E6"/>
    <w:rsid w:val="19BD7605"/>
    <w:rsid w:val="19BE5CBA"/>
    <w:rsid w:val="19C01A32"/>
    <w:rsid w:val="19C07C84"/>
    <w:rsid w:val="19C86B39"/>
    <w:rsid w:val="19CF1C75"/>
    <w:rsid w:val="19D35C0A"/>
    <w:rsid w:val="19D63004"/>
    <w:rsid w:val="19D90D46"/>
    <w:rsid w:val="19E03E83"/>
    <w:rsid w:val="19E41BC5"/>
    <w:rsid w:val="19E96351"/>
    <w:rsid w:val="19F25F57"/>
    <w:rsid w:val="19F30585"/>
    <w:rsid w:val="19F31E08"/>
    <w:rsid w:val="19F33BB6"/>
    <w:rsid w:val="19F45B80"/>
    <w:rsid w:val="19FA6126"/>
    <w:rsid w:val="19FF69FF"/>
    <w:rsid w:val="1A027F67"/>
    <w:rsid w:val="1A0409BD"/>
    <w:rsid w:val="1A0538E9"/>
    <w:rsid w:val="1A057D8D"/>
    <w:rsid w:val="1A085187"/>
    <w:rsid w:val="1A09138C"/>
    <w:rsid w:val="1A0C2EC9"/>
    <w:rsid w:val="1A18361C"/>
    <w:rsid w:val="1A1C66C0"/>
    <w:rsid w:val="1A1F0E4F"/>
    <w:rsid w:val="1A240213"/>
    <w:rsid w:val="1A27385F"/>
    <w:rsid w:val="1A2B77F4"/>
    <w:rsid w:val="1A2D1611"/>
    <w:rsid w:val="1A2E2E40"/>
    <w:rsid w:val="1A2E4BEE"/>
    <w:rsid w:val="1A367F46"/>
    <w:rsid w:val="1A392129"/>
    <w:rsid w:val="1A3A7A37"/>
    <w:rsid w:val="1A3F5F9B"/>
    <w:rsid w:val="1A404921"/>
    <w:rsid w:val="1A42393B"/>
    <w:rsid w:val="1A4268EB"/>
    <w:rsid w:val="1A435F0A"/>
    <w:rsid w:val="1A441CBC"/>
    <w:rsid w:val="1A4A57A0"/>
    <w:rsid w:val="1A4B1C44"/>
    <w:rsid w:val="1A4E34E2"/>
    <w:rsid w:val="1A4E4600"/>
    <w:rsid w:val="1A516B2E"/>
    <w:rsid w:val="1A526911"/>
    <w:rsid w:val="1A58610F"/>
    <w:rsid w:val="1A5A4033"/>
    <w:rsid w:val="1A5E6E65"/>
    <w:rsid w:val="1A6745A4"/>
    <w:rsid w:val="1A6751A7"/>
    <w:rsid w:val="1A693E78"/>
    <w:rsid w:val="1A6C1BBA"/>
    <w:rsid w:val="1A6C5716"/>
    <w:rsid w:val="1A7016AA"/>
    <w:rsid w:val="1A7036F0"/>
    <w:rsid w:val="1A75606A"/>
    <w:rsid w:val="1A766595"/>
    <w:rsid w:val="1A780499"/>
    <w:rsid w:val="1A7A42D7"/>
    <w:rsid w:val="1A7A5E19"/>
    <w:rsid w:val="1A7A7E33"/>
    <w:rsid w:val="1A7D2C10"/>
    <w:rsid w:val="1A7D5B75"/>
    <w:rsid w:val="1A7D7923"/>
    <w:rsid w:val="1A7E53C6"/>
    <w:rsid w:val="1A824F3A"/>
    <w:rsid w:val="1A8A7F67"/>
    <w:rsid w:val="1A8E38DF"/>
    <w:rsid w:val="1A907657"/>
    <w:rsid w:val="1A924679"/>
    <w:rsid w:val="1A9475CB"/>
    <w:rsid w:val="1A9A74A1"/>
    <w:rsid w:val="1A9D2550"/>
    <w:rsid w:val="1A9D4337"/>
    <w:rsid w:val="1A9D6217"/>
    <w:rsid w:val="1A9F5AEC"/>
    <w:rsid w:val="1AA66E7A"/>
    <w:rsid w:val="1AA90718"/>
    <w:rsid w:val="1AAE5D2F"/>
    <w:rsid w:val="1AB05F4B"/>
    <w:rsid w:val="1AB33345"/>
    <w:rsid w:val="1AB610DA"/>
    <w:rsid w:val="1AB833B2"/>
    <w:rsid w:val="1AB86E8B"/>
    <w:rsid w:val="1AB94A4F"/>
    <w:rsid w:val="1ABF08C1"/>
    <w:rsid w:val="1AC60017"/>
    <w:rsid w:val="1AC840ED"/>
    <w:rsid w:val="1AC94917"/>
    <w:rsid w:val="1ACD2659"/>
    <w:rsid w:val="1ACE4623"/>
    <w:rsid w:val="1ADB5522"/>
    <w:rsid w:val="1AE027CB"/>
    <w:rsid w:val="1AE41750"/>
    <w:rsid w:val="1AE6196C"/>
    <w:rsid w:val="1AE856E5"/>
    <w:rsid w:val="1AE94FB9"/>
    <w:rsid w:val="1AEB35C0"/>
    <w:rsid w:val="1AEE7796"/>
    <w:rsid w:val="1AF220BF"/>
    <w:rsid w:val="1AF5395E"/>
    <w:rsid w:val="1AF776D6"/>
    <w:rsid w:val="1AF851FC"/>
    <w:rsid w:val="1AFB27F7"/>
    <w:rsid w:val="1AFF47DC"/>
    <w:rsid w:val="1B010952"/>
    <w:rsid w:val="1B040045"/>
    <w:rsid w:val="1B046F80"/>
    <w:rsid w:val="1B063DBD"/>
    <w:rsid w:val="1B122762"/>
    <w:rsid w:val="1B1C0EEA"/>
    <w:rsid w:val="1B1C713C"/>
    <w:rsid w:val="1B1D7B9C"/>
    <w:rsid w:val="1B1F6C2C"/>
    <w:rsid w:val="1B222279"/>
    <w:rsid w:val="1B2E0C1E"/>
    <w:rsid w:val="1B2F50C2"/>
    <w:rsid w:val="1B324BB2"/>
    <w:rsid w:val="1B3267B5"/>
    <w:rsid w:val="1B3501FE"/>
    <w:rsid w:val="1B3705F1"/>
    <w:rsid w:val="1B395C34"/>
    <w:rsid w:val="1B3E3557"/>
    <w:rsid w:val="1B410951"/>
    <w:rsid w:val="1B4346C9"/>
    <w:rsid w:val="1B461B95"/>
    <w:rsid w:val="1B466DA8"/>
    <w:rsid w:val="1B4A1EFB"/>
    <w:rsid w:val="1B4B1205"/>
    <w:rsid w:val="1B4F12C0"/>
    <w:rsid w:val="1B551BB4"/>
    <w:rsid w:val="1B55264E"/>
    <w:rsid w:val="1B5728FE"/>
    <w:rsid w:val="1B5763C6"/>
    <w:rsid w:val="1B5A1A13"/>
    <w:rsid w:val="1B5E59A7"/>
    <w:rsid w:val="1B610FF3"/>
    <w:rsid w:val="1B617DDC"/>
    <w:rsid w:val="1B642891"/>
    <w:rsid w:val="1B650AE3"/>
    <w:rsid w:val="1B684130"/>
    <w:rsid w:val="1B6B62AA"/>
    <w:rsid w:val="1B6E246A"/>
    <w:rsid w:val="1B776A68"/>
    <w:rsid w:val="1B79449A"/>
    <w:rsid w:val="1B7A20B5"/>
    <w:rsid w:val="1B8371BB"/>
    <w:rsid w:val="1B8917F2"/>
    <w:rsid w:val="1B8D1DE8"/>
    <w:rsid w:val="1B8E559D"/>
    <w:rsid w:val="1B8F5B60"/>
    <w:rsid w:val="1B917546"/>
    <w:rsid w:val="1B917B2A"/>
    <w:rsid w:val="1B974A15"/>
    <w:rsid w:val="1B976543"/>
    <w:rsid w:val="1B9B4505"/>
    <w:rsid w:val="1BA809D0"/>
    <w:rsid w:val="1BAA0CF5"/>
    <w:rsid w:val="1BB2184F"/>
    <w:rsid w:val="1BB249FC"/>
    <w:rsid w:val="1BBB4BA7"/>
    <w:rsid w:val="1BBE1FA1"/>
    <w:rsid w:val="1BC11A92"/>
    <w:rsid w:val="1BC25DC8"/>
    <w:rsid w:val="1BC66BE3"/>
    <w:rsid w:val="1BC752FA"/>
    <w:rsid w:val="1BCA3093"/>
    <w:rsid w:val="1BCD6688"/>
    <w:rsid w:val="1BCF3EC0"/>
    <w:rsid w:val="1BD05CC3"/>
    <w:rsid w:val="1BD25A4D"/>
    <w:rsid w:val="1BDD4B1E"/>
    <w:rsid w:val="1BDF119A"/>
    <w:rsid w:val="1BE13EE2"/>
    <w:rsid w:val="1BE67209"/>
    <w:rsid w:val="1BEA548C"/>
    <w:rsid w:val="1BF12377"/>
    <w:rsid w:val="1BF9122C"/>
    <w:rsid w:val="1BF9747E"/>
    <w:rsid w:val="1BFA4DF3"/>
    <w:rsid w:val="1BFE4A94"/>
    <w:rsid w:val="1C032DB0"/>
    <w:rsid w:val="1C177904"/>
    <w:rsid w:val="1C187CE4"/>
    <w:rsid w:val="1C1918CE"/>
    <w:rsid w:val="1C1F5136"/>
    <w:rsid w:val="1C1F6AB3"/>
    <w:rsid w:val="1C204A0A"/>
    <w:rsid w:val="1C2942AF"/>
    <w:rsid w:val="1C297D63"/>
    <w:rsid w:val="1C2C1601"/>
    <w:rsid w:val="1C2E35CB"/>
    <w:rsid w:val="1C2F2E9F"/>
    <w:rsid w:val="1C2F4C4D"/>
    <w:rsid w:val="1C316C17"/>
    <w:rsid w:val="1C3B5CE8"/>
    <w:rsid w:val="1C3D380E"/>
    <w:rsid w:val="1C3D43D1"/>
    <w:rsid w:val="1C3D55BC"/>
    <w:rsid w:val="1C495A9D"/>
    <w:rsid w:val="1C4C57FF"/>
    <w:rsid w:val="1C4E0B38"/>
    <w:rsid w:val="1C4E1577"/>
    <w:rsid w:val="1C4E77C9"/>
    <w:rsid w:val="1C5341C9"/>
    <w:rsid w:val="1C5D5C5E"/>
    <w:rsid w:val="1C5D7A0C"/>
    <w:rsid w:val="1C5E7925"/>
    <w:rsid w:val="1C5F71C6"/>
    <w:rsid w:val="1C646FED"/>
    <w:rsid w:val="1C6777DD"/>
    <w:rsid w:val="1C69015F"/>
    <w:rsid w:val="1C6A3ED7"/>
    <w:rsid w:val="1C6E1C1A"/>
    <w:rsid w:val="1C7020CB"/>
    <w:rsid w:val="1C704EFA"/>
    <w:rsid w:val="1C712CA5"/>
    <w:rsid w:val="1C735482"/>
    <w:rsid w:val="1C780121"/>
    <w:rsid w:val="1C784846"/>
    <w:rsid w:val="1C821221"/>
    <w:rsid w:val="1C827473"/>
    <w:rsid w:val="1C850DE3"/>
    <w:rsid w:val="1C8615F4"/>
    <w:rsid w:val="1C887FC8"/>
    <w:rsid w:val="1C8E7BC6"/>
    <w:rsid w:val="1C9553F8"/>
    <w:rsid w:val="1C97240B"/>
    <w:rsid w:val="1C9A2A0F"/>
    <w:rsid w:val="1C9B0535"/>
    <w:rsid w:val="1CA13D9D"/>
    <w:rsid w:val="1CA636C0"/>
    <w:rsid w:val="1CA76006"/>
    <w:rsid w:val="1CA94A00"/>
    <w:rsid w:val="1CAC44F0"/>
    <w:rsid w:val="1CB02232"/>
    <w:rsid w:val="1CBA6C0D"/>
    <w:rsid w:val="1CBD66FD"/>
    <w:rsid w:val="1CBF06C7"/>
    <w:rsid w:val="1CC17F9B"/>
    <w:rsid w:val="1CC614DF"/>
    <w:rsid w:val="1CC63804"/>
    <w:rsid w:val="1CC932F4"/>
    <w:rsid w:val="1CCE090A"/>
    <w:rsid w:val="1CCE7662"/>
    <w:rsid w:val="1CD06827"/>
    <w:rsid w:val="1CD11779"/>
    <w:rsid w:val="1CD777BF"/>
    <w:rsid w:val="1CD83537"/>
    <w:rsid w:val="1CDD0B4D"/>
    <w:rsid w:val="1CE27F12"/>
    <w:rsid w:val="1CE56751"/>
    <w:rsid w:val="1CE66C3A"/>
    <w:rsid w:val="1CEE4B08"/>
    <w:rsid w:val="1CF163A7"/>
    <w:rsid w:val="1CF3551E"/>
    <w:rsid w:val="1CF7783C"/>
    <w:rsid w:val="1CFC0FD3"/>
    <w:rsid w:val="1CFC5477"/>
    <w:rsid w:val="1D0221D5"/>
    <w:rsid w:val="1D037E77"/>
    <w:rsid w:val="1D0B5412"/>
    <w:rsid w:val="1D0D1432"/>
    <w:rsid w:val="1D0E51AB"/>
    <w:rsid w:val="1D13631D"/>
    <w:rsid w:val="1D1502E7"/>
    <w:rsid w:val="1D1638A0"/>
    <w:rsid w:val="1D1B1F70"/>
    <w:rsid w:val="1D1E53EE"/>
    <w:rsid w:val="1D1E587E"/>
    <w:rsid w:val="1D230C56"/>
    <w:rsid w:val="1D2422D8"/>
    <w:rsid w:val="1D27172A"/>
    <w:rsid w:val="1D28776C"/>
    <w:rsid w:val="1D2B5F1E"/>
    <w:rsid w:val="1D305121"/>
    <w:rsid w:val="1D320E99"/>
    <w:rsid w:val="1D3369BF"/>
    <w:rsid w:val="1D343C6E"/>
    <w:rsid w:val="1D3764AF"/>
    <w:rsid w:val="1D3C5874"/>
    <w:rsid w:val="1D3F5364"/>
    <w:rsid w:val="1D4110DC"/>
    <w:rsid w:val="1D436C02"/>
    <w:rsid w:val="1D454590"/>
    <w:rsid w:val="1D4604A0"/>
    <w:rsid w:val="1D494FEE"/>
    <w:rsid w:val="1D496BFF"/>
    <w:rsid w:val="1D4B5AB7"/>
    <w:rsid w:val="1D4F1A4B"/>
    <w:rsid w:val="1D50131F"/>
    <w:rsid w:val="1D5030CD"/>
    <w:rsid w:val="1D57445C"/>
    <w:rsid w:val="1D5C4168"/>
    <w:rsid w:val="1D5D57EA"/>
    <w:rsid w:val="1D5F6196"/>
    <w:rsid w:val="1D6132A5"/>
    <w:rsid w:val="1D631052"/>
    <w:rsid w:val="1D686669"/>
    <w:rsid w:val="1D69418F"/>
    <w:rsid w:val="1D701DA4"/>
    <w:rsid w:val="1D757536"/>
    <w:rsid w:val="1D813BCE"/>
    <w:rsid w:val="1D85652A"/>
    <w:rsid w:val="1D8611E5"/>
    <w:rsid w:val="1D866BC1"/>
    <w:rsid w:val="1D8E4E63"/>
    <w:rsid w:val="1D8E56D5"/>
    <w:rsid w:val="1D903E12"/>
    <w:rsid w:val="1D943902"/>
    <w:rsid w:val="1D9E208B"/>
    <w:rsid w:val="1D9E279F"/>
    <w:rsid w:val="1DA376A1"/>
    <w:rsid w:val="1DB2192C"/>
    <w:rsid w:val="1DB541DC"/>
    <w:rsid w:val="1DB814F0"/>
    <w:rsid w:val="1DB96EC4"/>
    <w:rsid w:val="1DBE44DB"/>
    <w:rsid w:val="1DC064A5"/>
    <w:rsid w:val="1DC6338F"/>
    <w:rsid w:val="1DC835AB"/>
    <w:rsid w:val="1DC87107"/>
    <w:rsid w:val="1DCA2E80"/>
    <w:rsid w:val="1DCA3975"/>
    <w:rsid w:val="1DCA7323"/>
    <w:rsid w:val="1DCF66E8"/>
    <w:rsid w:val="1DD0420E"/>
    <w:rsid w:val="1DD26E1C"/>
    <w:rsid w:val="1DD72298"/>
    <w:rsid w:val="1DD737EE"/>
    <w:rsid w:val="1DD7559C"/>
    <w:rsid w:val="1DD849C1"/>
    <w:rsid w:val="1DDB32DF"/>
    <w:rsid w:val="1DDF4DA5"/>
    <w:rsid w:val="1DE005BB"/>
    <w:rsid w:val="1DE2466D"/>
    <w:rsid w:val="1DE76E33"/>
    <w:rsid w:val="1DEA6122"/>
    <w:rsid w:val="1DEB1048"/>
    <w:rsid w:val="1DEC729A"/>
    <w:rsid w:val="1DED6B6E"/>
    <w:rsid w:val="1DEE3DF0"/>
    <w:rsid w:val="1DF234E7"/>
    <w:rsid w:val="1DF47922"/>
    <w:rsid w:val="1DF61EC7"/>
    <w:rsid w:val="1DF63C75"/>
    <w:rsid w:val="1DFC3255"/>
    <w:rsid w:val="1DFE001E"/>
    <w:rsid w:val="1DFE521F"/>
    <w:rsid w:val="1E022BB7"/>
    <w:rsid w:val="1E087E4C"/>
    <w:rsid w:val="1E0F0A85"/>
    <w:rsid w:val="1E140927"/>
    <w:rsid w:val="1E1503D5"/>
    <w:rsid w:val="1E1B192D"/>
    <w:rsid w:val="1E1B36DB"/>
    <w:rsid w:val="1E1D7157"/>
    <w:rsid w:val="1E214A6A"/>
    <w:rsid w:val="1E222CBC"/>
    <w:rsid w:val="1E2307E2"/>
    <w:rsid w:val="1E2C3B3A"/>
    <w:rsid w:val="1E320A25"/>
    <w:rsid w:val="1E326C77"/>
    <w:rsid w:val="1E37428D"/>
    <w:rsid w:val="1E3E386E"/>
    <w:rsid w:val="1E400B16"/>
    <w:rsid w:val="1E4A0464"/>
    <w:rsid w:val="1E4C7D38"/>
    <w:rsid w:val="1E5170FD"/>
    <w:rsid w:val="1E521E5C"/>
    <w:rsid w:val="1E560BB7"/>
    <w:rsid w:val="1E5A31BE"/>
    <w:rsid w:val="1E5A7901"/>
    <w:rsid w:val="1E5D655D"/>
    <w:rsid w:val="1E6225FC"/>
    <w:rsid w:val="1E62755C"/>
    <w:rsid w:val="1E690E12"/>
    <w:rsid w:val="1E693DBB"/>
    <w:rsid w:val="1E6A01BF"/>
    <w:rsid w:val="1E6E4153"/>
    <w:rsid w:val="1E6E627A"/>
    <w:rsid w:val="1E71154D"/>
    <w:rsid w:val="1E7159F1"/>
    <w:rsid w:val="1E763007"/>
    <w:rsid w:val="1E780D78"/>
    <w:rsid w:val="1E7A43DA"/>
    <w:rsid w:val="1E7B6870"/>
    <w:rsid w:val="1E803E86"/>
    <w:rsid w:val="1E875215"/>
    <w:rsid w:val="1E881EAE"/>
    <w:rsid w:val="1E8E20FF"/>
    <w:rsid w:val="1E957931"/>
    <w:rsid w:val="1E960FB4"/>
    <w:rsid w:val="1E967206"/>
    <w:rsid w:val="1E9A6CF6"/>
    <w:rsid w:val="1E9F255E"/>
    <w:rsid w:val="1EA01E32"/>
    <w:rsid w:val="1EA36355"/>
    <w:rsid w:val="1EA47B74"/>
    <w:rsid w:val="1EAE7EC3"/>
    <w:rsid w:val="1EAF2075"/>
    <w:rsid w:val="1EB277FE"/>
    <w:rsid w:val="1EB31B66"/>
    <w:rsid w:val="1EB51D82"/>
    <w:rsid w:val="1EBA2EF4"/>
    <w:rsid w:val="1EC22CE6"/>
    <w:rsid w:val="1EC2624D"/>
    <w:rsid w:val="1EC5276A"/>
    <w:rsid w:val="1EC91389"/>
    <w:rsid w:val="1EC93137"/>
    <w:rsid w:val="1ECC0E79"/>
    <w:rsid w:val="1ECE699F"/>
    <w:rsid w:val="1ED02718"/>
    <w:rsid w:val="1ED41ADC"/>
    <w:rsid w:val="1ED65854"/>
    <w:rsid w:val="1EDB10BC"/>
    <w:rsid w:val="1EDD3086"/>
    <w:rsid w:val="1EDD6BE3"/>
    <w:rsid w:val="1EE47F71"/>
    <w:rsid w:val="1EE52A7C"/>
    <w:rsid w:val="1EE937D9"/>
    <w:rsid w:val="1EE9589D"/>
    <w:rsid w:val="1EF26B32"/>
    <w:rsid w:val="1EFA027C"/>
    <w:rsid w:val="1EFA1543"/>
    <w:rsid w:val="1EFB52BB"/>
    <w:rsid w:val="1EFD1033"/>
    <w:rsid w:val="1EFD3C62"/>
    <w:rsid w:val="1EFF124F"/>
    <w:rsid w:val="1EFF4DAB"/>
    <w:rsid w:val="1F007446"/>
    <w:rsid w:val="1F010B23"/>
    <w:rsid w:val="1F0625DD"/>
    <w:rsid w:val="1F074B01"/>
    <w:rsid w:val="1F0B19A2"/>
    <w:rsid w:val="1F0C2860"/>
    <w:rsid w:val="1F0E3240"/>
    <w:rsid w:val="1F122D30"/>
    <w:rsid w:val="1F1378B1"/>
    <w:rsid w:val="1F15637C"/>
    <w:rsid w:val="1F1A1D73"/>
    <w:rsid w:val="1F1A73DC"/>
    <w:rsid w:val="1F1C3BAF"/>
    <w:rsid w:val="1F262338"/>
    <w:rsid w:val="1F2729AA"/>
    <w:rsid w:val="1F29007A"/>
    <w:rsid w:val="1F2C36C6"/>
    <w:rsid w:val="1F2E3015"/>
    <w:rsid w:val="1F306CF2"/>
    <w:rsid w:val="1F330EF8"/>
    <w:rsid w:val="1F356A1F"/>
    <w:rsid w:val="1F38206B"/>
    <w:rsid w:val="1F394761"/>
    <w:rsid w:val="1F3D58D3"/>
    <w:rsid w:val="1F4206BA"/>
    <w:rsid w:val="1F464788"/>
    <w:rsid w:val="1F477846"/>
    <w:rsid w:val="1F4E5D32"/>
    <w:rsid w:val="1F555A28"/>
    <w:rsid w:val="1F5844BB"/>
    <w:rsid w:val="1F6115C2"/>
    <w:rsid w:val="1F642E60"/>
    <w:rsid w:val="1F647002"/>
    <w:rsid w:val="1F684FAA"/>
    <w:rsid w:val="1F6B0692"/>
    <w:rsid w:val="1F6B1689"/>
    <w:rsid w:val="1F7363E0"/>
    <w:rsid w:val="1F7C289F"/>
    <w:rsid w:val="1F7C63FB"/>
    <w:rsid w:val="1F83778A"/>
    <w:rsid w:val="1F845B16"/>
    <w:rsid w:val="1F8654CC"/>
    <w:rsid w:val="1F8710F0"/>
    <w:rsid w:val="1F8A1EBA"/>
    <w:rsid w:val="1F914C18"/>
    <w:rsid w:val="1F923E71"/>
    <w:rsid w:val="1F9329C7"/>
    <w:rsid w:val="1F947BE9"/>
    <w:rsid w:val="1F95570F"/>
    <w:rsid w:val="1F9D6372"/>
    <w:rsid w:val="1FA2402F"/>
    <w:rsid w:val="1FA31BDA"/>
    <w:rsid w:val="1FA47700"/>
    <w:rsid w:val="1FB37987"/>
    <w:rsid w:val="1FB45B95"/>
    <w:rsid w:val="1FB93ACF"/>
    <w:rsid w:val="1FC075B8"/>
    <w:rsid w:val="1FC446C3"/>
    <w:rsid w:val="1FC46989"/>
    <w:rsid w:val="1FC85AE5"/>
    <w:rsid w:val="1FC913C8"/>
    <w:rsid w:val="1FCF0C21"/>
    <w:rsid w:val="1FD04999"/>
    <w:rsid w:val="1FD55B0C"/>
    <w:rsid w:val="1FD75D28"/>
    <w:rsid w:val="1FD955FC"/>
    <w:rsid w:val="1FDF5A2B"/>
    <w:rsid w:val="1FE25C23"/>
    <w:rsid w:val="1FE30229"/>
    <w:rsid w:val="1FE7539E"/>
    <w:rsid w:val="1FF24910"/>
    <w:rsid w:val="1FF468DA"/>
    <w:rsid w:val="1FF71F26"/>
    <w:rsid w:val="1FFB2C5D"/>
    <w:rsid w:val="1FFC12EA"/>
    <w:rsid w:val="2005311A"/>
    <w:rsid w:val="20081A9B"/>
    <w:rsid w:val="20084133"/>
    <w:rsid w:val="20087C8F"/>
    <w:rsid w:val="20104D96"/>
    <w:rsid w:val="20146634"/>
    <w:rsid w:val="201E5705"/>
    <w:rsid w:val="201E74B3"/>
    <w:rsid w:val="20204247"/>
    <w:rsid w:val="20216FA3"/>
    <w:rsid w:val="20230F6D"/>
    <w:rsid w:val="202F346E"/>
    <w:rsid w:val="20370574"/>
    <w:rsid w:val="204333BD"/>
    <w:rsid w:val="204607B7"/>
    <w:rsid w:val="204A2ABA"/>
    <w:rsid w:val="204A3E24"/>
    <w:rsid w:val="204C4020"/>
    <w:rsid w:val="204D3B51"/>
    <w:rsid w:val="204F1D62"/>
    <w:rsid w:val="20515ADA"/>
    <w:rsid w:val="20541126"/>
    <w:rsid w:val="2059673D"/>
    <w:rsid w:val="205C7FDB"/>
    <w:rsid w:val="206155F1"/>
    <w:rsid w:val="20623843"/>
    <w:rsid w:val="20631369"/>
    <w:rsid w:val="20642787"/>
    <w:rsid w:val="206770AC"/>
    <w:rsid w:val="206A094A"/>
    <w:rsid w:val="206A26F8"/>
    <w:rsid w:val="206A5744"/>
    <w:rsid w:val="206A6B9C"/>
    <w:rsid w:val="206C2914"/>
    <w:rsid w:val="206C46C2"/>
    <w:rsid w:val="206F41B2"/>
    <w:rsid w:val="207277FE"/>
    <w:rsid w:val="20735A50"/>
    <w:rsid w:val="20745325"/>
    <w:rsid w:val="20796DDF"/>
    <w:rsid w:val="207B2B57"/>
    <w:rsid w:val="207D46DD"/>
    <w:rsid w:val="207D4F96"/>
    <w:rsid w:val="2080016D"/>
    <w:rsid w:val="20816EC3"/>
    <w:rsid w:val="208211C5"/>
    <w:rsid w:val="208512E0"/>
    <w:rsid w:val="208569AA"/>
    <w:rsid w:val="20860302"/>
    <w:rsid w:val="208C2D42"/>
    <w:rsid w:val="208D2370"/>
    <w:rsid w:val="208E4638"/>
    <w:rsid w:val="20913FE3"/>
    <w:rsid w:val="2094622D"/>
    <w:rsid w:val="20963CB8"/>
    <w:rsid w:val="209A56C0"/>
    <w:rsid w:val="209E23A2"/>
    <w:rsid w:val="20A7400A"/>
    <w:rsid w:val="20A8477C"/>
    <w:rsid w:val="20A92DD4"/>
    <w:rsid w:val="20AD0837"/>
    <w:rsid w:val="20B07FB6"/>
    <w:rsid w:val="20B15C43"/>
    <w:rsid w:val="20B240CD"/>
    <w:rsid w:val="20B61A5F"/>
    <w:rsid w:val="20C04A0E"/>
    <w:rsid w:val="20C22534"/>
    <w:rsid w:val="20C33369"/>
    <w:rsid w:val="20C41A43"/>
    <w:rsid w:val="20C95670"/>
    <w:rsid w:val="20CF4C51"/>
    <w:rsid w:val="20D52267"/>
    <w:rsid w:val="20DA5ACF"/>
    <w:rsid w:val="20DA7812"/>
    <w:rsid w:val="20DD111C"/>
    <w:rsid w:val="20DD55C0"/>
    <w:rsid w:val="20E029BA"/>
    <w:rsid w:val="20E424AA"/>
    <w:rsid w:val="20E64474"/>
    <w:rsid w:val="20E73D48"/>
    <w:rsid w:val="20EA55E7"/>
    <w:rsid w:val="20EE50D7"/>
    <w:rsid w:val="20F12E19"/>
    <w:rsid w:val="20F326ED"/>
    <w:rsid w:val="20F3403C"/>
    <w:rsid w:val="20F36B91"/>
    <w:rsid w:val="20FA198E"/>
    <w:rsid w:val="20FD531A"/>
    <w:rsid w:val="2100305C"/>
    <w:rsid w:val="21022930"/>
    <w:rsid w:val="210C1A01"/>
    <w:rsid w:val="210F504D"/>
    <w:rsid w:val="211014F1"/>
    <w:rsid w:val="2110329F"/>
    <w:rsid w:val="211508B6"/>
    <w:rsid w:val="211663DC"/>
    <w:rsid w:val="211C60E8"/>
    <w:rsid w:val="211F7986"/>
    <w:rsid w:val="21244F9D"/>
    <w:rsid w:val="21246D4B"/>
    <w:rsid w:val="213827F6"/>
    <w:rsid w:val="213A544A"/>
    <w:rsid w:val="213B74B1"/>
    <w:rsid w:val="213C22E6"/>
    <w:rsid w:val="213E1301"/>
    <w:rsid w:val="21425423"/>
    <w:rsid w:val="2144119B"/>
    <w:rsid w:val="21455F13"/>
    <w:rsid w:val="214742B5"/>
    <w:rsid w:val="214B2529"/>
    <w:rsid w:val="214C3D20"/>
    <w:rsid w:val="214E5B76"/>
    <w:rsid w:val="21507B40"/>
    <w:rsid w:val="21537DD8"/>
    <w:rsid w:val="21562C7C"/>
    <w:rsid w:val="215869F4"/>
    <w:rsid w:val="215A2310"/>
    <w:rsid w:val="215A6C10"/>
    <w:rsid w:val="215C2F2C"/>
    <w:rsid w:val="215D5254"/>
    <w:rsid w:val="216474C2"/>
    <w:rsid w:val="21696E53"/>
    <w:rsid w:val="216B6728"/>
    <w:rsid w:val="216C4D8D"/>
    <w:rsid w:val="216E7FC6"/>
    <w:rsid w:val="21717AB6"/>
    <w:rsid w:val="2174620A"/>
    <w:rsid w:val="21817CF9"/>
    <w:rsid w:val="21823A71"/>
    <w:rsid w:val="21852C8B"/>
    <w:rsid w:val="2188552B"/>
    <w:rsid w:val="218B5160"/>
    <w:rsid w:val="219007B1"/>
    <w:rsid w:val="219263AA"/>
    <w:rsid w:val="21933ED0"/>
    <w:rsid w:val="21957C48"/>
    <w:rsid w:val="21974C34"/>
    <w:rsid w:val="2197576F"/>
    <w:rsid w:val="219859DA"/>
    <w:rsid w:val="21997739"/>
    <w:rsid w:val="21A41C3A"/>
    <w:rsid w:val="21A460DD"/>
    <w:rsid w:val="21A659B2"/>
    <w:rsid w:val="21A734D8"/>
    <w:rsid w:val="21AE2AB8"/>
    <w:rsid w:val="21B067E3"/>
    <w:rsid w:val="21B14C75"/>
    <w:rsid w:val="21B856E5"/>
    <w:rsid w:val="21BA76AF"/>
    <w:rsid w:val="21BC51D5"/>
    <w:rsid w:val="21BF0821"/>
    <w:rsid w:val="21C34E99"/>
    <w:rsid w:val="21C661A1"/>
    <w:rsid w:val="21CB5418"/>
    <w:rsid w:val="21CC3CDF"/>
    <w:rsid w:val="21CD1190"/>
    <w:rsid w:val="21CF1302"/>
    <w:rsid w:val="21D3043D"/>
    <w:rsid w:val="21D4251F"/>
    <w:rsid w:val="21DC74DE"/>
    <w:rsid w:val="21DE318A"/>
    <w:rsid w:val="21DE339D"/>
    <w:rsid w:val="21DE3F6D"/>
    <w:rsid w:val="21E03C1E"/>
    <w:rsid w:val="21E13187"/>
    <w:rsid w:val="21E40288"/>
    <w:rsid w:val="21E94948"/>
    <w:rsid w:val="21E965D1"/>
    <w:rsid w:val="21ED0E6A"/>
    <w:rsid w:val="21EF5B80"/>
    <w:rsid w:val="21F4496F"/>
    <w:rsid w:val="21F66F4C"/>
    <w:rsid w:val="21FA58CD"/>
    <w:rsid w:val="21FC7CC7"/>
    <w:rsid w:val="2201708C"/>
    <w:rsid w:val="220B1CB9"/>
    <w:rsid w:val="220B7F0B"/>
    <w:rsid w:val="22162B37"/>
    <w:rsid w:val="221B56B0"/>
    <w:rsid w:val="221C3EC6"/>
    <w:rsid w:val="221D1128"/>
    <w:rsid w:val="22205764"/>
    <w:rsid w:val="22244B28"/>
    <w:rsid w:val="222608A0"/>
    <w:rsid w:val="222A213F"/>
    <w:rsid w:val="222A65E3"/>
    <w:rsid w:val="222C235B"/>
    <w:rsid w:val="222D26E1"/>
    <w:rsid w:val="22342FBD"/>
    <w:rsid w:val="223631D9"/>
    <w:rsid w:val="22396826"/>
    <w:rsid w:val="223E5BEA"/>
    <w:rsid w:val="223F04E2"/>
    <w:rsid w:val="2241392C"/>
    <w:rsid w:val="22464F27"/>
    <w:rsid w:val="224D0523"/>
    <w:rsid w:val="224E3F10"/>
    <w:rsid w:val="224F1189"/>
    <w:rsid w:val="2250329C"/>
    <w:rsid w:val="22511DC1"/>
    <w:rsid w:val="22560A16"/>
    <w:rsid w:val="225673D8"/>
    <w:rsid w:val="22573150"/>
    <w:rsid w:val="22576990"/>
    <w:rsid w:val="225A0088"/>
    <w:rsid w:val="225B2C40"/>
    <w:rsid w:val="225B7477"/>
    <w:rsid w:val="226338A3"/>
    <w:rsid w:val="2265761B"/>
    <w:rsid w:val="226A2E83"/>
    <w:rsid w:val="226C6BFB"/>
    <w:rsid w:val="226E2973"/>
    <w:rsid w:val="226F0499"/>
    <w:rsid w:val="22723AE6"/>
    <w:rsid w:val="22753050"/>
    <w:rsid w:val="227710FC"/>
    <w:rsid w:val="22806203"/>
    <w:rsid w:val="22857CBD"/>
    <w:rsid w:val="22925F36"/>
    <w:rsid w:val="22943A5C"/>
    <w:rsid w:val="22993768"/>
    <w:rsid w:val="22994C0C"/>
    <w:rsid w:val="229C4EAB"/>
    <w:rsid w:val="22A00653"/>
    <w:rsid w:val="22AA6604"/>
    <w:rsid w:val="22AC2B5D"/>
    <w:rsid w:val="22AC524A"/>
    <w:rsid w:val="22AF0896"/>
    <w:rsid w:val="22B660C8"/>
    <w:rsid w:val="22B674CB"/>
    <w:rsid w:val="22B70195"/>
    <w:rsid w:val="22B8599C"/>
    <w:rsid w:val="22BD1205"/>
    <w:rsid w:val="22BD28C6"/>
    <w:rsid w:val="22BF62A8"/>
    <w:rsid w:val="22C02AA3"/>
    <w:rsid w:val="22C2681B"/>
    <w:rsid w:val="22C2713B"/>
    <w:rsid w:val="22C813AD"/>
    <w:rsid w:val="22CA1B74"/>
    <w:rsid w:val="22CB70E1"/>
    <w:rsid w:val="22CE51C0"/>
    <w:rsid w:val="22D12F02"/>
    <w:rsid w:val="22D14F59"/>
    <w:rsid w:val="22D50B4C"/>
    <w:rsid w:val="22D84291"/>
    <w:rsid w:val="22DB168B"/>
    <w:rsid w:val="22DD3655"/>
    <w:rsid w:val="22E03145"/>
    <w:rsid w:val="22E370DD"/>
    <w:rsid w:val="22E5075C"/>
    <w:rsid w:val="22E9024C"/>
    <w:rsid w:val="22E91FFA"/>
    <w:rsid w:val="22EC0514"/>
    <w:rsid w:val="22EE7610"/>
    <w:rsid w:val="22EF3388"/>
    <w:rsid w:val="22EF5136"/>
    <w:rsid w:val="22F10325"/>
    <w:rsid w:val="22F12CE8"/>
    <w:rsid w:val="22F32E79"/>
    <w:rsid w:val="22F36224"/>
    <w:rsid w:val="22F41B2B"/>
    <w:rsid w:val="22F56BF1"/>
    <w:rsid w:val="22F72A56"/>
    <w:rsid w:val="22F87F01"/>
    <w:rsid w:val="22F95FB5"/>
    <w:rsid w:val="22FB3ADB"/>
    <w:rsid w:val="23005752"/>
    <w:rsid w:val="230307BE"/>
    <w:rsid w:val="23035B1D"/>
    <w:rsid w:val="230706D2"/>
    <w:rsid w:val="231057D9"/>
    <w:rsid w:val="23124597"/>
    <w:rsid w:val="23150953"/>
    <w:rsid w:val="23181CF2"/>
    <w:rsid w:val="23187C1A"/>
    <w:rsid w:val="23206139"/>
    <w:rsid w:val="23250B58"/>
    <w:rsid w:val="23264FFC"/>
    <w:rsid w:val="23270D74"/>
    <w:rsid w:val="232A43C0"/>
    <w:rsid w:val="232C1EE7"/>
    <w:rsid w:val="232D0BF2"/>
    <w:rsid w:val="232E2103"/>
    <w:rsid w:val="2331574F"/>
    <w:rsid w:val="23343401"/>
    <w:rsid w:val="23362D65"/>
    <w:rsid w:val="2346744C"/>
    <w:rsid w:val="23476D20"/>
    <w:rsid w:val="23490CEA"/>
    <w:rsid w:val="23496F3C"/>
    <w:rsid w:val="234A05BF"/>
    <w:rsid w:val="234B6811"/>
    <w:rsid w:val="234F58A6"/>
    <w:rsid w:val="235002CB"/>
    <w:rsid w:val="2351194D"/>
    <w:rsid w:val="2355768F"/>
    <w:rsid w:val="235A0D1F"/>
    <w:rsid w:val="23607DE2"/>
    <w:rsid w:val="23625212"/>
    <w:rsid w:val="23627FFE"/>
    <w:rsid w:val="236E6522"/>
    <w:rsid w:val="23720241"/>
    <w:rsid w:val="237613B4"/>
    <w:rsid w:val="23765646"/>
    <w:rsid w:val="2378512C"/>
    <w:rsid w:val="237A6EBD"/>
    <w:rsid w:val="238034E2"/>
    <w:rsid w:val="238166D6"/>
    <w:rsid w:val="23871813"/>
    <w:rsid w:val="238A2A88"/>
    <w:rsid w:val="239051F6"/>
    <w:rsid w:val="23952182"/>
    <w:rsid w:val="23975438"/>
    <w:rsid w:val="23983A20"/>
    <w:rsid w:val="239D1036"/>
    <w:rsid w:val="239D2DE4"/>
    <w:rsid w:val="23A979DB"/>
    <w:rsid w:val="23AE0B4E"/>
    <w:rsid w:val="23AE4FF1"/>
    <w:rsid w:val="23B00D6A"/>
    <w:rsid w:val="23B24AE2"/>
    <w:rsid w:val="23B4085A"/>
    <w:rsid w:val="23BA5744"/>
    <w:rsid w:val="23BE146B"/>
    <w:rsid w:val="23BE2382"/>
    <w:rsid w:val="23C05D79"/>
    <w:rsid w:val="23C10881"/>
    <w:rsid w:val="23C14D25"/>
    <w:rsid w:val="23C16AD3"/>
    <w:rsid w:val="23CA79B4"/>
    <w:rsid w:val="23CB5BA3"/>
    <w:rsid w:val="23CD191B"/>
    <w:rsid w:val="23CE11F0"/>
    <w:rsid w:val="23CE7442"/>
    <w:rsid w:val="23D22A8E"/>
    <w:rsid w:val="23D26F32"/>
    <w:rsid w:val="23D700A4"/>
    <w:rsid w:val="23D74548"/>
    <w:rsid w:val="23DC3528"/>
    <w:rsid w:val="23DC71E7"/>
    <w:rsid w:val="23DD3EED"/>
    <w:rsid w:val="23DE15D6"/>
    <w:rsid w:val="23E17175"/>
    <w:rsid w:val="23E2215F"/>
    <w:rsid w:val="23E32EED"/>
    <w:rsid w:val="23EB3172"/>
    <w:rsid w:val="23EB7FF4"/>
    <w:rsid w:val="23EF6DDD"/>
    <w:rsid w:val="23F24EDE"/>
    <w:rsid w:val="23F8626D"/>
    <w:rsid w:val="23FA1FE5"/>
    <w:rsid w:val="23FC4938"/>
    <w:rsid w:val="240115C5"/>
    <w:rsid w:val="24015121"/>
    <w:rsid w:val="2406098A"/>
    <w:rsid w:val="24084702"/>
    <w:rsid w:val="240B2444"/>
    <w:rsid w:val="240B7CE8"/>
    <w:rsid w:val="24134E54"/>
    <w:rsid w:val="24174945"/>
    <w:rsid w:val="241A2687"/>
    <w:rsid w:val="242B4894"/>
    <w:rsid w:val="24347A80"/>
    <w:rsid w:val="24373239"/>
    <w:rsid w:val="24376D95"/>
    <w:rsid w:val="24383F19"/>
    <w:rsid w:val="24392B0D"/>
    <w:rsid w:val="24413208"/>
    <w:rsid w:val="24417C14"/>
    <w:rsid w:val="24446896"/>
    <w:rsid w:val="244F2331"/>
    <w:rsid w:val="244F5070"/>
    <w:rsid w:val="245060A9"/>
    <w:rsid w:val="24507E57"/>
    <w:rsid w:val="24547947"/>
    <w:rsid w:val="24561911"/>
    <w:rsid w:val="24653902"/>
    <w:rsid w:val="24661642"/>
    <w:rsid w:val="246833F2"/>
    <w:rsid w:val="246B4C91"/>
    <w:rsid w:val="246B4E01"/>
    <w:rsid w:val="246C3C2F"/>
    <w:rsid w:val="246F4781"/>
    <w:rsid w:val="247052DC"/>
    <w:rsid w:val="247509BC"/>
    <w:rsid w:val="247578BD"/>
    <w:rsid w:val="24761137"/>
    <w:rsid w:val="24773635"/>
    <w:rsid w:val="247955FF"/>
    <w:rsid w:val="247B4691"/>
    <w:rsid w:val="247E6188"/>
    <w:rsid w:val="24853FA4"/>
    <w:rsid w:val="24883A94"/>
    <w:rsid w:val="248F4E23"/>
    <w:rsid w:val="248F6BD1"/>
    <w:rsid w:val="249441E7"/>
    <w:rsid w:val="24957A67"/>
    <w:rsid w:val="24A0493A"/>
    <w:rsid w:val="24A374E0"/>
    <w:rsid w:val="24A85EE5"/>
    <w:rsid w:val="24AA57B9"/>
    <w:rsid w:val="24AC7783"/>
    <w:rsid w:val="24AF7273"/>
    <w:rsid w:val="24B31DC2"/>
    <w:rsid w:val="24B634E8"/>
    <w:rsid w:val="24BB1774"/>
    <w:rsid w:val="24BB2C9E"/>
    <w:rsid w:val="24BB4180"/>
    <w:rsid w:val="24BB79C6"/>
    <w:rsid w:val="24C148B0"/>
    <w:rsid w:val="24C20D54"/>
    <w:rsid w:val="24C21763"/>
    <w:rsid w:val="24C30629"/>
    <w:rsid w:val="24C83855"/>
    <w:rsid w:val="24CA6859"/>
    <w:rsid w:val="24CD76F9"/>
    <w:rsid w:val="24CF3471"/>
    <w:rsid w:val="24D171E9"/>
    <w:rsid w:val="24D64800"/>
    <w:rsid w:val="24DF6C29"/>
    <w:rsid w:val="24E00466"/>
    <w:rsid w:val="24E16D01"/>
    <w:rsid w:val="24E52C95"/>
    <w:rsid w:val="24E61397"/>
    <w:rsid w:val="24E91459"/>
    <w:rsid w:val="24EC4023"/>
    <w:rsid w:val="24ED56A6"/>
    <w:rsid w:val="24F25D15"/>
    <w:rsid w:val="24F627AC"/>
    <w:rsid w:val="24F66C50"/>
    <w:rsid w:val="24F84776"/>
    <w:rsid w:val="24FB4266"/>
    <w:rsid w:val="2500187D"/>
    <w:rsid w:val="2503311B"/>
    <w:rsid w:val="250A44A9"/>
    <w:rsid w:val="25102EC3"/>
    <w:rsid w:val="25115838"/>
    <w:rsid w:val="25132A7F"/>
    <w:rsid w:val="25170F50"/>
    <w:rsid w:val="25186BC6"/>
    <w:rsid w:val="251F61A7"/>
    <w:rsid w:val="25203CCD"/>
    <w:rsid w:val="252217F3"/>
    <w:rsid w:val="252B4B4C"/>
    <w:rsid w:val="252D53FE"/>
    <w:rsid w:val="25302162"/>
    <w:rsid w:val="2530284B"/>
    <w:rsid w:val="25341526"/>
    <w:rsid w:val="2536704D"/>
    <w:rsid w:val="253816FE"/>
    <w:rsid w:val="253B28B5"/>
    <w:rsid w:val="253D487F"/>
    <w:rsid w:val="253F0438"/>
    <w:rsid w:val="2540611D"/>
    <w:rsid w:val="25407ECB"/>
    <w:rsid w:val="25423C43"/>
    <w:rsid w:val="25467247"/>
    <w:rsid w:val="25493224"/>
    <w:rsid w:val="254E083A"/>
    <w:rsid w:val="2551032A"/>
    <w:rsid w:val="255319AC"/>
    <w:rsid w:val="25552D38"/>
    <w:rsid w:val="255676EF"/>
    <w:rsid w:val="2557798A"/>
    <w:rsid w:val="255A71DF"/>
    <w:rsid w:val="256736AA"/>
    <w:rsid w:val="256C0CC0"/>
    <w:rsid w:val="257638ED"/>
    <w:rsid w:val="25783B09"/>
    <w:rsid w:val="25787583"/>
    <w:rsid w:val="257A162F"/>
    <w:rsid w:val="257A33DD"/>
    <w:rsid w:val="257C53A7"/>
    <w:rsid w:val="258129BE"/>
    <w:rsid w:val="25820CEA"/>
    <w:rsid w:val="25822292"/>
    <w:rsid w:val="25826736"/>
    <w:rsid w:val="258424AE"/>
    <w:rsid w:val="25854EB2"/>
    <w:rsid w:val="258C1362"/>
    <w:rsid w:val="258C4EBE"/>
    <w:rsid w:val="258D2BFC"/>
    <w:rsid w:val="25916979"/>
    <w:rsid w:val="25950921"/>
    <w:rsid w:val="25956469"/>
    <w:rsid w:val="259721E1"/>
    <w:rsid w:val="259874E2"/>
    <w:rsid w:val="259A75DB"/>
    <w:rsid w:val="259B0619"/>
    <w:rsid w:val="259C77F7"/>
    <w:rsid w:val="25A718F0"/>
    <w:rsid w:val="25A91F14"/>
    <w:rsid w:val="25AC3881"/>
    <w:rsid w:val="25B6018D"/>
    <w:rsid w:val="25B70377"/>
    <w:rsid w:val="25B95E84"/>
    <w:rsid w:val="25BC57A4"/>
    <w:rsid w:val="25BD098A"/>
    <w:rsid w:val="25BD776E"/>
    <w:rsid w:val="25C1100C"/>
    <w:rsid w:val="25C1725E"/>
    <w:rsid w:val="25C97EC1"/>
    <w:rsid w:val="25D074A1"/>
    <w:rsid w:val="25D7082F"/>
    <w:rsid w:val="25D725DE"/>
    <w:rsid w:val="25D961D0"/>
    <w:rsid w:val="25DC5E46"/>
    <w:rsid w:val="25DD396C"/>
    <w:rsid w:val="25DE1BBE"/>
    <w:rsid w:val="25E60A73"/>
    <w:rsid w:val="25EB42DB"/>
    <w:rsid w:val="25EC2D81"/>
    <w:rsid w:val="25F022C2"/>
    <w:rsid w:val="25F0369F"/>
    <w:rsid w:val="25F34F3E"/>
    <w:rsid w:val="25F413E1"/>
    <w:rsid w:val="25F52A64"/>
    <w:rsid w:val="25F7330A"/>
    <w:rsid w:val="25F74973"/>
    <w:rsid w:val="25FA4ABC"/>
    <w:rsid w:val="25FC13BE"/>
    <w:rsid w:val="25FC2044"/>
    <w:rsid w:val="25FD5DBC"/>
    <w:rsid w:val="26022290"/>
    <w:rsid w:val="26040EF9"/>
    <w:rsid w:val="260809E9"/>
    <w:rsid w:val="26086C3B"/>
    <w:rsid w:val="2609650F"/>
    <w:rsid w:val="260D24A3"/>
    <w:rsid w:val="2610789E"/>
    <w:rsid w:val="26110E6F"/>
    <w:rsid w:val="26121868"/>
    <w:rsid w:val="26143832"/>
    <w:rsid w:val="261730FD"/>
    <w:rsid w:val="261849A4"/>
    <w:rsid w:val="26192BF6"/>
    <w:rsid w:val="261F21D6"/>
    <w:rsid w:val="262072FB"/>
    <w:rsid w:val="2624159B"/>
    <w:rsid w:val="2627191F"/>
    <w:rsid w:val="262A4E03"/>
    <w:rsid w:val="262B4D16"/>
    <w:rsid w:val="262C1DCB"/>
    <w:rsid w:val="262E5F76"/>
    <w:rsid w:val="26321F0A"/>
    <w:rsid w:val="26323CB8"/>
    <w:rsid w:val="26377839"/>
    <w:rsid w:val="26413EFB"/>
    <w:rsid w:val="26415CA9"/>
    <w:rsid w:val="2644502B"/>
    <w:rsid w:val="264528BD"/>
    <w:rsid w:val="26515721"/>
    <w:rsid w:val="26526108"/>
    <w:rsid w:val="26591245"/>
    <w:rsid w:val="265C0D35"/>
    <w:rsid w:val="26606A77"/>
    <w:rsid w:val="26645926"/>
    <w:rsid w:val="26681488"/>
    <w:rsid w:val="266A3452"/>
    <w:rsid w:val="266F0A68"/>
    <w:rsid w:val="266F6CBA"/>
    <w:rsid w:val="26712A32"/>
    <w:rsid w:val="26760048"/>
    <w:rsid w:val="267E6EFD"/>
    <w:rsid w:val="2681079B"/>
    <w:rsid w:val="268465AB"/>
    <w:rsid w:val="268828FF"/>
    <w:rsid w:val="268E1A5B"/>
    <w:rsid w:val="268F2EB8"/>
    <w:rsid w:val="268F6768"/>
    <w:rsid w:val="26955FF5"/>
    <w:rsid w:val="26976211"/>
    <w:rsid w:val="269C3827"/>
    <w:rsid w:val="269E759F"/>
    <w:rsid w:val="26A05073"/>
    <w:rsid w:val="26A36964"/>
    <w:rsid w:val="26A56238"/>
    <w:rsid w:val="26AA5F44"/>
    <w:rsid w:val="26AB5818"/>
    <w:rsid w:val="26AD1F5C"/>
    <w:rsid w:val="26AF5308"/>
    <w:rsid w:val="26B20955"/>
    <w:rsid w:val="26B7240F"/>
    <w:rsid w:val="26B96187"/>
    <w:rsid w:val="26BB73DE"/>
    <w:rsid w:val="26BC7A25"/>
    <w:rsid w:val="26BE72FA"/>
    <w:rsid w:val="26C012C4"/>
    <w:rsid w:val="26C07516"/>
    <w:rsid w:val="26C37006"/>
    <w:rsid w:val="26C54B2C"/>
    <w:rsid w:val="26C568DA"/>
    <w:rsid w:val="26CB3A94"/>
    <w:rsid w:val="26D0702D"/>
    <w:rsid w:val="26D554F4"/>
    <w:rsid w:val="26D62895"/>
    <w:rsid w:val="26D92385"/>
    <w:rsid w:val="26D94133"/>
    <w:rsid w:val="26DC6C91"/>
    <w:rsid w:val="26E14D5A"/>
    <w:rsid w:val="26E33204"/>
    <w:rsid w:val="26E47D34"/>
    <w:rsid w:val="26E52AD8"/>
    <w:rsid w:val="26E72CF4"/>
    <w:rsid w:val="26E74AA2"/>
    <w:rsid w:val="26ED035B"/>
    <w:rsid w:val="26EF7DFB"/>
    <w:rsid w:val="26F15921"/>
    <w:rsid w:val="26F40F6D"/>
    <w:rsid w:val="26F60CAF"/>
    <w:rsid w:val="26F61189"/>
    <w:rsid w:val="26F94249"/>
    <w:rsid w:val="26FD2518"/>
    <w:rsid w:val="2700492A"/>
    <w:rsid w:val="270D202F"/>
    <w:rsid w:val="270F7B55"/>
    <w:rsid w:val="2714160F"/>
    <w:rsid w:val="27147861"/>
    <w:rsid w:val="27181100"/>
    <w:rsid w:val="271967C0"/>
    <w:rsid w:val="271B0BF0"/>
    <w:rsid w:val="27233601"/>
    <w:rsid w:val="272445CF"/>
    <w:rsid w:val="27260CC1"/>
    <w:rsid w:val="27286E69"/>
    <w:rsid w:val="272D447F"/>
    <w:rsid w:val="273306F3"/>
    <w:rsid w:val="27363334"/>
    <w:rsid w:val="27377A67"/>
    <w:rsid w:val="27391076"/>
    <w:rsid w:val="274041B2"/>
    <w:rsid w:val="27433CA3"/>
    <w:rsid w:val="274C0DA9"/>
    <w:rsid w:val="274E4B21"/>
    <w:rsid w:val="2753038A"/>
    <w:rsid w:val="27533EE6"/>
    <w:rsid w:val="275814FC"/>
    <w:rsid w:val="27585A15"/>
    <w:rsid w:val="2758774E"/>
    <w:rsid w:val="27592132"/>
    <w:rsid w:val="275B2D9A"/>
    <w:rsid w:val="275D4D64"/>
    <w:rsid w:val="275D6B12"/>
    <w:rsid w:val="275F6D2E"/>
    <w:rsid w:val="2762237B"/>
    <w:rsid w:val="27651E6B"/>
    <w:rsid w:val="276A7481"/>
    <w:rsid w:val="276E0D20"/>
    <w:rsid w:val="277420AE"/>
    <w:rsid w:val="277976C4"/>
    <w:rsid w:val="277B0D7F"/>
    <w:rsid w:val="277B343D"/>
    <w:rsid w:val="277F117F"/>
    <w:rsid w:val="27826579"/>
    <w:rsid w:val="27871DE1"/>
    <w:rsid w:val="278E278E"/>
    <w:rsid w:val="27905EE6"/>
    <w:rsid w:val="279D7857"/>
    <w:rsid w:val="279F193A"/>
    <w:rsid w:val="27A504B9"/>
    <w:rsid w:val="27A60C72"/>
    <w:rsid w:val="27AD6260"/>
    <w:rsid w:val="27AD638E"/>
    <w:rsid w:val="27AE0637"/>
    <w:rsid w:val="27AE3812"/>
    <w:rsid w:val="27AF6B8F"/>
    <w:rsid w:val="27B01338"/>
    <w:rsid w:val="27B30E28"/>
    <w:rsid w:val="27BA5D13"/>
    <w:rsid w:val="27BC5F2F"/>
    <w:rsid w:val="27C052F3"/>
    <w:rsid w:val="27C1173F"/>
    <w:rsid w:val="27C2106B"/>
    <w:rsid w:val="27CE7A10"/>
    <w:rsid w:val="27D15DD1"/>
    <w:rsid w:val="27D74B17"/>
    <w:rsid w:val="27E25DE6"/>
    <w:rsid w:val="27E40FE2"/>
    <w:rsid w:val="27E72880"/>
    <w:rsid w:val="27EB1D1A"/>
    <w:rsid w:val="27EC60E8"/>
    <w:rsid w:val="27EE09E2"/>
    <w:rsid w:val="27F21951"/>
    <w:rsid w:val="27F473D8"/>
    <w:rsid w:val="27FA6426"/>
    <w:rsid w:val="27FC632B"/>
    <w:rsid w:val="27FF7BCA"/>
    <w:rsid w:val="280478D6"/>
    <w:rsid w:val="280653FC"/>
    <w:rsid w:val="28096C9A"/>
    <w:rsid w:val="280B7BC3"/>
    <w:rsid w:val="280C5ECE"/>
    <w:rsid w:val="28164F13"/>
    <w:rsid w:val="281A2C55"/>
    <w:rsid w:val="281C4C20"/>
    <w:rsid w:val="281F201A"/>
    <w:rsid w:val="28212236"/>
    <w:rsid w:val="28213FE4"/>
    <w:rsid w:val="28277120"/>
    <w:rsid w:val="28304CAC"/>
    <w:rsid w:val="28333D17"/>
    <w:rsid w:val="2833567F"/>
    <w:rsid w:val="28335AC5"/>
    <w:rsid w:val="28337E41"/>
    <w:rsid w:val="283755B5"/>
    <w:rsid w:val="28396011"/>
    <w:rsid w:val="283D06F2"/>
    <w:rsid w:val="283F26BC"/>
    <w:rsid w:val="283F66B5"/>
    <w:rsid w:val="284321AC"/>
    <w:rsid w:val="284C02A7"/>
    <w:rsid w:val="284E28FF"/>
    <w:rsid w:val="28551EE0"/>
    <w:rsid w:val="28572430"/>
    <w:rsid w:val="285919D0"/>
    <w:rsid w:val="285C501C"/>
    <w:rsid w:val="285D2B42"/>
    <w:rsid w:val="285E6D69"/>
    <w:rsid w:val="28650375"/>
    <w:rsid w:val="28652321"/>
    <w:rsid w:val="28687E65"/>
    <w:rsid w:val="2869172C"/>
    <w:rsid w:val="28695417"/>
    <w:rsid w:val="286B34B1"/>
    <w:rsid w:val="286C33DB"/>
    <w:rsid w:val="286D547B"/>
    <w:rsid w:val="28702875"/>
    <w:rsid w:val="287560DE"/>
    <w:rsid w:val="2876639C"/>
    <w:rsid w:val="287A1946"/>
    <w:rsid w:val="287F0D0A"/>
    <w:rsid w:val="28813F71"/>
    <w:rsid w:val="28814A83"/>
    <w:rsid w:val="28846321"/>
    <w:rsid w:val="28892427"/>
    <w:rsid w:val="288A18A7"/>
    <w:rsid w:val="288C0DA8"/>
    <w:rsid w:val="28924EE2"/>
    <w:rsid w:val="28931021"/>
    <w:rsid w:val="289447B6"/>
    <w:rsid w:val="2895052E"/>
    <w:rsid w:val="289651BD"/>
    <w:rsid w:val="289E5635"/>
    <w:rsid w:val="28A1297A"/>
    <w:rsid w:val="28A76295"/>
    <w:rsid w:val="28A86271"/>
    <w:rsid w:val="28A864B3"/>
    <w:rsid w:val="28AB7D51"/>
    <w:rsid w:val="28AF7842"/>
    <w:rsid w:val="28B430AA"/>
    <w:rsid w:val="28B8366A"/>
    <w:rsid w:val="28BC5ABB"/>
    <w:rsid w:val="28BC7129"/>
    <w:rsid w:val="28C17575"/>
    <w:rsid w:val="28C36E49"/>
    <w:rsid w:val="28C606E7"/>
    <w:rsid w:val="28CA01D8"/>
    <w:rsid w:val="28CB212A"/>
    <w:rsid w:val="28CC21F1"/>
    <w:rsid w:val="28D177B8"/>
    <w:rsid w:val="28D309FA"/>
    <w:rsid w:val="28D6244E"/>
    <w:rsid w:val="28D76D98"/>
    <w:rsid w:val="28DB32AB"/>
    <w:rsid w:val="28DE3C83"/>
    <w:rsid w:val="28DF3C8D"/>
    <w:rsid w:val="28E54BC4"/>
    <w:rsid w:val="28EA087A"/>
    <w:rsid w:val="28ED71FF"/>
    <w:rsid w:val="28F45255"/>
    <w:rsid w:val="28FF5FE7"/>
    <w:rsid w:val="29017971"/>
    <w:rsid w:val="290D27BA"/>
    <w:rsid w:val="29143B49"/>
    <w:rsid w:val="2916166F"/>
    <w:rsid w:val="2916341D"/>
    <w:rsid w:val="291B4ED7"/>
    <w:rsid w:val="291D0C4F"/>
    <w:rsid w:val="29206EB8"/>
    <w:rsid w:val="292136CE"/>
    <w:rsid w:val="29231FDE"/>
    <w:rsid w:val="29246A24"/>
    <w:rsid w:val="292518B2"/>
    <w:rsid w:val="292813A2"/>
    <w:rsid w:val="292A511A"/>
    <w:rsid w:val="292D4147"/>
    <w:rsid w:val="292E034E"/>
    <w:rsid w:val="292F2731"/>
    <w:rsid w:val="292F67EE"/>
    <w:rsid w:val="293146FB"/>
    <w:rsid w:val="29324F91"/>
    <w:rsid w:val="29373393"/>
    <w:rsid w:val="29387837"/>
    <w:rsid w:val="2939710B"/>
    <w:rsid w:val="2944442E"/>
    <w:rsid w:val="29471828"/>
    <w:rsid w:val="294A1318"/>
    <w:rsid w:val="294A3CD7"/>
    <w:rsid w:val="294C22A1"/>
    <w:rsid w:val="294C5091"/>
    <w:rsid w:val="29534671"/>
    <w:rsid w:val="295876D6"/>
    <w:rsid w:val="295D104C"/>
    <w:rsid w:val="295E2F75"/>
    <w:rsid w:val="295E3016"/>
    <w:rsid w:val="29606D8E"/>
    <w:rsid w:val="296C128F"/>
    <w:rsid w:val="296C4BAC"/>
    <w:rsid w:val="297168A5"/>
    <w:rsid w:val="297A7E50"/>
    <w:rsid w:val="297C5914"/>
    <w:rsid w:val="29852351"/>
    <w:rsid w:val="29890093"/>
    <w:rsid w:val="29917294"/>
    <w:rsid w:val="29932CBF"/>
    <w:rsid w:val="29967E2D"/>
    <w:rsid w:val="29982084"/>
    <w:rsid w:val="29A44ECD"/>
    <w:rsid w:val="29A46557"/>
    <w:rsid w:val="29A50C45"/>
    <w:rsid w:val="29AA0009"/>
    <w:rsid w:val="29AA1DB7"/>
    <w:rsid w:val="29B175E9"/>
    <w:rsid w:val="29B82726"/>
    <w:rsid w:val="29B849A9"/>
    <w:rsid w:val="29B90ED0"/>
    <w:rsid w:val="29BB3FC4"/>
    <w:rsid w:val="29BD08F2"/>
    <w:rsid w:val="29BD5F8E"/>
    <w:rsid w:val="29BF1D06"/>
    <w:rsid w:val="29C0782D"/>
    <w:rsid w:val="29C410CB"/>
    <w:rsid w:val="29CC7F7F"/>
    <w:rsid w:val="29D357B2"/>
    <w:rsid w:val="29D63102"/>
    <w:rsid w:val="29D67050"/>
    <w:rsid w:val="29E325E0"/>
    <w:rsid w:val="29E51041"/>
    <w:rsid w:val="29E639D7"/>
    <w:rsid w:val="29EA6657"/>
    <w:rsid w:val="29EB48A9"/>
    <w:rsid w:val="29EB7E9F"/>
    <w:rsid w:val="29EC0622"/>
    <w:rsid w:val="29EC23D0"/>
    <w:rsid w:val="29EF43E8"/>
    <w:rsid w:val="29F00112"/>
    <w:rsid w:val="29F5538C"/>
    <w:rsid w:val="29F574D6"/>
    <w:rsid w:val="29F6324E"/>
    <w:rsid w:val="29F64FFC"/>
    <w:rsid w:val="29F924A3"/>
    <w:rsid w:val="29F958A0"/>
    <w:rsid w:val="29FB2071"/>
    <w:rsid w:val="29FD638B"/>
    <w:rsid w:val="29FF2103"/>
    <w:rsid w:val="2A047719"/>
    <w:rsid w:val="2A06545A"/>
    <w:rsid w:val="2A0911D4"/>
    <w:rsid w:val="2A0A5FF9"/>
    <w:rsid w:val="2A0C6676"/>
    <w:rsid w:val="2A0D0CC4"/>
    <w:rsid w:val="2A103111"/>
    <w:rsid w:val="2A125012"/>
    <w:rsid w:val="2A1536D4"/>
    <w:rsid w:val="2A163DA4"/>
    <w:rsid w:val="2A1738F0"/>
    <w:rsid w:val="2A263B34"/>
    <w:rsid w:val="2A2A2060"/>
    <w:rsid w:val="2A2D05FF"/>
    <w:rsid w:val="2A3224D8"/>
    <w:rsid w:val="2A353D77"/>
    <w:rsid w:val="2A366DD9"/>
    <w:rsid w:val="2A375D41"/>
    <w:rsid w:val="2A3873C3"/>
    <w:rsid w:val="2A3A00AE"/>
    <w:rsid w:val="2A3D2C2B"/>
    <w:rsid w:val="2A426494"/>
    <w:rsid w:val="2A4346E5"/>
    <w:rsid w:val="2A452503"/>
    <w:rsid w:val="2A4E308A"/>
    <w:rsid w:val="2A4F3BBF"/>
    <w:rsid w:val="2A524929"/>
    <w:rsid w:val="2A53244F"/>
    <w:rsid w:val="2A571F3F"/>
    <w:rsid w:val="2A581813"/>
    <w:rsid w:val="2A585CB7"/>
    <w:rsid w:val="2A587A65"/>
    <w:rsid w:val="2A61691A"/>
    <w:rsid w:val="2A6428AE"/>
    <w:rsid w:val="2A643B57"/>
    <w:rsid w:val="2A697EC4"/>
    <w:rsid w:val="2A6B1334"/>
    <w:rsid w:val="2A6D3510"/>
    <w:rsid w:val="2A6F54DA"/>
    <w:rsid w:val="2A73489F"/>
    <w:rsid w:val="2A742AF1"/>
    <w:rsid w:val="2A756869"/>
    <w:rsid w:val="2A78062B"/>
    <w:rsid w:val="2A791292"/>
    <w:rsid w:val="2A7B6309"/>
    <w:rsid w:val="2A7C7BF7"/>
    <w:rsid w:val="2A7E571E"/>
    <w:rsid w:val="2A7F4FF2"/>
    <w:rsid w:val="2A801755"/>
    <w:rsid w:val="2A81520E"/>
    <w:rsid w:val="2A88659C"/>
    <w:rsid w:val="2A8B3997"/>
    <w:rsid w:val="2A8E3487"/>
    <w:rsid w:val="2A8F72B6"/>
    <w:rsid w:val="2A9211C9"/>
    <w:rsid w:val="2A924FCC"/>
    <w:rsid w:val="2A930A9D"/>
    <w:rsid w:val="2A9C2048"/>
    <w:rsid w:val="2A9D15F2"/>
    <w:rsid w:val="2A9F5694"/>
    <w:rsid w:val="2AA1140C"/>
    <w:rsid w:val="2AA2188F"/>
    <w:rsid w:val="2AA2529F"/>
    <w:rsid w:val="2AA44A58"/>
    <w:rsid w:val="2AA77E46"/>
    <w:rsid w:val="2AA84549"/>
    <w:rsid w:val="2AAB5DE7"/>
    <w:rsid w:val="2AAD7DB1"/>
    <w:rsid w:val="2AAF3B29"/>
    <w:rsid w:val="2AB00919"/>
    <w:rsid w:val="2AB16E31"/>
    <w:rsid w:val="2AB23619"/>
    <w:rsid w:val="2AB24AC6"/>
    <w:rsid w:val="2AB56C65"/>
    <w:rsid w:val="2AB729DE"/>
    <w:rsid w:val="2AB90504"/>
    <w:rsid w:val="2ABA24CE"/>
    <w:rsid w:val="2ABD6460"/>
    <w:rsid w:val="2AC450FA"/>
    <w:rsid w:val="2AC66B4F"/>
    <w:rsid w:val="2ACD6F90"/>
    <w:rsid w:val="2ACE4132"/>
    <w:rsid w:val="2AD57308"/>
    <w:rsid w:val="2AD757E4"/>
    <w:rsid w:val="2AD905D3"/>
    <w:rsid w:val="2ADB79D1"/>
    <w:rsid w:val="2ADC0696"/>
    <w:rsid w:val="2ADC28A4"/>
    <w:rsid w:val="2ADC41F2"/>
    <w:rsid w:val="2AE31A25"/>
    <w:rsid w:val="2AE61515"/>
    <w:rsid w:val="2AEA21EB"/>
    <w:rsid w:val="2AEE02BE"/>
    <w:rsid w:val="2AEF03C9"/>
    <w:rsid w:val="2AF43C32"/>
    <w:rsid w:val="2AF7102C"/>
    <w:rsid w:val="2AFA28CA"/>
    <w:rsid w:val="2B033E75"/>
    <w:rsid w:val="2B0A5203"/>
    <w:rsid w:val="2B0B5E2F"/>
    <w:rsid w:val="2B0C0F7B"/>
    <w:rsid w:val="2B0C0FDF"/>
    <w:rsid w:val="2B0E3784"/>
    <w:rsid w:val="2B125FE0"/>
    <w:rsid w:val="2B157704"/>
    <w:rsid w:val="2B1971F4"/>
    <w:rsid w:val="2B1D6617"/>
    <w:rsid w:val="2B1E71B6"/>
    <w:rsid w:val="2B1F70A8"/>
    <w:rsid w:val="2B204A27"/>
    <w:rsid w:val="2B253DEB"/>
    <w:rsid w:val="2B277B63"/>
    <w:rsid w:val="2B2838DB"/>
    <w:rsid w:val="2B2C517A"/>
    <w:rsid w:val="2B3265FA"/>
    <w:rsid w:val="2B373B1E"/>
    <w:rsid w:val="2B395AE8"/>
    <w:rsid w:val="2B3B11AE"/>
    <w:rsid w:val="2B3E6C5B"/>
    <w:rsid w:val="2B435C33"/>
    <w:rsid w:val="2B473D61"/>
    <w:rsid w:val="2B492D8D"/>
    <w:rsid w:val="2B4C581C"/>
    <w:rsid w:val="2B4D0C4C"/>
    <w:rsid w:val="2B522706"/>
    <w:rsid w:val="2B54022C"/>
    <w:rsid w:val="2B5B780D"/>
    <w:rsid w:val="2B604E23"/>
    <w:rsid w:val="2B612949"/>
    <w:rsid w:val="2B620B9B"/>
    <w:rsid w:val="2B634913"/>
    <w:rsid w:val="2B683CD8"/>
    <w:rsid w:val="2B69017C"/>
    <w:rsid w:val="2B6C62CF"/>
    <w:rsid w:val="2B6C7C6C"/>
    <w:rsid w:val="2B74267D"/>
    <w:rsid w:val="2B764647"/>
    <w:rsid w:val="2B7B7EAF"/>
    <w:rsid w:val="2B7D7783"/>
    <w:rsid w:val="2B7E34FB"/>
    <w:rsid w:val="2B7F6702"/>
    <w:rsid w:val="2B8723B0"/>
    <w:rsid w:val="2B8A6344"/>
    <w:rsid w:val="2B8C3E6A"/>
    <w:rsid w:val="2B8F5708"/>
    <w:rsid w:val="2B911481"/>
    <w:rsid w:val="2B93404B"/>
    <w:rsid w:val="2B936FA7"/>
    <w:rsid w:val="2B9B0113"/>
    <w:rsid w:val="2B9B22FF"/>
    <w:rsid w:val="2BA900BB"/>
    <w:rsid w:val="2BA936A8"/>
    <w:rsid w:val="2BAA609E"/>
    <w:rsid w:val="2BAC0068"/>
    <w:rsid w:val="2BAE2033"/>
    <w:rsid w:val="2BAE6156"/>
    <w:rsid w:val="2BB4516F"/>
    <w:rsid w:val="2BB45CC1"/>
    <w:rsid w:val="2BB533C1"/>
    <w:rsid w:val="2BBA5CF7"/>
    <w:rsid w:val="2BBD13CD"/>
    <w:rsid w:val="2BBD4A6B"/>
    <w:rsid w:val="2BBE1B4A"/>
    <w:rsid w:val="2BC01D66"/>
    <w:rsid w:val="2BC30558"/>
    <w:rsid w:val="2BC442AE"/>
    <w:rsid w:val="2BC74EA2"/>
    <w:rsid w:val="2BCA04EF"/>
    <w:rsid w:val="2BCA4992"/>
    <w:rsid w:val="2BD96984"/>
    <w:rsid w:val="2BDB6BA0"/>
    <w:rsid w:val="2BE30E54"/>
    <w:rsid w:val="2BE733F6"/>
    <w:rsid w:val="2BEA71D2"/>
    <w:rsid w:val="2BEF7F55"/>
    <w:rsid w:val="2BF0264B"/>
    <w:rsid w:val="2BF612E4"/>
    <w:rsid w:val="2BFF4499"/>
    <w:rsid w:val="2BFF63EA"/>
    <w:rsid w:val="2BFF77EC"/>
    <w:rsid w:val="2C0003B4"/>
    <w:rsid w:val="2C013063"/>
    <w:rsid w:val="2C025EDA"/>
    <w:rsid w:val="2C0504DF"/>
    <w:rsid w:val="2C063C1D"/>
    <w:rsid w:val="2C077995"/>
    <w:rsid w:val="2C0B2FE1"/>
    <w:rsid w:val="2C0E2AD1"/>
    <w:rsid w:val="2C1300E8"/>
    <w:rsid w:val="2C1327AC"/>
    <w:rsid w:val="2C1520B2"/>
    <w:rsid w:val="2C181352"/>
    <w:rsid w:val="2C183950"/>
    <w:rsid w:val="2C1874AC"/>
    <w:rsid w:val="2C1945BB"/>
    <w:rsid w:val="2C1A1476"/>
    <w:rsid w:val="2C245E51"/>
    <w:rsid w:val="2C251BC9"/>
    <w:rsid w:val="2C296E55"/>
    <w:rsid w:val="2C297706"/>
    <w:rsid w:val="2C2C2F57"/>
    <w:rsid w:val="2C2C3DE8"/>
    <w:rsid w:val="2C2C7879"/>
    <w:rsid w:val="2C302A48"/>
    <w:rsid w:val="2C31218A"/>
    <w:rsid w:val="2C315A5A"/>
    <w:rsid w:val="2C327883"/>
    <w:rsid w:val="2C3B13EC"/>
    <w:rsid w:val="2C3C763E"/>
    <w:rsid w:val="2C3F2D5D"/>
    <w:rsid w:val="2C3F712F"/>
    <w:rsid w:val="2C44430E"/>
    <w:rsid w:val="2C464019"/>
    <w:rsid w:val="2C471B3F"/>
    <w:rsid w:val="2C484235"/>
    <w:rsid w:val="2C487FD5"/>
    <w:rsid w:val="2C496CF0"/>
    <w:rsid w:val="2C50426F"/>
    <w:rsid w:val="2C532973"/>
    <w:rsid w:val="2C534988"/>
    <w:rsid w:val="2C571A8D"/>
    <w:rsid w:val="2C5D5807"/>
    <w:rsid w:val="2C6426F1"/>
    <w:rsid w:val="2C644CC2"/>
    <w:rsid w:val="2C652EE7"/>
    <w:rsid w:val="2C6754A3"/>
    <w:rsid w:val="2C693389"/>
    <w:rsid w:val="2C6B74B9"/>
    <w:rsid w:val="2C6E531E"/>
    <w:rsid w:val="2C70553A"/>
    <w:rsid w:val="2C732934"/>
    <w:rsid w:val="2C7548FE"/>
    <w:rsid w:val="2C772424"/>
    <w:rsid w:val="2C7F39CF"/>
    <w:rsid w:val="2C815051"/>
    <w:rsid w:val="2C8608B9"/>
    <w:rsid w:val="2C8763E0"/>
    <w:rsid w:val="2C8903AA"/>
    <w:rsid w:val="2C8E6B1A"/>
    <w:rsid w:val="2C914308"/>
    <w:rsid w:val="2C985B8A"/>
    <w:rsid w:val="2C9A4365"/>
    <w:rsid w:val="2C9A63AD"/>
    <w:rsid w:val="2C9E20A7"/>
    <w:rsid w:val="2CA116DC"/>
    <w:rsid w:val="2CA64AB8"/>
    <w:rsid w:val="2CA86A82"/>
    <w:rsid w:val="2CAA608D"/>
    <w:rsid w:val="2CB01DDA"/>
    <w:rsid w:val="2CB34EDA"/>
    <w:rsid w:val="2CB90C8F"/>
    <w:rsid w:val="2CBD0053"/>
    <w:rsid w:val="2CBF0ACA"/>
    <w:rsid w:val="2CC213E0"/>
    <w:rsid w:val="2CC413E2"/>
    <w:rsid w:val="2CC66F08"/>
    <w:rsid w:val="2CCE2260"/>
    <w:rsid w:val="2CCE400E"/>
    <w:rsid w:val="2CD05FD9"/>
    <w:rsid w:val="2CD45AC9"/>
    <w:rsid w:val="2CD629A7"/>
    <w:rsid w:val="2CD77367"/>
    <w:rsid w:val="2CD979CA"/>
    <w:rsid w:val="2CDA0C05"/>
    <w:rsid w:val="2CDD51B6"/>
    <w:rsid w:val="2CE11F94"/>
    <w:rsid w:val="2CE455E0"/>
    <w:rsid w:val="2CE850D0"/>
    <w:rsid w:val="2CEB696E"/>
    <w:rsid w:val="2CED26E7"/>
    <w:rsid w:val="2CF4294C"/>
    <w:rsid w:val="2CF717B7"/>
    <w:rsid w:val="2CFC0B7C"/>
    <w:rsid w:val="2CFC2D64"/>
    <w:rsid w:val="2CFF066C"/>
    <w:rsid w:val="2D0143E4"/>
    <w:rsid w:val="2D053ED4"/>
    <w:rsid w:val="2D0D4B37"/>
    <w:rsid w:val="2D105B15"/>
    <w:rsid w:val="2D122D03"/>
    <w:rsid w:val="2D142369"/>
    <w:rsid w:val="2D151C3D"/>
    <w:rsid w:val="2D1934DC"/>
    <w:rsid w:val="2D200D0E"/>
    <w:rsid w:val="2D2325AC"/>
    <w:rsid w:val="2D232822"/>
    <w:rsid w:val="2D242F9D"/>
    <w:rsid w:val="2D2A1671"/>
    <w:rsid w:val="2D2A393B"/>
    <w:rsid w:val="2D2A56E9"/>
    <w:rsid w:val="2D2C2E15"/>
    <w:rsid w:val="2D2D51D9"/>
    <w:rsid w:val="2D2E3032"/>
    <w:rsid w:val="2D360531"/>
    <w:rsid w:val="2D3A4195"/>
    <w:rsid w:val="2D3C366E"/>
    <w:rsid w:val="2D3E1194"/>
    <w:rsid w:val="2D4708BF"/>
    <w:rsid w:val="2D4B1056"/>
    <w:rsid w:val="2D616C31"/>
    <w:rsid w:val="2D6741DC"/>
    <w:rsid w:val="2D687AB5"/>
    <w:rsid w:val="2D6C1150"/>
    <w:rsid w:val="2D71156A"/>
    <w:rsid w:val="2D7352E2"/>
    <w:rsid w:val="2D76092E"/>
    <w:rsid w:val="2D793729"/>
    <w:rsid w:val="2D796670"/>
    <w:rsid w:val="2D7B7EC6"/>
    <w:rsid w:val="2D88240F"/>
    <w:rsid w:val="2D8D5C78"/>
    <w:rsid w:val="2D8D660E"/>
    <w:rsid w:val="2D9139BA"/>
    <w:rsid w:val="2D940DB4"/>
    <w:rsid w:val="2D956126"/>
    <w:rsid w:val="2D962D7E"/>
    <w:rsid w:val="2D9D4E4A"/>
    <w:rsid w:val="2D9E56F5"/>
    <w:rsid w:val="2D9E60D7"/>
    <w:rsid w:val="2DA03BFD"/>
    <w:rsid w:val="2DA27975"/>
    <w:rsid w:val="2DA37249"/>
    <w:rsid w:val="2DA82AB1"/>
    <w:rsid w:val="2DA84860"/>
    <w:rsid w:val="2DAC07F4"/>
    <w:rsid w:val="2DAC392E"/>
    <w:rsid w:val="2DAD00C8"/>
    <w:rsid w:val="2DB02E38"/>
    <w:rsid w:val="2DB41456"/>
    <w:rsid w:val="2DB43204"/>
    <w:rsid w:val="2DB444AD"/>
    <w:rsid w:val="2DB80F46"/>
    <w:rsid w:val="2DB94CBF"/>
    <w:rsid w:val="2DBA2F11"/>
    <w:rsid w:val="2DBC1F60"/>
    <w:rsid w:val="2DBE22D5"/>
    <w:rsid w:val="2DBF4B12"/>
    <w:rsid w:val="2DC45B3D"/>
    <w:rsid w:val="2DC72F38"/>
    <w:rsid w:val="2DCD775F"/>
    <w:rsid w:val="2DCE4DDE"/>
    <w:rsid w:val="2DCF003E"/>
    <w:rsid w:val="2DCF214E"/>
    <w:rsid w:val="2DD11160"/>
    <w:rsid w:val="2DD6761F"/>
    <w:rsid w:val="2DD815E9"/>
    <w:rsid w:val="2DDA60A5"/>
    <w:rsid w:val="2DE27D71"/>
    <w:rsid w:val="2DE47F8D"/>
    <w:rsid w:val="2DE55AB4"/>
    <w:rsid w:val="2DE57862"/>
    <w:rsid w:val="2DEA30CA"/>
    <w:rsid w:val="2DF06932"/>
    <w:rsid w:val="2DF6381D"/>
    <w:rsid w:val="2DF8162E"/>
    <w:rsid w:val="2DF91E34"/>
    <w:rsid w:val="2DFA1A5F"/>
    <w:rsid w:val="2E051CB2"/>
    <w:rsid w:val="2E053A60"/>
    <w:rsid w:val="2E075A2A"/>
    <w:rsid w:val="2E087164"/>
    <w:rsid w:val="2E0979F4"/>
    <w:rsid w:val="2E0C4DEE"/>
    <w:rsid w:val="2E0E6DB8"/>
    <w:rsid w:val="2E0F48DF"/>
    <w:rsid w:val="2E150147"/>
    <w:rsid w:val="2E187C37"/>
    <w:rsid w:val="2E1D6FFC"/>
    <w:rsid w:val="2E1F587D"/>
    <w:rsid w:val="2E220AB6"/>
    <w:rsid w:val="2E262354"/>
    <w:rsid w:val="2E271C28"/>
    <w:rsid w:val="2E291E44"/>
    <w:rsid w:val="2E2C5491"/>
    <w:rsid w:val="2E304F81"/>
    <w:rsid w:val="2E352597"/>
    <w:rsid w:val="2E3572C5"/>
    <w:rsid w:val="2E385BE3"/>
    <w:rsid w:val="2E450300"/>
    <w:rsid w:val="2E456552"/>
    <w:rsid w:val="2E4647E1"/>
    <w:rsid w:val="2E47051C"/>
    <w:rsid w:val="2E491A3F"/>
    <w:rsid w:val="2E495111"/>
    <w:rsid w:val="2E496043"/>
    <w:rsid w:val="2E4A4A48"/>
    <w:rsid w:val="2E4B3B69"/>
    <w:rsid w:val="2E4E18AB"/>
    <w:rsid w:val="2E4E3659"/>
    <w:rsid w:val="2E4F2F2D"/>
    <w:rsid w:val="2E5642BC"/>
    <w:rsid w:val="2E575575"/>
    <w:rsid w:val="2E5D564A"/>
    <w:rsid w:val="2E6030FC"/>
    <w:rsid w:val="2E6031F7"/>
    <w:rsid w:val="2E6305ED"/>
    <w:rsid w:val="2E6469D8"/>
    <w:rsid w:val="2E652751"/>
    <w:rsid w:val="2E6609A2"/>
    <w:rsid w:val="2E667F96"/>
    <w:rsid w:val="2E67471B"/>
    <w:rsid w:val="2E6D585E"/>
    <w:rsid w:val="2E7117CD"/>
    <w:rsid w:val="2E772BB0"/>
    <w:rsid w:val="2E7A26A0"/>
    <w:rsid w:val="2E7A444E"/>
    <w:rsid w:val="2E7D3F3E"/>
    <w:rsid w:val="2E7F1A64"/>
    <w:rsid w:val="2E8226AB"/>
    <w:rsid w:val="2E8227CF"/>
    <w:rsid w:val="2E840E29"/>
    <w:rsid w:val="2E860B9A"/>
    <w:rsid w:val="2E864BA1"/>
    <w:rsid w:val="2E8D2118"/>
    <w:rsid w:val="2E8E1840"/>
    <w:rsid w:val="2E9077CD"/>
    <w:rsid w:val="2E913546"/>
    <w:rsid w:val="2E921798"/>
    <w:rsid w:val="2E933762"/>
    <w:rsid w:val="2E953036"/>
    <w:rsid w:val="2E954DE4"/>
    <w:rsid w:val="2E9574DA"/>
    <w:rsid w:val="2E960B5C"/>
    <w:rsid w:val="2E9A064C"/>
    <w:rsid w:val="2EA414CB"/>
    <w:rsid w:val="2EA4771D"/>
    <w:rsid w:val="2EA72D69"/>
    <w:rsid w:val="2EAD1279"/>
    <w:rsid w:val="2EB0560C"/>
    <w:rsid w:val="2EB060C2"/>
    <w:rsid w:val="2EB711FE"/>
    <w:rsid w:val="2EBC05C2"/>
    <w:rsid w:val="2EC42C7A"/>
    <w:rsid w:val="2EC9206D"/>
    <w:rsid w:val="2ECB4CA9"/>
    <w:rsid w:val="2ECB6A58"/>
    <w:rsid w:val="2ECD6C74"/>
    <w:rsid w:val="2ED00512"/>
    <w:rsid w:val="2ED075DC"/>
    <w:rsid w:val="2ED1017B"/>
    <w:rsid w:val="2ED33B5E"/>
    <w:rsid w:val="2ED578D6"/>
    <w:rsid w:val="2ED81174"/>
    <w:rsid w:val="2EDB31E4"/>
    <w:rsid w:val="2EDB5F3B"/>
    <w:rsid w:val="2EDC2A13"/>
    <w:rsid w:val="2EDC6EB7"/>
    <w:rsid w:val="2EE443DB"/>
    <w:rsid w:val="2EE93382"/>
    <w:rsid w:val="2EED2E72"/>
    <w:rsid w:val="2EEE4F05"/>
    <w:rsid w:val="2EEE5D6C"/>
    <w:rsid w:val="2EF04710"/>
    <w:rsid w:val="2EF139C1"/>
    <w:rsid w:val="2EF17594"/>
    <w:rsid w:val="2EF91817"/>
    <w:rsid w:val="2EFA10EB"/>
    <w:rsid w:val="2EFA733D"/>
    <w:rsid w:val="2EFE507F"/>
    <w:rsid w:val="2F0B142F"/>
    <w:rsid w:val="2F0B154A"/>
    <w:rsid w:val="2F0C08F6"/>
    <w:rsid w:val="2F0E4B96"/>
    <w:rsid w:val="2F126434"/>
    <w:rsid w:val="2F21465F"/>
    <w:rsid w:val="2F2A7C22"/>
    <w:rsid w:val="2F2B399A"/>
    <w:rsid w:val="2F2F5238"/>
    <w:rsid w:val="2F300FB0"/>
    <w:rsid w:val="2F340AA1"/>
    <w:rsid w:val="2F380051"/>
    <w:rsid w:val="2F3D0CEE"/>
    <w:rsid w:val="2F3E191F"/>
    <w:rsid w:val="2F3F11F4"/>
    <w:rsid w:val="2F407445"/>
    <w:rsid w:val="2F464330"/>
    <w:rsid w:val="2F490799"/>
    <w:rsid w:val="2F4F461B"/>
    <w:rsid w:val="2F5051AF"/>
    <w:rsid w:val="2F57027C"/>
    <w:rsid w:val="2F575B54"/>
    <w:rsid w:val="2F5F53F2"/>
    <w:rsid w:val="2F603644"/>
    <w:rsid w:val="2F640B79"/>
    <w:rsid w:val="2F64740E"/>
    <w:rsid w:val="2F6A2714"/>
    <w:rsid w:val="2F6A44C2"/>
    <w:rsid w:val="2F6B12EF"/>
    <w:rsid w:val="2F6B1FE9"/>
    <w:rsid w:val="2F6D3FB3"/>
    <w:rsid w:val="2F76779B"/>
    <w:rsid w:val="2F776BDF"/>
    <w:rsid w:val="2F7964B4"/>
    <w:rsid w:val="2F7D4F4A"/>
    <w:rsid w:val="2F832C79"/>
    <w:rsid w:val="2F835584"/>
    <w:rsid w:val="2F8512FC"/>
    <w:rsid w:val="2F882B9B"/>
    <w:rsid w:val="2F8F4328"/>
    <w:rsid w:val="2F9627A7"/>
    <w:rsid w:val="2F9652B7"/>
    <w:rsid w:val="2F967065"/>
    <w:rsid w:val="2F972377"/>
    <w:rsid w:val="2F9A371A"/>
    <w:rsid w:val="2F9E416C"/>
    <w:rsid w:val="2FA15A0A"/>
    <w:rsid w:val="2FA76FD1"/>
    <w:rsid w:val="2FAA0D63"/>
    <w:rsid w:val="2FB35E69"/>
    <w:rsid w:val="2FB41BE1"/>
    <w:rsid w:val="2FB4573E"/>
    <w:rsid w:val="2FBB3E2C"/>
    <w:rsid w:val="2FC00586"/>
    <w:rsid w:val="2FC30453"/>
    <w:rsid w:val="2FC35981"/>
    <w:rsid w:val="2FCC0CD9"/>
    <w:rsid w:val="2FCF07C9"/>
    <w:rsid w:val="2FD45DE0"/>
    <w:rsid w:val="2FD64419"/>
    <w:rsid w:val="2FD7142C"/>
    <w:rsid w:val="2FD8767E"/>
    <w:rsid w:val="2FD944DB"/>
    <w:rsid w:val="2FDC266D"/>
    <w:rsid w:val="2FDE33B6"/>
    <w:rsid w:val="2FE71A7E"/>
    <w:rsid w:val="2FE83639"/>
    <w:rsid w:val="2FEE50F3"/>
    <w:rsid w:val="2FEF2D58"/>
    <w:rsid w:val="2FF2263C"/>
    <w:rsid w:val="2FF344B8"/>
    <w:rsid w:val="2FF74010"/>
    <w:rsid w:val="2FFB15BE"/>
    <w:rsid w:val="2FFD0DFC"/>
    <w:rsid w:val="3002033D"/>
    <w:rsid w:val="30030473"/>
    <w:rsid w:val="30055F99"/>
    <w:rsid w:val="30077F63"/>
    <w:rsid w:val="300C37CC"/>
    <w:rsid w:val="300D4E4E"/>
    <w:rsid w:val="300F0BC6"/>
    <w:rsid w:val="30102A86"/>
    <w:rsid w:val="3010584B"/>
    <w:rsid w:val="3014442E"/>
    <w:rsid w:val="301B5877"/>
    <w:rsid w:val="301F34FF"/>
    <w:rsid w:val="301F52AD"/>
    <w:rsid w:val="30202DD3"/>
    <w:rsid w:val="30335C3C"/>
    <w:rsid w:val="303643A5"/>
    <w:rsid w:val="303A20E7"/>
    <w:rsid w:val="303C4D07"/>
    <w:rsid w:val="303D1BD7"/>
    <w:rsid w:val="303E4FB3"/>
    <w:rsid w:val="30416A1A"/>
    <w:rsid w:val="30442F65"/>
    <w:rsid w:val="30443C64"/>
    <w:rsid w:val="30444D13"/>
    <w:rsid w:val="3046098A"/>
    <w:rsid w:val="3049057C"/>
    <w:rsid w:val="304A7E50"/>
    <w:rsid w:val="304C1E1A"/>
    <w:rsid w:val="304C5976"/>
    <w:rsid w:val="304E0112"/>
    <w:rsid w:val="304E0CC8"/>
    <w:rsid w:val="305331A8"/>
    <w:rsid w:val="30536D05"/>
    <w:rsid w:val="3056544F"/>
    <w:rsid w:val="305667F5"/>
    <w:rsid w:val="30580BC9"/>
    <w:rsid w:val="305F1B4D"/>
    <w:rsid w:val="305F4D62"/>
    <w:rsid w:val="30657FDD"/>
    <w:rsid w:val="30676C54"/>
    <w:rsid w:val="3069477A"/>
    <w:rsid w:val="30717AD3"/>
    <w:rsid w:val="307373A7"/>
    <w:rsid w:val="307418D9"/>
    <w:rsid w:val="3075311F"/>
    <w:rsid w:val="30785D29"/>
    <w:rsid w:val="3082703A"/>
    <w:rsid w:val="30845298"/>
    <w:rsid w:val="3086323A"/>
    <w:rsid w:val="3089305D"/>
    <w:rsid w:val="308B2942"/>
    <w:rsid w:val="30915A7F"/>
    <w:rsid w:val="309335A5"/>
    <w:rsid w:val="30963095"/>
    <w:rsid w:val="309655D5"/>
    <w:rsid w:val="309A2B85"/>
    <w:rsid w:val="309B1AA0"/>
    <w:rsid w:val="309D5228"/>
    <w:rsid w:val="30A003C2"/>
    <w:rsid w:val="30A05CC2"/>
    <w:rsid w:val="30A25EDE"/>
    <w:rsid w:val="30A27C8C"/>
    <w:rsid w:val="30A43AF4"/>
    <w:rsid w:val="30A65659"/>
    <w:rsid w:val="30A92DC8"/>
    <w:rsid w:val="30A9726C"/>
    <w:rsid w:val="30AF64B9"/>
    <w:rsid w:val="30B14FA8"/>
    <w:rsid w:val="30B33C47"/>
    <w:rsid w:val="30B442DC"/>
    <w:rsid w:val="30B7350A"/>
    <w:rsid w:val="30B74C4B"/>
    <w:rsid w:val="30BA3228"/>
    <w:rsid w:val="30BC0D4E"/>
    <w:rsid w:val="30BC2BCE"/>
    <w:rsid w:val="30BC6FA0"/>
    <w:rsid w:val="30C65728"/>
    <w:rsid w:val="30C9346B"/>
    <w:rsid w:val="30C96FC7"/>
    <w:rsid w:val="30D065A7"/>
    <w:rsid w:val="30D20112"/>
    <w:rsid w:val="30D36097"/>
    <w:rsid w:val="30D81136"/>
    <w:rsid w:val="30DA5678"/>
    <w:rsid w:val="30DA6B89"/>
    <w:rsid w:val="30DC13F0"/>
    <w:rsid w:val="30DC4672"/>
    <w:rsid w:val="30DD6F16"/>
    <w:rsid w:val="30DE29C7"/>
    <w:rsid w:val="30E07403"/>
    <w:rsid w:val="30E12562"/>
    <w:rsid w:val="30E262DA"/>
    <w:rsid w:val="30E327D8"/>
    <w:rsid w:val="30E3452C"/>
    <w:rsid w:val="30E9137E"/>
    <w:rsid w:val="30E91417"/>
    <w:rsid w:val="30EC0F07"/>
    <w:rsid w:val="30F57DBC"/>
    <w:rsid w:val="30F71D86"/>
    <w:rsid w:val="30F87556"/>
    <w:rsid w:val="3102072B"/>
    <w:rsid w:val="31032463"/>
    <w:rsid w:val="310426F5"/>
    <w:rsid w:val="3106646D"/>
    <w:rsid w:val="310821E5"/>
    <w:rsid w:val="31083F93"/>
    <w:rsid w:val="31085D41"/>
    <w:rsid w:val="310B5831"/>
    <w:rsid w:val="310D15A9"/>
    <w:rsid w:val="31164473"/>
    <w:rsid w:val="31167C85"/>
    <w:rsid w:val="31181346"/>
    <w:rsid w:val="311A5A74"/>
    <w:rsid w:val="311A7304"/>
    <w:rsid w:val="311B250B"/>
    <w:rsid w:val="311E2ED7"/>
    <w:rsid w:val="31216E03"/>
    <w:rsid w:val="31244B45"/>
    <w:rsid w:val="3126266B"/>
    <w:rsid w:val="312A215B"/>
    <w:rsid w:val="312B7C81"/>
    <w:rsid w:val="313136FF"/>
    <w:rsid w:val="31336B36"/>
    <w:rsid w:val="313759B1"/>
    <w:rsid w:val="313C3C3D"/>
    <w:rsid w:val="313E4873"/>
    <w:rsid w:val="31411253"/>
    <w:rsid w:val="314A1279"/>
    <w:rsid w:val="315076E8"/>
    <w:rsid w:val="315216B2"/>
    <w:rsid w:val="31570A76"/>
    <w:rsid w:val="31572824"/>
    <w:rsid w:val="315C449C"/>
    <w:rsid w:val="315E3BB3"/>
    <w:rsid w:val="315F169D"/>
    <w:rsid w:val="31660CB9"/>
    <w:rsid w:val="31677457"/>
    <w:rsid w:val="31723B02"/>
    <w:rsid w:val="3174585C"/>
    <w:rsid w:val="317E6003"/>
    <w:rsid w:val="317F1D7B"/>
    <w:rsid w:val="317F1F89"/>
    <w:rsid w:val="31894B5B"/>
    <w:rsid w:val="318B0720"/>
    <w:rsid w:val="318B0BE0"/>
    <w:rsid w:val="318D4498"/>
    <w:rsid w:val="318D4B66"/>
    <w:rsid w:val="318D6246"/>
    <w:rsid w:val="31921AAF"/>
    <w:rsid w:val="31943A79"/>
    <w:rsid w:val="319475D5"/>
    <w:rsid w:val="3196684B"/>
    <w:rsid w:val="31980866"/>
    <w:rsid w:val="31992E3D"/>
    <w:rsid w:val="319A60FC"/>
    <w:rsid w:val="31A31F0E"/>
    <w:rsid w:val="31A5236F"/>
    <w:rsid w:val="31A677D0"/>
    <w:rsid w:val="31AA329C"/>
    <w:rsid w:val="31AF2660"/>
    <w:rsid w:val="31AF440F"/>
    <w:rsid w:val="31B25CAD"/>
    <w:rsid w:val="31B45209"/>
    <w:rsid w:val="31B71515"/>
    <w:rsid w:val="31B82709"/>
    <w:rsid w:val="31B93075"/>
    <w:rsid w:val="31BA4706"/>
    <w:rsid w:val="31BB1005"/>
    <w:rsid w:val="31BC4D7D"/>
    <w:rsid w:val="31BE1862"/>
    <w:rsid w:val="31C12394"/>
    <w:rsid w:val="31C93EE5"/>
    <w:rsid w:val="31CB55CE"/>
    <w:rsid w:val="31CB6D6E"/>
    <w:rsid w:val="31CD297B"/>
    <w:rsid w:val="31CD70B4"/>
    <w:rsid w:val="31CF4AB1"/>
    <w:rsid w:val="31CF7994"/>
    <w:rsid w:val="31D200FD"/>
    <w:rsid w:val="31D40319"/>
    <w:rsid w:val="31D47C7D"/>
    <w:rsid w:val="31DA35B5"/>
    <w:rsid w:val="31DB3455"/>
    <w:rsid w:val="31DE6AA2"/>
    <w:rsid w:val="31E3055C"/>
    <w:rsid w:val="31E3230A"/>
    <w:rsid w:val="31E7004C"/>
    <w:rsid w:val="31E76BD8"/>
    <w:rsid w:val="31EC0C04"/>
    <w:rsid w:val="31EE33F5"/>
    <w:rsid w:val="31EF5737"/>
    <w:rsid w:val="31F14A27"/>
    <w:rsid w:val="31F2254D"/>
    <w:rsid w:val="31F97D80"/>
    <w:rsid w:val="31FB7654"/>
    <w:rsid w:val="3200110E"/>
    <w:rsid w:val="32024E86"/>
    <w:rsid w:val="32036508"/>
    <w:rsid w:val="32052353"/>
    <w:rsid w:val="32087FC3"/>
    <w:rsid w:val="320D5139"/>
    <w:rsid w:val="320F4EAD"/>
    <w:rsid w:val="32105036"/>
    <w:rsid w:val="32132BEF"/>
    <w:rsid w:val="32193C98"/>
    <w:rsid w:val="321B5F48"/>
    <w:rsid w:val="321D0063"/>
    <w:rsid w:val="32211625"/>
    <w:rsid w:val="322C3CB1"/>
    <w:rsid w:val="322D17D7"/>
    <w:rsid w:val="322E5C7B"/>
    <w:rsid w:val="32320699"/>
    <w:rsid w:val="32342B66"/>
    <w:rsid w:val="32384404"/>
    <w:rsid w:val="323F0A79"/>
    <w:rsid w:val="32400B34"/>
    <w:rsid w:val="32405B2A"/>
    <w:rsid w:val="324234D5"/>
    <w:rsid w:val="32452FC5"/>
    <w:rsid w:val="32454D73"/>
    <w:rsid w:val="32466B96"/>
    <w:rsid w:val="324A05DB"/>
    <w:rsid w:val="324B1D1F"/>
    <w:rsid w:val="32562ADC"/>
    <w:rsid w:val="32591540"/>
    <w:rsid w:val="325B00F2"/>
    <w:rsid w:val="325B78A5"/>
    <w:rsid w:val="325D3E6B"/>
    <w:rsid w:val="325F4087"/>
    <w:rsid w:val="326162E8"/>
    <w:rsid w:val="326351F9"/>
    <w:rsid w:val="32642098"/>
    <w:rsid w:val="32650F71"/>
    <w:rsid w:val="3267118D"/>
    <w:rsid w:val="326E26B3"/>
    <w:rsid w:val="326F1DF0"/>
    <w:rsid w:val="32700042"/>
    <w:rsid w:val="32755658"/>
    <w:rsid w:val="32764F2C"/>
    <w:rsid w:val="32785148"/>
    <w:rsid w:val="327A2C6E"/>
    <w:rsid w:val="327D62BB"/>
    <w:rsid w:val="32803FFD"/>
    <w:rsid w:val="32821B23"/>
    <w:rsid w:val="3283501F"/>
    <w:rsid w:val="32891103"/>
    <w:rsid w:val="328C0BF4"/>
    <w:rsid w:val="32904240"/>
    <w:rsid w:val="32943604"/>
    <w:rsid w:val="32957AA8"/>
    <w:rsid w:val="32991471"/>
    <w:rsid w:val="329E6876"/>
    <w:rsid w:val="329F66F1"/>
    <w:rsid w:val="32A01FA9"/>
    <w:rsid w:val="32A25D21"/>
    <w:rsid w:val="32A32356"/>
    <w:rsid w:val="32A41A99"/>
    <w:rsid w:val="32A95302"/>
    <w:rsid w:val="32AA2E28"/>
    <w:rsid w:val="32AB72CC"/>
    <w:rsid w:val="32AC094E"/>
    <w:rsid w:val="32AC6BA0"/>
    <w:rsid w:val="32AE0B6A"/>
    <w:rsid w:val="32AE46C6"/>
    <w:rsid w:val="32B37F2E"/>
    <w:rsid w:val="32B53CA7"/>
    <w:rsid w:val="32B82A64"/>
    <w:rsid w:val="32B83797"/>
    <w:rsid w:val="32BF490D"/>
    <w:rsid w:val="32C043F9"/>
    <w:rsid w:val="32C57C62"/>
    <w:rsid w:val="32C65EB4"/>
    <w:rsid w:val="32C739DA"/>
    <w:rsid w:val="32CC0FF0"/>
    <w:rsid w:val="32CC1EED"/>
    <w:rsid w:val="32CE61B4"/>
    <w:rsid w:val="32D3412D"/>
    <w:rsid w:val="32D560F7"/>
    <w:rsid w:val="32DA370D"/>
    <w:rsid w:val="32DE2BCF"/>
    <w:rsid w:val="32DF0D23"/>
    <w:rsid w:val="32E26A66"/>
    <w:rsid w:val="32E4633A"/>
    <w:rsid w:val="32EC51EE"/>
    <w:rsid w:val="32F03BA4"/>
    <w:rsid w:val="32F32A21"/>
    <w:rsid w:val="32F81DE5"/>
    <w:rsid w:val="32FB3683"/>
    <w:rsid w:val="32FD73FC"/>
    <w:rsid w:val="3301513E"/>
    <w:rsid w:val="33016EEC"/>
    <w:rsid w:val="33072028"/>
    <w:rsid w:val="330B7D6A"/>
    <w:rsid w:val="330C37BB"/>
    <w:rsid w:val="330C763F"/>
    <w:rsid w:val="330D3AE3"/>
    <w:rsid w:val="33122EA7"/>
    <w:rsid w:val="33134E71"/>
    <w:rsid w:val="331704BD"/>
    <w:rsid w:val="33184235"/>
    <w:rsid w:val="332215E4"/>
    <w:rsid w:val="33226375"/>
    <w:rsid w:val="3328091C"/>
    <w:rsid w:val="332D1A72"/>
    <w:rsid w:val="332D7CE1"/>
    <w:rsid w:val="332E4F6B"/>
    <w:rsid w:val="333029D5"/>
    <w:rsid w:val="33305A23"/>
    <w:rsid w:val="3333106F"/>
    <w:rsid w:val="33332E1D"/>
    <w:rsid w:val="33386686"/>
    <w:rsid w:val="333E57F9"/>
    <w:rsid w:val="3355548A"/>
    <w:rsid w:val="3358616F"/>
    <w:rsid w:val="3369683F"/>
    <w:rsid w:val="336F151A"/>
    <w:rsid w:val="33727F33"/>
    <w:rsid w:val="337A6C9E"/>
    <w:rsid w:val="3381627F"/>
    <w:rsid w:val="33857B1D"/>
    <w:rsid w:val="3386325D"/>
    <w:rsid w:val="33863895"/>
    <w:rsid w:val="33866BEF"/>
    <w:rsid w:val="338813BB"/>
    <w:rsid w:val="33882539"/>
    <w:rsid w:val="338D4C23"/>
    <w:rsid w:val="339128A9"/>
    <w:rsid w:val="33953AD8"/>
    <w:rsid w:val="339B7340"/>
    <w:rsid w:val="339E298D"/>
    <w:rsid w:val="339F1D94"/>
    <w:rsid w:val="33A45AC9"/>
    <w:rsid w:val="33A7639F"/>
    <w:rsid w:val="33AD2BD0"/>
    <w:rsid w:val="33B201E6"/>
    <w:rsid w:val="33B26438"/>
    <w:rsid w:val="33B65F28"/>
    <w:rsid w:val="33B7710D"/>
    <w:rsid w:val="33C30645"/>
    <w:rsid w:val="33C63297"/>
    <w:rsid w:val="33CB12A8"/>
    <w:rsid w:val="33CD6DCE"/>
    <w:rsid w:val="33D60378"/>
    <w:rsid w:val="33D62126"/>
    <w:rsid w:val="33D934D4"/>
    <w:rsid w:val="33DC5263"/>
    <w:rsid w:val="33DF6B01"/>
    <w:rsid w:val="33E00D4C"/>
    <w:rsid w:val="33E32A95"/>
    <w:rsid w:val="33E81E5A"/>
    <w:rsid w:val="33EA5BD2"/>
    <w:rsid w:val="33EB2AF5"/>
    <w:rsid w:val="33EB36F8"/>
    <w:rsid w:val="33F24A86"/>
    <w:rsid w:val="33F7209D"/>
    <w:rsid w:val="33F829BD"/>
    <w:rsid w:val="33F86541"/>
    <w:rsid w:val="33FB1B8D"/>
    <w:rsid w:val="33FE2F6A"/>
    <w:rsid w:val="33FF738F"/>
    <w:rsid w:val="340053F5"/>
    <w:rsid w:val="3402116D"/>
    <w:rsid w:val="34063FAB"/>
    <w:rsid w:val="340A0022"/>
    <w:rsid w:val="340B78F6"/>
    <w:rsid w:val="340F5638"/>
    <w:rsid w:val="34190265"/>
    <w:rsid w:val="341C1B03"/>
    <w:rsid w:val="341E3ACD"/>
    <w:rsid w:val="3421711A"/>
    <w:rsid w:val="342509B8"/>
    <w:rsid w:val="342563FC"/>
    <w:rsid w:val="34270BD4"/>
    <w:rsid w:val="34287731"/>
    <w:rsid w:val="342E4300"/>
    <w:rsid w:val="34313C5A"/>
    <w:rsid w:val="343155AF"/>
    <w:rsid w:val="3434509F"/>
    <w:rsid w:val="34362BC5"/>
    <w:rsid w:val="343706EB"/>
    <w:rsid w:val="34394463"/>
    <w:rsid w:val="343B2D13"/>
    <w:rsid w:val="343E47B7"/>
    <w:rsid w:val="344D6161"/>
    <w:rsid w:val="3451678A"/>
    <w:rsid w:val="34563267"/>
    <w:rsid w:val="34574764"/>
    <w:rsid w:val="3457548F"/>
    <w:rsid w:val="345B087E"/>
    <w:rsid w:val="34627928"/>
    <w:rsid w:val="34675474"/>
    <w:rsid w:val="34684D49"/>
    <w:rsid w:val="346911EC"/>
    <w:rsid w:val="346A286F"/>
    <w:rsid w:val="346E6803"/>
    <w:rsid w:val="346F4329"/>
    <w:rsid w:val="34702AD1"/>
    <w:rsid w:val="347150DC"/>
    <w:rsid w:val="34737FC2"/>
    <w:rsid w:val="347C1C67"/>
    <w:rsid w:val="347D6A46"/>
    <w:rsid w:val="347E7F4E"/>
    <w:rsid w:val="34807019"/>
    <w:rsid w:val="34825E0A"/>
    <w:rsid w:val="34853B4C"/>
    <w:rsid w:val="3489363D"/>
    <w:rsid w:val="348B76D9"/>
    <w:rsid w:val="348E1040"/>
    <w:rsid w:val="348F6779"/>
    <w:rsid w:val="34931DC5"/>
    <w:rsid w:val="34943D90"/>
    <w:rsid w:val="34977E0F"/>
    <w:rsid w:val="34983880"/>
    <w:rsid w:val="349A13A6"/>
    <w:rsid w:val="349B2A17"/>
    <w:rsid w:val="349D49F2"/>
    <w:rsid w:val="34A044E2"/>
    <w:rsid w:val="34A71D15"/>
    <w:rsid w:val="34AA710F"/>
    <w:rsid w:val="34AC10D9"/>
    <w:rsid w:val="34AE07E1"/>
    <w:rsid w:val="34AE6BFF"/>
    <w:rsid w:val="34AF2977"/>
    <w:rsid w:val="34B41D3C"/>
    <w:rsid w:val="34B42CD7"/>
    <w:rsid w:val="34B47F8E"/>
    <w:rsid w:val="34B561E0"/>
    <w:rsid w:val="34B87A7E"/>
    <w:rsid w:val="34BB30CA"/>
    <w:rsid w:val="34C401D1"/>
    <w:rsid w:val="34C72E2C"/>
    <w:rsid w:val="34CD478F"/>
    <w:rsid w:val="34CE7CA8"/>
    <w:rsid w:val="34D10B40"/>
    <w:rsid w:val="34D643A8"/>
    <w:rsid w:val="34DF14AF"/>
    <w:rsid w:val="34E32DF3"/>
    <w:rsid w:val="34EE524E"/>
    <w:rsid w:val="34F5482E"/>
    <w:rsid w:val="34FB5395"/>
    <w:rsid w:val="35004F81"/>
    <w:rsid w:val="350360CB"/>
    <w:rsid w:val="350607E9"/>
    <w:rsid w:val="350B5E00"/>
    <w:rsid w:val="350C3926"/>
    <w:rsid w:val="350E3B42"/>
    <w:rsid w:val="35123632"/>
    <w:rsid w:val="35131158"/>
    <w:rsid w:val="351331F9"/>
    <w:rsid w:val="35145978"/>
    <w:rsid w:val="35150A2C"/>
    <w:rsid w:val="35161C05"/>
    <w:rsid w:val="3518051D"/>
    <w:rsid w:val="351B4977"/>
    <w:rsid w:val="351D286D"/>
    <w:rsid w:val="351D5B33"/>
    <w:rsid w:val="35204BD3"/>
    <w:rsid w:val="35225DD1"/>
    <w:rsid w:val="35243365"/>
    <w:rsid w:val="352B31F5"/>
    <w:rsid w:val="352E7D40"/>
    <w:rsid w:val="35344874"/>
    <w:rsid w:val="35357321"/>
    <w:rsid w:val="353A0493"/>
    <w:rsid w:val="353A66E5"/>
    <w:rsid w:val="353C420B"/>
    <w:rsid w:val="353F1F4D"/>
    <w:rsid w:val="35415CC5"/>
    <w:rsid w:val="35417A73"/>
    <w:rsid w:val="354237EC"/>
    <w:rsid w:val="35443D18"/>
    <w:rsid w:val="35447643"/>
    <w:rsid w:val="3546508A"/>
    <w:rsid w:val="354B6B44"/>
    <w:rsid w:val="354F78A4"/>
    <w:rsid w:val="35523A2F"/>
    <w:rsid w:val="35527ED3"/>
    <w:rsid w:val="355A28E3"/>
    <w:rsid w:val="355C2A85"/>
    <w:rsid w:val="3560331F"/>
    <w:rsid w:val="35611EC4"/>
    <w:rsid w:val="356279EA"/>
    <w:rsid w:val="35631901"/>
    <w:rsid w:val="356419B4"/>
    <w:rsid w:val="35646BA9"/>
    <w:rsid w:val="35675000"/>
    <w:rsid w:val="356B689E"/>
    <w:rsid w:val="356D0868"/>
    <w:rsid w:val="356F59EC"/>
    <w:rsid w:val="35714C03"/>
    <w:rsid w:val="3571547F"/>
    <w:rsid w:val="357716E7"/>
    <w:rsid w:val="35777939"/>
    <w:rsid w:val="35794F7E"/>
    <w:rsid w:val="357A2F85"/>
    <w:rsid w:val="357A3B1C"/>
    <w:rsid w:val="357A4D33"/>
    <w:rsid w:val="357C0AAC"/>
    <w:rsid w:val="358768A1"/>
    <w:rsid w:val="358856A2"/>
    <w:rsid w:val="358931C8"/>
    <w:rsid w:val="359009FB"/>
    <w:rsid w:val="35944047"/>
    <w:rsid w:val="35977693"/>
    <w:rsid w:val="3598340C"/>
    <w:rsid w:val="359A53D6"/>
    <w:rsid w:val="359A63C0"/>
    <w:rsid w:val="359D4169"/>
    <w:rsid w:val="359E6C74"/>
    <w:rsid w:val="359F0C3E"/>
    <w:rsid w:val="359F64F2"/>
    <w:rsid w:val="35A10512"/>
    <w:rsid w:val="35A239BC"/>
    <w:rsid w:val="35A324DC"/>
    <w:rsid w:val="35A46254"/>
    <w:rsid w:val="35A52308"/>
    <w:rsid w:val="35A5691A"/>
    <w:rsid w:val="35A6206D"/>
    <w:rsid w:val="35A746CB"/>
    <w:rsid w:val="35AD5109"/>
    <w:rsid w:val="35AD6EB7"/>
    <w:rsid w:val="35B80496"/>
    <w:rsid w:val="35BA15D4"/>
    <w:rsid w:val="35BC17F0"/>
    <w:rsid w:val="35BE2E72"/>
    <w:rsid w:val="35C04B91"/>
    <w:rsid w:val="35C30488"/>
    <w:rsid w:val="35C80195"/>
    <w:rsid w:val="35CB558F"/>
    <w:rsid w:val="35CD1307"/>
    <w:rsid w:val="35CF1523"/>
    <w:rsid w:val="35CF6816"/>
    <w:rsid w:val="35D2691D"/>
    <w:rsid w:val="35D42696"/>
    <w:rsid w:val="35D501BC"/>
    <w:rsid w:val="35DA3A24"/>
    <w:rsid w:val="35DC154A"/>
    <w:rsid w:val="35E13004"/>
    <w:rsid w:val="35E46651"/>
    <w:rsid w:val="35E6686D"/>
    <w:rsid w:val="35EA56E1"/>
    <w:rsid w:val="35EA7D42"/>
    <w:rsid w:val="35EB5CD8"/>
    <w:rsid w:val="35EB79DF"/>
    <w:rsid w:val="35EF127D"/>
    <w:rsid w:val="35F24F62"/>
    <w:rsid w:val="35FF348B"/>
    <w:rsid w:val="360077E2"/>
    <w:rsid w:val="3600792F"/>
    <w:rsid w:val="36015455"/>
    <w:rsid w:val="36034D29"/>
    <w:rsid w:val="36054F45"/>
    <w:rsid w:val="36074A7F"/>
    <w:rsid w:val="36080591"/>
    <w:rsid w:val="3608381A"/>
    <w:rsid w:val="360A255B"/>
    <w:rsid w:val="360A60B7"/>
    <w:rsid w:val="360B0081"/>
    <w:rsid w:val="360D3DFA"/>
    <w:rsid w:val="361231BE"/>
    <w:rsid w:val="36162CAE"/>
    <w:rsid w:val="361909F0"/>
    <w:rsid w:val="361E75B5"/>
    <w:rsid w:val="361F444A"/>
    <w:rsid w:val="362353CB"/>
    <w:rsid w:val="36251143"/>
    <w:rsid w:val="3628478F"/>
    <w:rsid w:val="362C0724"/>
    <w:rsid w:val="362C2EF1"/>
    <w:rsid w:val="362F1FC2"/>
    <w:rsid w:val="3632560E"/>
    <w:rsid w:val="36372C24"/>
    <w:rsid w:val="363B44C3"/>
    <w:rsid w:val="363C023B"/>
    <w:rsid w:val="363C41B2"/>
    <w:rsid w:val="364202C1"/>
    <w:rsid w:val="3643115A"/>
    <w:rsid w:val="36432478"/>
    <w:rsid w:val="36462E68"/>
    <w:rsid w:val="364A2958"/>
    <w:rsid w:val="364C2B74"/>
    <w:rsid w:val="36530255"/>
    <w:rsid w:val="365437D6"/>
    <w:rsid w:val="36545584"/>
    <w:rsid w:val="36557C1C"/>
    <w:rsid w:val="365612FD"/>
    <w:rsid w:val="365732C7"/>
    <w:rsid w:val="36581519"/>
    <w:rsid w:val="36653C36"/>
    <w:rsid w:val="36681030"/>
    <w:rsid w:val="366A4DA8"/>
    <w:rsid w:val="366A6D9B"/>
    <w:rsid w:val="366D5927"/>
    <w:rsid w:val="366F76E7"/>
    <w:rsid w:val="367141CE"/>
    <w:rsid w:val="3674548E"/>
    <w:rsid w:val="36745C27"/>
    <w:rsid w:val="3679148F"/>
    <w:rsid w:val="367B6FB5"/>
    <w:rsid w:val="367F61DE"/>
    <w:rsid w:val="36820344"/>
    <w:rsid w:val="368340BC"/>
    <w:rsid w:val="36871691"/>
    <w:rsid w:val="3687277C"/>
    <w:rsid w:val="36891FCF"/>
    <w:rsid w:val="36897924"/>
    <w:rsid w:val="368C4D1E"/>
    <w:rsid w:val="369129F7"/>
    <w:rsid w:val="36923549"/>
    <w:rsid w:val="36966D52"/>
    <w:rsid w:val="369736C3"/>
    <w:rsid w:val="369E1129"/>
    <w:rsid w:val="36A04C6E"/>
    <w:rsid w:val="36A21135"/>
    <w:rsid w:val="36B240C8"/>
    <w:rsid w:val="36B31729"/>
    <w:rsid w:val="36B424C7"/>
    <w:rsid w:val="36B60F67"/>
    <w:rsid w:val="36B727F9"/>
    <w:rsid w:val="36B75FBF"/>
    <w:rsid w:val="36BD312A"/>
    <w:rsid w:val="36C827C2"/>
    <w:rsid w:val="36C97D20"/>
    <w:rsid w:val="36CD6D52"/>
    <w:rsid w:val="36D466C5"/>
    <w:rsid w:val="36D7585B"/>
    <w:rsid w:val="36D8764F"/>
    <w:rsid w:val="36DF5796"/>
    <w:rsid w:val="36E0150E"/>
    <w:rsid w:val="36E7464B"/>
    <w:rsid w:val="36E903C3"/>
    <w:rsid w:val="36E942D2"/>
    <w:rsid w:val="36E94D26"/>
    <w:rsid w:val="36EA57B9"/>
    <w:rsid w:val="36EE7787"/>
    <w:rsid w:val="36F80606"/>
    <w:rsid w:val="36F8396F"/>
    <w:rsid w:val="36FA437E"/>
    <w:rsid w:val="36FB4891"/>
    <w:rsid w:val="370625F1"/>
    <w:rsid w:val="370C40B1"/>
    <w:rsid w:val="37103BA1"/>
    <w:rsid w:val="371069DA"/>
    <w:rsid w:val="37107F95"/>
    <w:rsid w:val="37113475"/>
    <w:rsid w:val="37152F66"/>
    <w:rsid w:val="371A057C"/>
    <w:rsid w:val="371B42F4"/>
    <w:rsid w:val="371D006C"/>
    <w:rsid w:val="371D1E1A"/>
    <w:rsid w:val="371F3DE4"/>
    <w:rsid w:val="37215DAE"/>
    <w:rsid w:val="37217B5C"/>
    <w:rsid w:val="37257503"/>
    <w:rsid w:val="372C4753"/>
    <w:rsid w:val="372E04CB"/>
    <w:rsid w:val="372E4C5F"/>
    <w:rsid w:val="37305FF2"/>
    <w:rsid w:val="3735592F"/>
    <w:rsid w:val="373E0984"/>
    <w:rsid w:val="373F4487"/>
    <w:rsid w:val="37425D25"/>
    <w:rsid w:val="374455F9"/>
    <w:rsid w:val="37461371"/>
    <w:rsid w:val="37465815"/>
    <w:rsid w:val="37465A08"/>
    <w:rsid w:val="3748158D"/>
    <w:rsid w:val="37490E61"/>
    <w:rsid w:val="374A567A"/>
    <w:rsid w:val="374B2E2B"/>
    <w:rsid w:val="374B6987"/>
    <w:rsid w:val="37500442"/>
    <w:rsid w:val="37503F9E"/>
    <w:rsid w:val="375241BA"/>
    <w:rsid w:val="375A4E1C"/>
    <w:rsid w:val="375C3AD3"/>
    <w:rsid w:val="375F0685"/>
    <w:rsid w:val="37643EED"/>
    <w:rsid w:val="37667C65"/>
    <w:rsid w:val="376E73A5"/>
    <w:rsid w:val="37725830"/>
    <w:rsid w:val="37744822"/>
    <w:rsid w:val="37772B57"/>
    <w:rsid w:val="37773C20"/>
    <w:rsid w:val="377C4D93"/>
    <w:rsid w:val="377D6D5D"/>
    <w:rsid w:val="378123A9"/>
    <w:rsid w:val="378219F7"/>
    <w:rsid w:val="37826121"/>
    <w:rsid w:val="378325C5"/>
    <w:rsid w:val="378835C5"/>
    <w:rsid w:val="378C0D4E"/>
    <w:rsid w:val="379775C4"/>
    <w:rsid w:val="37977BBC"/>
    <w:rsid w:val="37983B97"/>
    <w:rsid w:val="379929F5"/>
    <w:rsid w:val="379B23DD"/>
    <w:rsid w:val="379E11AD"/>
    <w:rsid w:val="379E73FF"/>
    <w:rsid w:val="37A44784"/>
    <w:rsid w:val="37AB5678"/>
    <w:rsid w:val="37B10249"/>
    <w:rsid w:val="37B7226F"/>
    <w:rsid w:val="37B90489"/>
    <w:rsid w:val="37B95FE7"/>
    <w:rsid w:val="37BC5AD7"/>
    <w:rsid w:val="37C30C14"/>
    <w:rsid w:val="37C52C3A"/>
    <w:rsid w:val="37C64260"/>
    <w:rsid w:val="37C8622A"/>
    <w:rsid w:val="37C93D50"/>
    <w:rsid w:val="37CD5B9C"/>
    <w:rsid w:val="37CE5D48"/>
    <w:rsid w:val="37CE75B8"/>
    <w:rsid w:val="37D3697D"/>
    <w:rsid w:val="37D526F5"/>
    <w:rsid w:val="37DC3A83"/>
    <w:rsid w:val="37DC7F27"/>
    <w:rsid w:val="37DF5322"/>
    <w:rsid w:val="37E128C2"/>
    <w:rsid w:val="37E34E12"/>
    <w:rsid w:val="37E8177D"/>
    <w:rsid w:val="37EB1F18"/>
    <w:rsid w:val="37ED7A3F"/>
    <w:rsid w:val="37F012DD"/>
    <w:rsid w:val="37F76B0F"/>
    <w:rsid w:val="37FE3BFC"/>
    <w:rsid w:val="37FE7E9E"/>
    <w:rsid w:val="37FF59C4"/>
    <w:rsid w:val="38066D52"/>
    <w:rsid w:val="38086A4E"/>
    <w:rsid w:val="380878FA"/>
    <w:rsid w:val="38090F1A"/>
    <w:rsid w:val="38163439"/>
    <w:rsid w:val="38170F5F"/>
    <w:rsid w:val="38172D0E"/>
    <w:rsid w:val="38196A86"/>
    <w:rsid w:val="381C20D2"/>
    <w:rsid w:val="3821593A"/>
    <w:rsid w:val="382316B2"/>
    <w:rsid w:val="3825542A"/>
    <w:rsid w:val="382673F4"/>
    <w:rsid w:val="382B67B9"/>
    <w:rsid w:val="382D42DF"/>
    <w:rsid w:val="38303DA7"/>
    <w:rsid w:val="3831064E"/>
    <w:rsid w:val="38325D99"/>
    <w:rsid w:val="38353194"/>
    <w:rsid w:val="3835486A"/>
    <w:rsid w:val="38376F0C"/>
    <w:rsid w:val="383A044D"/>
    <w:rsid w:val="383E029A"/>
    <w:rsid w:val="384229DF"/>
    <w:rsid w:val="38467783"/>
    <w:rsid w:val="38484ABB"/>
    <w:rsid w:val="384A30E3"/>
    <w:rsid w:val="384E4FBD"/>
    <w:rsid w:val="384F204E"/>
    <w:rsid w:val="384F24A7"/>
    <w:rsid w:val="38547ABE"/>
    <w:rsid w:val="385555E4"/>
    <w:rsid w:val="386046B4"/>
    <w:rsid w:val="38606463"/>
    <w:rsid w:val="38635F53"/>
    <w:rsid w:val="38657F1D"/>
    <w:rsid w:val="386D5023"/>
    <w:rsid w:val="386D6DD1"/>
    <w:rsid w:val="386E59BE"/>
    <w:rsid w:val="386E654A"/>
    <w:rsid w:val="387463B2"/>
    <w:rsid w:val="3875408A"/>
    <w:rsid w:val="387D044B"/>
    <w:rsid w:val="387D5266"/>
    <w:rsid w:val="38912AC0"/>
    <w:rsid w:val="38926838"/>
    <w:rsid w:val="389425B0"/>
    <w:rsid w:val="38972D3F"/>
    <w:rsid w:val="389B56ED"/>
    <w:rsid w:val="389E342F"/>
    <w:rsid w:val="389F78EA"/>
    <w:rsid w:val="38A04A09"/>
    <w:rsid w:val="38A547BD"/>
    <w:rsid w:val="38A65E3F"/>
    <w:rsid w:val="38A75F00"/>
    <w:rsid w:val="38AA5930"/>
    <w:rsid w:val="38AC5B4C"/>
    <w:rsid w:val="38B7004D"/>
    <w:rsid w:val="38B86F38"/>
    <w:rsid w:val="38B90459"/>
    <w:rsid w:val="38BA2623"/>
    <w:rsid w:val="38BA343A"/>
    <w:rsid w:val="38BB18EB"/>
    <w:rsid w:val="38BD1B07"/>
    <w:rsid w:val="38BD38B5"/>
    <w:rsid w:val="38BF587F"/>
    <w:rsid w:val="38C35493"/>
    <w:rsid w:val="38C42E95"/>
    <w:rsid w:val="38C70290"/>
    <w:rsid w:val="38CC3AF8"/>
    <w:rsid w:val="38D0417E"/>
    <w:rsid w:val="38D1110E"/>
    <w:rsid w:val="38E075A3"/>
    <w:rsid w:val="38E452E6"/>
    <w:rsid w:val="38E928FC"/>
    <w:rsid w:val="38E946AA"/>
    <w:rsid w:val="38EA21D0"/>
    <w:rsid w:val="38EC3030"/>
    <w:rsid w:val="38EE040E"/>
    <w:rsid w:val="38EF3C8A"/>
    <w:rsid w:val="38F12CD3"/>
    <w:rsid w:val="38F1355F"/>
    <w:rsid w:val="38F80D91"/>
    <w:rsid w:val="38F82B3F"/>
    <w:rsid w:val="38F94775"/>
    <w:rsid w:val="38FE5C7B"/>
    <w:rsid w:val="390037A2"/>
    <w:rsid w:val="390246F3"/>
    <w:rsid w:val="390414E4"/>
    <w:rsid w:val="39070FD4"/>
    <w:rsid w:val="39074B30"/>
    <w:rsid w:val="391060DB"/>
    <w:rsid w:val="391361DB"/>
    <w:rsid w:val="39162FC5"/>
    <w:rsid w:val="3919532C"/>
    <w:rsid w:val="391B05DB"/>
    <w:rsid w:val="391B06AE"/>
    <w:rsid w:val="391D4354"/>
    <w:rsid w:val="39246EA0"/>
    <w:rsid w:val="39276F80"/>
    <w:rsid w:val="39290F4A"/>
    <w:rsid w:val="392971ED"/>
    <w:rsid w:val="39317DFF"/>
    <w:rsid w:val="393225AB"/>
    <w:rsid w:val="393C7FB8"/>
    <w:rsid w:val="393D2C48"/>
    <w:rsid w:val="39461AFC"/>
    <w:rsid w:val="39471E2C"/>
    <w:rsid w:val="394D1614"/>
    <w:rsid w:val="39504729"/>
    <w:rsid w:val="39513FFD"/>
    <w:rsid w:val="3953226C"/>
    <w:rsid w:val="3953286E"/>
    <w:rsid w:val="39535FC7"/>
    <w:rsid w:val="39551D3F"/>
    <w:rsid w:val="39561614"/>
    <w:rsid w:val="39581830"/>
    <w:rsid w:val="395A55A8"/>
    <w:rsid w:val="396226AE"/>
    <w:rsid w:val="3962620A"/>
    <w:rsid w:val="396B44C6"/>
    <w:rsid w:val="396C52DB"/>
    <w:rsid w:val="396C7089"/>
    <w:rsid w:val="39706B79"/>
    <w:rsid w:val="397321C6"/>
    <w:rsid w:val="39736669"/>
    <w:rsid w:val="397B38EC"/>
    <w:rsid w:val="397B72CC"/>
    <w:rsid w:val="397D3044"/>
    <w:rsid w:val="398054B8"/>
    <w:rsid w:val="39810D86"/>
    <w:rsid w:val="3983274D"/>
    <w:rsid w:val="39875C71"/>
    <w:rsid w:val="398B750F"/>
    <w:rsid w:val="398C590D"/>
    <w:rsid w:val="39902D77"/>
    <w:rsid w:val="399860D0"/>
    <w:rsid w:val="399F120C"/>
    <w:rsid w:val="39A14F85"/>
    <w:rsid w:val="39A35178"/>
    <w:rsid w:val="39A6259B"/>
    <w:rsid w:val="39A86313"/>
    <w:rsid w:val="39AE76A2"/>
    <w:rsid w:val="39BC70BE"/>
    <w:rsid w:val="39BD18DE"/>
    <w:rsid w:val="39CB3DB0"/>
    <w:rsid w:val="39CE3969"/>
    <w:rsid w:val="39CE564E"/>
    <w:rsid w:val="39CE6632"/>
    <w:rsid w:val="39D52E80"/>
    <w:rsid w:val="39D54C2E"/>
    <w:rsid w:val="39DF6898"/>
    <w:rsid w:val="39DF785B"/>
    <w:rsid w:val="39E6508D"/>
    <w:rsid w:val="39E758BD"/>
    <w:rsid w:val="39E84962"/>
    <w:rsid w:val="39E97DA8"/>
    <w:rsid w:val="39ED01CA"/>
    <w:rsid w:val="39ED1F78"/>
    <w:rsid w:val="39EE5CF0"/>
    <w:rsid w:val="39F2758E"/>
    <w:rsid w:val="39F33306"/>
    <w:rsid w:val="39F350B4"/>
    <w:rsid w:val="39F552D0"/>
    <w:rsid w:val="39F94DC1"/>
    <w:rsid w:val="39F97CAF"/>
    <w:rsid w:val="39FA4695"/>
    <w:rsid w:val="39FC26D0"/>
    <w:rsid w:val="39FE23D7"/>
    <w:rsid w:val="3A064320"/>
    <w:rsid w:val="3A064DE8"/>
    <w:rsid w:val="3A0B0650"/>
    <w:rsid w:val="3A103EB8"/>
    <w:rsid w:val="3A125E82"/>
    <w:rsid w:val="3A127C30"/>
    <w:rsid w:val="3A192D6D"/>
    <w:rsid w:val="3A1A2713"/>
    <w:rsid w:val="3A1A4D37"/>
    <w:rsid w:val="3A1B12AC"/>
    <w:rsid w:val="3A1B478A"/>
    <w:rsid w:val="3A1E073A"/>
    <w:rsid w:val="3A220F95"/>
    <w:rsid w:val="3A281202"/>
    <w:rsid w:val="3A29194C"/>
    <w:rsid w:val="3A296D28"/>
    <w:rsid w:val="3A2B2AA0"/>
    <w:rsid w:val="3A2B3AE8"/>
    <w:rsid w:val="3A2D6818"/>
    <w:rsid w:val="3A2E4B81"/>
    <w:rsid w:val="3A2E7EAC"/>
    <w:rsid w:val="3A306308"/>
    <w:rsid w:val="3A397156"/>
    <w:rsid w:val="3A3A2CE3"/>
    <w:rsid w:val="3A3C6A5B"/>
    <w:rsid w:val="3A410516"/>
    <w:rsid w:val="3A414072"/>
    <w:rsid w:val="3A465B2C"/>
    <w:rsid w:val="3A4B3142"/>
    <w:rsid w:val="3A53360C"/>
    <w:rsid w:val="3A5448AB"/>
    <w:rsid w:val="3A575643"/>
    <w:rsid w:val="3A59585F"/>
    <w:rsid w:val="3A59760D"/>
    <w:rsid w:val="3A5B3385"/>
    <w:rsid w:val="3A6366DE"/>
    <w:rsid w:val="3A663AD8"/>
    <w:rsid w:val="3A685AA2"/>
    <w:rsid w:val="3A704957"/>
    <w:rsid w:val="3A751279"/>
    <w:rsid w:val="3A8723CC"/>
    <w:rsid w:val="3A886068"/>
    <w:rsid w:val="3A887EF3"/>
    <w:rsid w:val="3A8B353F"/>
    <w:rsid w:val="3A8D5509"/>
    <w:rsid w:val="3A8D6676"/>
    <w:rsid w:val="3A8E336A"/>
    <w:rsid w:val="3A916DA7"/>
    <w:rsid w:val="3A921CEB"/>
    <w:rsid w:val="3A971EE4"/>
    <w:rsid w:val="3A995C5C"/>
    <w:rsid w:val="3AA26176"/>
    <w:rsid w:val="3AA60379"/>
    <w:rsid w:val="3AAF3DE4"/>
    <w:rsid w:val="3AB900AC"/>
    <w:rsid w:val="3ABC194A"/>
    <w:rsid w:val="3ABD5DEE"/>
    <w:rsid w:val="3AC52EF5"/>
    <w:rsid w:val="3AC56A51"/>
    <w:rsid w:val="3ACF167E"/>
    <w:rsid w:val="3AD62A0C"/>
    <w:rsid w:val="3AD66EB0"/>
    <w:rsid w:val="3AD849D6"/>
    <w:rsid w:val="3ADA2030"/>
    <w:rsid w:val="3ADB14EF"/>
    <w:rsid w:val="3AE113B1"/>
    <w:rsid w:val="3AE25855"/>
    <w:rsid w:val="3AE35129"/>
    <w:rsid w:val="3AE852B6"/>
    <w:rsid w:val="3AEB79FE"/>
    <w:rsid w:val="3AF94C61"/>
    <w:rsid w:val="3AFD4730"/>
    <w:rsid w:val="3AFD5E03"/>
    <w:rsid w:val="3AFD61EB"/>
    <w:rsid w:val="3B024BDF"/>
    <w:rsid w:val="3B082DE1"/>
    <w:rsid w:val="3B084B8F"/>
    <w:rsid w:val="3B0F5FF0"/>
    <w:rsid w:val="3B111C96"/>
    <w:rsid w:val="3B132EBB"/>
    <w:rsid w:val="3B181276"/>
    <w:rsid w:val="3B1B48C3"/>
    <w:rsid w:val="3B2A0FAA"/>
    <w:rsid w:val="3B345984"/>
    <w:rsid w:val="3B36794F"/>
    <w:rsid w:val="3B3763D1"/>
    <w:rsid w:val="3B4402BD"/>
    <w:rsid w:val="3B4406AD"/>
    <w:rsid w:val="3B514788"/>
    <w:rsid w:val="3B5424B5"/>
    <w:rsid w:val="3B5C3046"/>
    <w:rsid w:val="3B5E2C18"/>
    <w:rsid w:val="3B5F50F7"/>
    <w:rsid w:val="3B625851"/>
    <w:rsid w:val="3B6444BC"/>
    <w:rsid w:val="3B645349"/>
    <w:rsid w:val="3B677B08"/>
    <w:rsid w:val="3B6B3A9C"/>
    <w:rsid w:val="3B6C15C2"/>
    <w:rsid w:val="3B6E0E96"/>
    <w:rsid w:val="3B6F4C0F"/>
    <w:rsid w:val="3B712735"/>
    <w:rsid w:val="3B7346FF"/>
    <w:rsid w:val="3B783AC3"/>
    <w:rsid w:val="3B7A5A8D"/>
    <w:rsid w:val="3B806E1C"/>
    <w:rsid w:val="3B81506E"/>
    <w:rsid w:val="3B862944"/>
    <w:rsid w:val="3B8738E2"/>
    <w:rsid w:val="3B8B7C9A"/>
    <w:rsid w:val="3B8E32E7"/>
    <w:rsid w:val="3B903503"/>
    <w:rsid w:val="3B905FB8"/>
    <w:rsid w:val="3B974891"/>
    <w:rsid w:val="3B9A7EDD"/>
    <w:rsid w:val="3B9D3163"/>
    <w:rsid w:val="3B9F54F4"/>
    <w:rsid w:val="3B9F72A2"/>
    <w:rsid w:val="3BA47D82"/>
    <w:rsid w:val="3BA64AD4"/>
    <w:rsid w:val="3BAB3E99"/>
    <w:rsid w:val="3BAB7ADE"/>
    <w:rsid w:val="3BAE24DA"/>
    <w:rsid w:val="3BAE4630"/>
    <w:rsid w:val="3BB164CD"/>
    <w:rsid w:val="3BBD597A"/>
    <w:rsid w:val="3BBE0D10"/>
    <w:rsid w:val="3BBF16F2"/>
    <w:rsid w:val="3BBF7944"/>
    <w:rsid w:val="3BC1190E"/>
    <w:rsid w:val="3BC136BC"/>
    <w:rsid w:val="3BC60CD2"/>
    <w:rsid w:val="3BCE7B87"/>
    <w:rsid w:val="3BD72366"/>
    <w:rsid w:val="3BD776DA"/>
    <w:rsid w:val="3BD80A06"/>
    <w:rsid w:val="3BDA29D0"/>
    <w:rsid w:val="3BDC22A4"/>
    <w:rsid w:val="3BDD6036"/>
    <w:rsid w:val="3BDF1D94"/>
    <w:rsid w:val="3BE03287"/>
    <w:rsid w:val="3BE9676F"/>
    <w:rsid w:val="3BEF55D0"/>
    <w:rsid w:val="3BF36DBD"/>
    <w:rsid w:val="3BF5780A"/>
    <w:rsid w:val="3BF70E8C"/>
    <w:rsid w:val="3BF84C04"/>
    <w:rsid w:val="3BFD046C"/>
    <w:rsid w:val="3C070B8D"/>
    <w:rsid w:val="3C0E2679"/>
    <w:rsid w:val="3C1001A0"/>
    <w:rsid w:val="3C1063F2"/>
    <w:rsid w:val="3C166A9C"/>
    <w:rsid w:val="3C176C51"/>
    <w:rsid w:val="3C1C4D96"/>
    <w:rsid w:val="3C243C4B"/>
    <w:rsid w:val="3C252A19"/>
    <w:rsid w:val="3C261771"/>
    <w:rsid w:val="3C2854E9"/>
    <w:rsid w:val="3C2B4FD9"/>
    <w:rsid w:val="3C2D2B00"/>
    <w:rsid w:val="3C3072F9"/>
    <w:rsid w:val="3C33736D"/>
    <w:rsid w:val="3C3A4B39"/>
    <w:rsid w:val="3C4165AB"/>
    <w:rsid w:val="3C430575"/>
    <w:rsid w:val="3C492DBB"/>
    <w:rsid w:val="3C4D0211"/>
    <w:rsid w:val="3C4D13F4"/>
    <w:rsid w:val="3C4F06AE"/>
    <w:rsid w:val="3C504A40"/>
    <w:rsid w:val="3C553E04"/>
    <w:rsid w:val="3C681D8A"/>
    <w:rsid w:val="3C6B3628"/>
    <w:rsid w:val="3C700C3E"/>
    <w:rsid w:val="3C7050E2"/>
    <w:rsid w:val="3C7B7D0F"/>
    <w:rsid w:val="3C7C3A87"/>
    <w:rsid w:val="3C7E15AD"/>
    <w:rsid w:val="3C7E4C3C"/>
    <w:rsid w:val="3C7F0E81"/>
    <w:rsid w:val="3C7F11EE"/>
    <w:rsid w:val="3C805325"/>
    <w:rsid w:val="3C940DD1"/>
    <w:rsid w:val="3C942B7F"/>
    <w:rsid w:val="3C990195"/>
    <w:rsid w:val="3C9C3DF5"/>
    <w:rsid w:val="3CA01523"/>
    <w:rsid w:val="3CA164D5"/>
    <w:rsid w:val="3CA1704A"/>
    <w:rsid w:val="3CA31F01"/>
    <w:rsid w:val="3CA37266"/>
    <w:rsid w:val="3CA863A8"/>
    <w:rsid w:val="3CAE4BAE"/>
    <w:rsid w:val="3CB7061B"/>
    <w:rsid w:val="3CB90837"/>
    <w:rsid w:val="3CBB45AF"/>
    <w:rsid w:val="3CBC20D5"/>
    <w:rsid w:val="3CBC5080"/>
    <w:rsid w:val="3CBC5C3D"/>
    <w:rsid w:val="3CBE19AA"/>
    <w:rsid w:val="3CC05722"/>
    <w:rsid w:val="3CC316B6"/>
    <w:rsid w:val="3CC33464"/>
    <w:rsid w:val="3CC82828"/>
    <w:rsid w:val="3CCA65A0"/>
    <w:rsid w:val="3CCD3C8C"/>
    <w:rsid w:val="3CD94A35"/>
    <w:rsid w:val="3CDA245A"/>
    <w:rsid w:val="3CDB69FF"/>
    <w:rsid w:val="3CE05DC4"/>
    <w:rsid w:val="3CE37662"/>
    <w:rsid w:val="3CE7185D"/>
    <w:rsid w:val="3CEA4A31"/>
    <w:rsid w:val="3CEC4769"/>
    <w:rsid w:val="3CEE0A37"/>
    <w:rsid w:val="3CEF2E1E"/>
    <w:rsid w:val="3CF03B2D"/>
    <w:rsid w:val="3CF0711C"/>
    <w:rsid w:val="3CFA3924"/>
    <w:rsid w:val="3CFA5C50"/>
    <w:rsid w:val="3CFC735A"/>
    <w:rsid w:val="3CFE624A"/>
    <w:rsid w:val="3D011811"/>
    <w:rsid w:val="3D015D3A"/>
    <w:rsid w:val="3D053A7C"/>
    <w:rsid w:val="3D05582A"/>
    <w:rsid w:val="3D056A3F"/>
    <w:rsid w:val="3D0F48FB"/>
    <w:rsid w:val="3D10720F"/>
    <w:rsid w:val="3D1141CF"/>
    <w:rsid w:val="3D115F7D"/>
    <w:rsid w:val="3D17730C"/>
    <w:rsid w:val="3D18555E"/>
    <w:rsid w:val="3D193084"/>
    <w:rsid w:val="3D2008B6"/>
    <w:rsid w:val="3D254AFD"/>
    <w:rsid w:val="3D271C45"/>
    <w:rsid w:val="3D2F0AF9"/>
    <w:rsid w:val="3D3035F9"/>
    <w:rsid w:val="3D314871"/>
    <w:rsid w:val="3D3305EA"/>
    <w:rsid w:val="3D344362"/>
    <w:rsid w:val="3D347EBE"/>
    <w:rsid w:val="3D356C89"/>
    <w:rsid w:val="3D363C36"/>
    <w:rsid w:val="3D3A1978"/>
    <w:rsid w:val="3D3B56F0"/>
    <w:rsid w:val="3D4201BB"/>
    <w:rsid w:val="3D42082D"/>
    <w:rsid w:val="3D424389"/>
    <w:rsid w:val="3D4520CB"/>
    <w:rsid w:val="3D483969"/>
    <w:rsid w:val="3D4D6987"/>
    <w:rsid w:val="3D4F2F4A"/>
    <w:rsid w:val="3D54230E"/>
    <w:rsid w:val="3D5B369C"/>
    <w:rsid w:val="3D5B544A"/>
    <w:rsid w:val="3D5D7415"/>
    <w:rsid w:val="3D5F318D"/>
    <w:rsid w:val="3D605157"/>
    <w:rsid w:val="3D624A2B"/>
    <w:rsid w:val="3D6469F5"/>
    <w:rsid w:val="3D65276D"/>
    <w:rsid w:val="3D670293"/>
    <w:rsid w:val="3D691975"/>
    <w:rsid w:val="3D6A7D83"/>
    <w:rsid w:val="3D6B6BFA"/>
    <w:rsid w:val="3D6E33D0"/>
    <w:rsid w:val="3D7309E6"/>
    <w:rsid w:val="3D736C38"/>
    <w:rsid w:val="3D785FFC"/>
    <w:rsid w:val="3D7B789B"/>
    <w:rsid w:val="3D7E17DF"/>
    <w:rsid w:val="3D842BF3"/>
    <w:rsid w:val="3D89020A"/>
    <w:rsid w:val="3D8E3A72"/>
    <w:rsid w:val="3D913562"/>
    <w:rsid w:val="3D9904A8"/>
    <w:rsid w:val="3D995D0E"/>
    <w:rsid w:val="3D9C66F8"/>
    <w:rsid w:val="3D9D1F07"/>
    <w:rsid w:val="3DA47914"/>
    <w:rsid w:val="3DA7535D"/>
    <w:rsid w:val="3DA9265A"/>
    <w:rsid w:val="3DB039E8"/>
    <w:rsid w:val="3DB27817"/>
    <w:rsid w:val="3DB42DAD"/>
    <w:rsid w:val="3DB813B0"/>
    <w:rsid w:val="3DBB238D"/>
    <w:rsid w:val="3DBD4357"/>
    <w:rsid w:val="3DD376D7"/>
    <w:rsid w:val="3DD516A1"/>
    <w:rsid w:val="3DD5344F"/>
    <w:rsid w:val="3DDB2643"/>
    <w:rsid w:val="3DDD0555"/>
    <w:rsid w:val="3DDD2303"/>
    <w:rsid w:val="3DDD67A7"/>
    <w:rsid w:val="3DE11078"/>
    <w:rsid w:val="3DE37306"/>
    <w:rsid w:val="3DE61BC4"/>
    <w:rsid w:val="3DE713D4"/>
    <w:rsid w:val="3DE73182"/>
    <w:rsid w:val="3DEA3D83"/>
    <w:rsid w:val="3DEB2C72"/>
    <w:rsid w:val="3DEC0798"/>
    <w:rsid w:val="3DF064DB"/>
    <w:rsid w:val="3DF37D79"/>
    <w:rsid w:val="3DF96E3A"/>
    <w:rsid w:val="3DFC7B0B"/>
    <w:rsid w:val="3DFD29A6"/>
    <w:rsid w:val="3DFD4754"/>
    <w:rsid w:val="3E02320C"/>
    <w:rsid w:val="3E083824"/>
    <w:rsid w:val="3E0930F8"/>
    <w:rsid w:val="3E097DBF"/>
    <w:rsid w:val="3E104487"/>
    <w:rsid w:val="3E1050C1"/>
    <w:rsid w:val="3E1113DE"/>
    <w:rsid w:val="3E1201FF"/>
    <w:rsid w:val="3E126451"/>
    <w:rsid w:val="3E171CB9"/>
    <w:rsid w:val="3E18333B"/>
    <w:rsid w:val="3E186F76"/>
    <w:rsid w:val="3E1A5306"/>
    <w:rsid w:val="3E1A6DC1"/>
    <w:rsid w:val="3E1C107E"/>
    <w:rsid w:val="3E1F291C"/>
    <w:rsid w:val="3E216694"/>
    <w:rsid w:val="3E23240C"/>
    <w:rsid w:val="3E235794"/>
    <w:rsid w:val="3E247F32"/>
    <w:rsid w:val="3E295549"/>
    <w:rsid w:val="3E2972F7"/>
    <w:rsid w:val="3E2B7513"/>
    <w:rsid w:val="3E377C66"/>
    <w:rsid w:val="3E3C71F1"/>
    <w:rsid w:val="3E3D275E"/>
    <w:rsid w:val="3E3F6B1A"/>
    <w:rsid w:val="3E46434D"/>
    <w:rsid w:val="3E467DCB"/>
    <w:rsid w:val="3E473F20"/>
    <w:rsid w:val="3E4D56DB"/>
    <w:rsid w:val="3E4D7489"/>
    <w:rsid w:val="3E4F1FA4"/>
    <w:rsid w:val="3E6447D3"/>
    <w:rsid w:val="3E646581"/>
    <w:rsid w:val="3E693B97"/>
    <w:rsid w:val="3E6A7C37"/>
    <w:rsid w:val="3E6F439C"/>
    <w:rsid w:val="3E767CA2"/>
    <w:rsid w:val="3E78202C"/>
    <w:rsid w:val="3E7C7D6E"/>
    <w:rsid w:val="3E7E5894"/>
    <w:rsid w:val="3E8B6203"/>
    <w:rsid w:val="3E8E35FE"/>
    <w:rsid w:val="3E90381A"/>
    <w:rsid w:val="3E9055C8"/>
    <w:rsid w:val="3E921340"/>
    <w:rsid w:val="3E941710"/>
    <w:rsid w:val="3E946E66"/>
    <w:rsid w:val="3E95498C"/>
    <w:rsid w:val="3E9A01F4"/>
    <w:rsid w:val="3E9C2D0F"/>
    <w:rsid w:val="3E9C5D1B"/>
    <w:rsid w:val="3E9D66EF"/>
    <w:rsid w:val="3EA10976"/>
    <w:rsid w:val="3EA11895"/>
    <w:rsid w:val="3EA370A9"/>
    <w:rsid w:val="3EAB0654"/>
    <w:rsid w:val="3EAF3CA0"/>
    <w:rsid w:val="3EB06725"/>
    <w:rsid w:val="3EB452D4"/>
    <w:rsid w:val="3EB9437E"/>
    <w:rsid w:val="3EB94B1E"/>
    <w:rsid w:val="3EBA2645"/>
    <w:rsid w:val="3EBF1FF6"/>
    <w:rsid w:val="3EC139D3"/>
    <w:rsid w:val="3EC66823"/>
    <w:rsid w:val="3EC7118D"/>
    <w:rsid w:val="3EC7548D"/>
    <w:rsid w:val="3ECC5112"/>
    <w:rsid w:val="3ED03C16"/>
    <w:rsid w:val="3ED100BA"/>
    <w:rsid w:val="3ED41958"/>
    <w:rsid w:val="3ED86169"/>
    <w:rsid w:val="3EDD198D"/>
    <w:rsid w:val="3EE020AB"/>
    <w:rsid w:val="3EE31B9B"/>
    <w:rsid w:val="3EE6168C"/>
    <w:rsid w:val="3EE86526"/>
    <w:rsid w:val="3EE871B2"/>
    <w:rsid w:val="3EEA4CD8"/>
    <w:rsid w:val="3EED2A1A"/>
    <w:rsid w:val="3EF43DA9"/>
    <w:rsid w:val="3EF618CF"/>
    <w:rsid w:val="3EF94085"/>
    <w:rsid w:val="3F03223E"/>
    <w:rsid w:val="3F057D64"/>
    <w:rsid w:val="3F06588A"/>
    <w:rsid w:val="3F0840B9"/>
    <w:rsid w:val="3F0A35CC"/>
    <w:rsid w:val="3F0A649A"/>
    <w:rsid w:val="3F0B2DA6"/>
    <w:rsid w:val="3F103381"/>
    <w:rsid w:val="3F15211D"/>
    <w:rsid w:val="3F1551DB"/>
    <w:rsid w:val="3F161F71"/>
    <w:rsid w:val="3F171845"/>
    <w:rsid w:val="3F1735F3"/>
    <w:rsid w:val="3F1E4982"/>
    <w:rsid w:val="3F220916"/>
    <w:rsid w:val="3F23468E"/>
    <w:rsid w:val="3F2530A2"/>
    <w:rsid w:val="3F253F62"/>
    <w:rsid w:val="3F281CA4"/>
    <w:rsid w:val="3F2C03A4"/>
    <w:rsid w:val="3F3209B7"/>
    <w:rsid w:val="3F32667F"/>
    <w:rsid w:val="3F375A43"/>
    <w:rsid w:val="3F3917BB"/>
    <w:rsid w:val="3F397A0D"/>
    <w:rsid w:val="3F3E3276"/>
    <w:rsid w:val="3F3E5024"/>
    <w:rsid w:val="3F3E5CD5"/>
    <w:rsid w:val="3F3F3F3A"/>
    <w:rsid w:val="3F3F46D3"/>
    <w:rsid w:val="3F407113"/>
    <w:rsid w:val="3F424E33"/>
    <w:rsid w:val="3F43263A"/>
    <w:rsid w:val="3F44662B"/>
    <w:rsid w:val="3F487C50"/>
    <w:rsid w:val="3F4A741D"/>
    <w:rsid w:val="3F4D34B9"/>
    <w:rsid w:val="3F4D4F72"/>
    <w:rsid w:val="3F5465F5"/>
    <w:rsid w:val="3F5605BF"/>
    <w:rsid w:val="3F56236D"/>
    <w:rsid w:val="3F566811"/>
    <w:rsid w:val="3F5900B0"/>
    <w:rsid w:val="3F591E5E"/>
    <w:rsid w:val="3F5E56C6"/>
    <w:rsid w:val="3F660E74"/>
    <w:rsid w:val="3F696545"/>
    <w:rsid w:val="3F6C393F"/>
    <w:rsid w:val="3F6D50FF"/>
    <w:rsid w:val="3F6D76B7"/>
    <w:rsid w:val="3F6E19E9"/>
    <w:rsid w:val="3F6F1681"/>
    <w:rsid w:val="3F757954"/>
    <w:rsid w:val="3F7942AE"/>
    <w:rsid w:val="3F7B7B8A"/>
    <w:rsid w:val="3F7E3672"/>
    <w:rsid w:val="3F811F08"/>
    <w:rsid w:val="3F817E67"/>
    <w:rsid w:val="3F8213B4"/>
    <w:rsid w:val="3F830C89"/>
    <w:rsid w:val="3F850EA5"/>
    <w:rsid w:val="3F890995"/>
    <w:rsid w:val="3F8A64BB"/>
    <w:rsid w:val="3F9115F7"/>
    <w:rsid w:val="3F917849"/>
    <w:rsid w:val="3F9335CD"/>
    <w:rsid w:val="3F9904AC"/>
    <w:rsid w:val="3F995D91"/>
    <w:rsid w:val="3F9A23F3"/>
    <w:rsid w:val="3F9D1D4A"/>
    <w:rsid w:val="3FA94B93"/>
    <w:rsid w:val="3FAA26B9"/>
    <w:rsid w:val="3FAC01DF"/>
    <w:rsid w:val="3FAE3F57"/>
    <w:rsid w:val="3FAF13AE"/>
    <w:rsid w:val="3FAF1612"/>
    <w:rsid w:val="3FAF7CCF"/>
    <w:rsid w:val="3FB12ADB"/>
    <w:rsid w:val="3FB3156E"/>
    <w:rsid w:val="3FB35A12"/>
    <w:rsid w:val="3FBE7F13"/>
    <w:rsid w:val="3FC217B1"/>
    <w:rsid w:val="3FC419CD"/>
    <w:rsid w:val="3FC65745"/>
    <w:rsid w:val="3FC75AA0"/>
    <w:rsid w:val="3FC86E9D"/>
    <w:rsid w:val="3FC96EB0"/>
    <w:rsid w:val="3FCA68B7"/>
    <w:rsid w:val="3FCF2120"/>
    <w:rsid w:val="3FD07349"/>
    <w:rsid w:val="3FD61700"/>
    <w:rsid w:val="3FDA2F9E"/>
    <w:rsid w:val="3FDF2363"/>
    <w:rsid w:val="3FE55985"/>
    <w:rsid w:val="3FEB51AC"/>
    <w:rsid w:val="3FEC0F24"/>
    <w:rsid w:val="3FEE6A4A"/>
    <w:rsid w:val="3FF027C2"/>
    <w:rsid w:val="3FF102E8"/>
    <w:rsid w:val="3FF1653A"/>
    <w:rsid w:val="3FFA34B2"/>
    <w:rsid w:val="3FFA719D"/>
    <w:rsid w:val="3FFD2A12"/>
    <w:rsid w:val="3FFD4EDF"/>
    <w:rsid w:val="3FFF0C57"/>
    <w:rsid w:val="400647A9"/>
    <w:rsid w:val="400B13AA"/>
    <w:rsid w:val="400B3158"/>
    <w:rsid w:val="400C1667"/>
    <w:rsid w:val="400E7546"/>
    <w:rsid w:val="40170548"/>
    <w:rsid w:val="40170617"/>
    <w:rsid w:val="401C5365"/>
    <w:rsid w:val="401E6EC4"/>
    <w:rsid w:val="401F4E55"/>
    <w:rsid w:val="40224945"/>
    <w:rsid w:val="40227D90"/>
    <w:rsid w:val="4024246B"/>
    <w:rsid w:val="40267F92"/>
    <w:rsid w:val="402814CD"/>
    <w:rsid w:val="402E32EA"/>
    <w:rsid w:val="4030560B"/>
    <w:rsid w:val="40442B0E"/>
    <w:rsid w:val="40547751"/>
    <w:rsid w:val="40572841"/>
    <w:rsid w:val="405C1C05"/>
    <w:rsid w:val="405D772B"/>
    <w:rsid w:val="405E3BCF"/>
    <w:rsid w:val="405F1467"/>
    <w:rsid w:val="40630A6C"/>
    <w:rsid w:val="40646D0C"/>
    <w:rsid w:val="40664832"/>
    <w:rsid w:val="406665E0"/>
    <w:rsid w:val="406B009A"/>
    <w:rsid w:val="40723CDF"/>
    <w:rsid w:val="40730CFD"/>
    <w:rsid w:val="40763704"/>
    <w:rsid w:val="407A6407"/>
    <w:rsid w:val="407A652F"/>
    <w:rsid w:val="407A79D6"/>
    <w:rsid w:val="4081166C"/>
    <w:rsid w:val="40827192"/>
    <w:rsid w:val="408353E4"/>
    <w:rsid w:val="40864ED4"/>
    <w:rsid w:val="40866FF7"/>
    <w:rsid w:val="408E3D89"/>
    <w:rsid w:val="408F7457"/>
    <w:rsid w:val="409018CD"/>
    <w:rsid w:val="40910A42"/>
    <w:rsid w:val="40923879"/>
    <w:rsid w:val="40970E8F"/>
    <w:rsid w:val="4099146F"/>
    <w:rsid w:val="4099578D"/>
    <w:rsid w:val="409D0A43"/>
    <w:rsid w:val="40A55471"/>
    <w:rsid w:val="40A57942"/>
    <w:rsid w:val="40A67324"/>
    <w:rsid w:val="40A8309D"/>
    <w:rsid w:val="40AA1674"/>
    <w:rsid w:val="40BB7697"/>
    <w:rsid w:val="40BE0DB2"/>
    <w:rsid w:val="40BE0F76"/>
    <w:rsid w:val="40BE1F8C"/>
    <w:rsid w:val="40C1373E"/>
    <w:rsid w:val="40C63523"/>
    <w:rsid w:val="40C655E2"/>
    <w:rsid w:val="40C67C6D"/>
    <w:rsid w:val="40C74FEA"/>
    <w:rsid w:val="40C854ED"/>
    <w:rsid w:val="40C8729B"/>
    <w:rsid w:val="40CB28E7"/>
    <w:rsid w:val="40CD582B"/>
    <w:rsid w:val="40CF4866"/>
    <w:rsid w:val="40D07EFD"/>
    <w:rsid w:val="40D257AC"/>
    <w:rsid w:val="40D304EF"/>
    <w:rsid w:val="40DA57F1"/>
    <w:rsid w:val="40DE4339"/>
    <w:rsid w:val="40E13EB9"/>
    <w:rsid w:val="40EC1096"/>
    <w:rsid w:val="40ED0AAF"/>
    <w:rsid w:val="40F621C4"/>
    <w:rsid w:val="40F67CBC"/>
    <w:rsid w:val="40FA31CC"/>
    <w:rsid w:val="40FC0CF2"/>
    <w:rsid w:val="40FE4A6B"/>
    <w:rsid w:val="40FF07E3"/>
    <w:rsid w:val="410127AD"/>
    <w:rsid w:val="410140EC"/>
    <w:rsid w:val="4101455B"/>
    <w:rsid w:val="410302D3"/>
    <w:rsid w:val="41036525"/>
    <w:rsid w:val="410D6D4A"/>
    <w:rsid w:val="41171FD0"/>
    <w:rsid w:val="411A73CB"/>
    <w:rsid w:val="41202C33"/>
    <w:rsid w:val="4121053E"/>
    <w:rsid w:val="4125649B"/>
    <w:rsid w:val="41281AE7"/>
    <w:rsid w:val="412D48D8"/>
    <w:rsid w:val="412E3DA3"/>
    <w:rsid w:val="41314E40"/>
    <w:rsid w:val="41336AA3"/>
    <w:rsid w:val="4134048C"/>
    <w:rsid w:val="41391F47"/>
    <w:rsid w:val="4139769D"/>
    <w:rsid w:val="413E093E"/>
    <w:rsid w:val="413E6223"/>
    <w:rsid w:val="41405083"/>
    <w:rsid w:val="41441117"/>
    <w:rsid w:val="414601C0"/>
    <w:rsid w:val="414A78DB"/>
    <w:rsid w:val="414B6FDA"/>
    <w:rsid w:val="414F0FC2"/>
    <w:rsid w:val="41516DB4"/>
    <w:rsid w:val="41596145"/>
    <w:rsid w:val="41641FEF"/>
    <w:rsid w:val="416A0352"/>
    <w:rsid w:val="416C5E78"/>
    <w:rsid w:val="416D24A3"/>
    <w:rsid w:val="41726F86"/>
    <w:rsid w:val="41742F7F"/>
    <w:rsid w:val="41766CF7"/>
    <w:rsid w:val="4177481D"/>
    <w:rsid w:val="41785C76"/>
    <w:rsid w:val="417D0085"/>
    <w:rsid w:val="418036D2"/>
    <w:rsid w:val="41815E93"/>
    <w:rsid w:val="4183725B"/>
    <w:rsid w:val="41850CE8"/>
    <w:rsid w:val="418A09F4"/>
    <w:rsid w:val="418B6F45"/>
    <w:rsid w:val="418E2292"/>
    <w:rsid w:val="419453CF"/>
    <w:rsid w:val="41A1329E"/>
    <w:rsid w:val="41A354FD"/>
    <w:rsid w:val="41AB3DDC"/>
    <w:rsid w:val="41AF3FB7"/>
    <w:rsid w:val="41B21056"/>
    <w:rsid w:val="41B36CDD"/>
    <w:rsid w:val="41BA23CC"/>
    <w:rsid w:val="41BE5A2A"/>
    <w:rsid w:val="41C12819"/>
    <w:rsid w:val="41C31810"/>
    <w:rsid w:val="41C537DA"/>
    <w:rsid w:val="41C63BEE"/>
    <w:rsid w:val="41C662EF"/>
    <w:rsid w:val="41CA7043"/>
    <w:rsid w:val="41CF2217"/>
    <w:rsid w:val="41D1217F"/>
    <w:rsid w:val="41D8350E"/>
    <w:rsid w:val="41DC3706"/>
    <w:rsid w:val="41DC535C"/>
    <w:rsid w:val="41DD28D2"/>
    <w:rsid w:val="41E023C2"/>
    <w:rsid w:val="41E90D89"/>
    <w:rsid w:val="41E952A1"/>
    <w:rsid w:val="41EC6FB9"/>
    <w:rsid w:val="41EE4ADF"/>
    <w:rsid w:val="41F12821"/>
    <w:rsid w:val="41F145CF"/>
    <w:rsid w:val="41F30347"/>
    <w:rsid w:val="41F52311"/>
    <w:rsid w:val="41F61BE6"/>
    <w:rsid w:val="41FA16D6"/>
    <w:rsid w:val="41FB36A0"/>
    <w:rsid w:val="42004812"/>
    <w:rsid w:val="4205007B"/>
    <w:rsid w:val="420C31B7"/>
    <w:rsid w:val="420E33EE"/>
    <w:rsid w:val="42114C71"/>
    <w:rsid w:val="421309EA"/>
    <w:rsid w:val="421449FF"/>
    <w:rsid w:val="421502BE"/>
    <w:rsid w:val="42165DE4"/>
    <w:rsid w:val="42187DAE"/>
    <w:rsid w:val="421A3B26"/>
    <w:rsid w:val="421D7172"/>
    <w:rsid w:val="42204EB5"/>
    <w:rsid w:val="42291FBB"/>
    <w:rsid w:val="42293D69"/>
    <w:rsid w:val="42295B17"/>
    <w:rsid w:val="422A188F"/>
    <w:rsid w:val="42346AE3"/>
    <w:rsid w:val="423544BC"/>
    <w:rsid w:val="423821FE"/>
    <w:rsid w:val="423A0FD9"/>
    <w:rsid w:val="423A3BCC"/>
    <w:rsid w:val="423B417B"/>
    <w:rsid w:val="424C5CAA"/>
    <w:rsid w:val="424E37D0"/>
    <w:rsid w:val="425154F8"/>
    <w:rsid w:val="4258464E"/>
    <w:rsid w:val="425B7C9B"/>
    <w:rsid w:val="425C413F"/>
    <w:rsid w:val="425D3A13"/>
    <w:rsid w:val="42612D34"/>
    <w:rsid w:val="42645DC4"/>
    <w:rsid w:val="426D634C"/>
    <w:rsid w:val="42721D88"/>
    <w:rsid w:val="427C3081"/>
    <w:rsid w:val="42816FF2"/>
    <w:rsid w:val="42843695"/>
    <w:rsid w:val="42843BC2"/>
    <w:rsid w:val="428561CB"/>
    <w:rsid w:val="428611BC"/>
    <w:rsid w:val="42892A5A"/>
    <w:rsid w:val="428C585C"/>
    <w:rsid w:val="428C60A6"/>
    <w:rsid w:val="428D254A"/>
    <w:rsid w:val="42903DE8"/>
    <w:rsid w:val="42905431"/>
    <w:rsid w:val="4294605B"/>
    <w:rsid w:val="429733C9"/>
    <w:rsid w:val="429B44C9"/>
    <w:rsid w:val="42A35700"/>
    <w:rsid w:val="42A930FC"/>
    <w:rsid w:val="42AA5F72"/>
    <w:rsid w:val="42B52239"/>
    <w:rsid w:val="42B5384F"/>
    <w:rsid w:val="42B775C7"/>
    <w:rsid w:val="42BA42E3"/>
    <w:rsid w:val="42BD444E"/>
    <w:rsid w:val="42C24102"/>
    <w:rsid w:val="42C341BE"/>
    <w:rsid w:val="42C615B8"/>
    <w:rsid w:val="42CA4EAC"/>
    <w:rsid w:val="42D737C5"/>
    <w:rsid w:val="42D77C69"/>
    <w:rsid w:val="42DA7950"/>
    <w:rsid w:val="42E20147"/>
    <w:rsid w:val="42E3216A"/>
    <w:rsid w:val="42E47C90"/>
    <w:rsid w:val="42E87780"/>
    <w:rsid w:val="42ED1DD1"/>
    <w:rsid w:val="42F06635"/>
    <w:rsid w:val="42F205FF"/>
    <w:rsid w:val="42FC76D0"/>
    <w:rsid w:val="42FE5101"/>
    <w:rsid w:val="430640AA"/>
    <w:rsid w:val="43095B0E"/>
    <w:rsid w:val="430D71E7"/>
    <w:rsid w:val="43122A4F"/>
    <w:rsid w:val="431324CB"/>
    <w:rsid w:val="43140575"/>
    <w:rsid w:val="431449BC"/>
    <w:rsid w:val="43144A19"/>
    <w:rsid w:val="431542ED"/>
    <w:rsid w:val="43197A0C"/>
    <w:rsid w:val="431A7B56"/>
    <w:rsid w:val="431D0717"/>
    <w:rsid w:val="431D372B"/>
    <w:rsid w:val="4320516C"/>
    <w:rsid w:val="432A3DCF"/>
    <w:rsid w:val="432C7597"/>
    <w:rsid w:val="432D5ADB"/>
    <w:rsid w:val="43302ED5"/>
    <w:rsid w:val="433429C6"/>
    <w:rsid w:val="43380B85"/>
    <w:rsid w:val="4339622E"/>
    <w:rsid w:val="433A51B1"/>
    <w:rsid w:val="433A6FE6"/>
    <w:rsid w:val="433C5D1E"/>
    <w:rsid w:val="434075BC"/>
    <w:rsid w:val="434123BC"/>
    <w:rsid w:val="43421586"/>
    <w:rsid w:val="43425DA3"/>
    <w:rsid w:val="43443F1E"/>
    <w:rsid w:val="43454BD3"/>
    <w:rsid w:val="4350713C"/>
    <w:rsid w:val="43566DE0"/>
    <w:rsid w:val="435D5832"/>
    <w:rsid w:val="43615785"/>
    <w:rsid w:val="436653E0"/>
    <w:rsid w:val="43672D9B"/>
    <w:rsid w:val="4368266F"/>
    <w:rsid w:val="436D237B"/>
    <w:rsid w:val="43727992"/>
    <w:rsid w:val="43733496"/>
    <w:rsid w:val="437901B2"/>
    <w:rsid w:val="43790D20"/>
    <w:rsid w:val="4379487C"/>
    <w:rsid w:val="437B23A2"/>
    <w:rsid w:val="437E6337"/>
    <w:rsid w:val="438433D3"/>
    <w:rsid w:val="43843DC2"/>
    <w:rsid w:val="43866F99"/>
    <w:rsid w:val="43887DD0"/>
    <w:rsid w:val="438A4CDB"/>
    <w:rsid w:val="438F40A0"/>
    <w:rsid w:val="43902128"/>
    <w:rsid w:val="43930246"/>
    <w:rsid w:val="439711A6"/>
    <w:rsid w:val="43973DCE"/>
    <w:rsid w:val="43A55671"/>
    <w:rsid w:val="43A86F10"/>
    <w:rsid w:val="43AC6A00"/>
    <w:rsid w:val="43AE6F7D"/>
    <w:rsid w:val="43B00525"/>
    <w:rsid w:val="43B14016"/>
    <w:rsid w:val="43B34232"/>
    <w:rsid w:val="43B35FE0"/>
    <w:rsid w:val="43B6162D"/>
    <w:rsid w:val="43B9736F"/>
    <w:rsid w:val="43BB30E7"/>
    <w:rsid w:val="43C006FD"/>
    <w:rsid w:val="43C04259"/>
    <w:rsid w:val="43C24475"/>
    <w:rsid w:val="43C401ED"/>
    <w:rsid w:val="43C71A8C"/>
    <w:rsid w:val="43C81360"/>
    <w:rsid w:val="43C8760E"/>
    <w:rsid w:val="43CD667C"/>
    <w:rsid w:val="43CE2E1A"/>
    <w:rsid w:val="43D45F57"/>
    <w:rsid w:val="43D46D34"/>
    <w:rsid w:val="43DD305D"/>
    <w:rsid w:val="43DE6DD5"/>
    <w:rsid w:val="43E02B4D"/>
    <w:rsid w:val="43E36C7A"/>
    <w:rsid w:val="43EE526A"/>
    <w:rsid w:val="43F14D5A"/>
    <w:rsid w:val="43F62371"/>
    <w:rsid w:val="44022AC4"/>
    <w:rsid w:val="4404683C"/>
    <w:rsid w:val="44071E88"/>
    <w:rsid w:val="440C749E"/>
    <w:rsid w:val="440E3217"/>
    <w:rsid w:val="441069D6"/>
    <w:rsid w:val="441445A5"/>
    <w:rsid w:val="44150A49"/>
    <w:rsid w:val="44175E54"/>
    <w:rsid w:val="441C7F8A"/>
    <w:rsid w:val="441D78FE"/>
    <w:rsid w:val="44202F4A"/>
    <w:rsid w:val="44222311"/>
    <w:rsid w:val="44223EC2"/>
    <w:rsid w:val="44226CC2"/>
    <w:rsid w:val="44246EDE"/>
    <w:rsid w:val="44281AE8"/>
    <w:rsid w:val="442D18F9"/>
    <w:rsid w:val="442F1E3B"/>
    <w:rsid w:val="443D58AA"/>
    <w:rsid w:val="443F7874"/>
    <w:rsid w:val="44450C02"/>
    <w:rsid w:val="44492573"/>
    <w:rsid w:val="445157F9"/>
    <w:rsid w:val="44550E45"/>
    <w:rsid w:val="44557097"/>
    <w:rsid w:val="44567ED7"/>
    <w:rsid w:val="445D7CFA"/>
    <w:rsid w:val="446175D3"/>
    <w:rsid w:val="44625310"/>
    <w:rsid w:val="44661A1F"/>
    <w:rsid w:val="4467501D"/>
    <w:rsid w:val="446A68AD"/>
    <w:rsid w:val="446B0669"/>
    <w:rsid w:val="446E2DED"/>
    <w:rsid w:val="4473751E"/>
    <w:rsid w:val="4486116B"/>
    <w:rsid w:val="44872FC9"/>
    <w:rsid w:val="448B5623"/>
    <w:rsid w:val="448C3E78"/>
    <w:rsid w:val="448E7078"/>
    <w:rsid w:val="44901E7E"/>
    <w:rsid w:val="44A616A1"/>
    <w:rsid w:val="44A8626A"/>
    <w:rsid w:val="44A973E3"/>
    <w:rsid w:val="44AB4F09"/>
    <w:rsid w:val="44AE67A8"/>
    <w:rsid w:val="44B042CE"/>
    <w:rsid w:val="44B244EA"/>
    <w:rsid w:val="44B5165A"/>
    <w:rsid w:val="44B518E4"/>
    <w:rsid w:val="44B60AAD"/>
    <w:rsid w:val="44B738AE"/>
    <w:rsid w:val="44B83DE4"/>
    <w:rsid w:val="44B85878"/>
    <w:rsid w:val="44BE2E8F"/>
    <w:rsid w:val="44BF2763"/>
    <w:rsid w:val="44C10289"/>
    <w:rsid w:val="44C4421D"/>
    <w:rsid w:val="44C61D43"/>
    <w:rsid w:val="44CB0EE8"/>
    <w:rsid w:val="44CB1108"/>
    <w:rsid w:val="44CB3B1B"/>
    <w:rsid w:val="44CD14E0"/>
    <w:rsid w:val="44CF1BF0"/>
    <w:rsid w:val="44D0671E"/>
    <w:rsid w:val="44D37FBC"/>
    <w:rsid w:val="44E4041B"/>
    <w:rsid w:val="44E4666D"/>
    <w:rsid w:val="44E81CBA"/>
    <w:rsid w:val="44E83CA9"/>
    <w:rsid w:val="44F06DC0"/>
    <w:rsid w:val="44F42EE1"/>
    <w:rsid w:val="44F63F31"/>
    <w:rsid w:val="44F71EFD"/>
    <w:rsid w:val="44F85C75"/>
    <w:rsid w:val="44F87A23"/>
    <w:rsid w:val="44FA379B"/>
    <w:rsid w:val="44FA4815"/>
    <w:rsid w:val="44FE772F"/>
    <w:rsid w:val="45034D45"/>
    <w:rsid w:val="45097E82"/>
    <w:rsid w:val="450D7972"/>
    <w:rsid w:val="4511711A"/>
    <w:rsid w:val="451231DA"/>
    <w:rsid w:val="45141548"/>
    <w:rsid w:val="451505D5"/>
    <w:rsid w:val="45156827"/>
    <w:rsid w:val="4517434D"/>
    <w:rsid w:val="451A3E3D"/>
    <w:rsid w:val="451E56DB"/>
    <w:rsid w:val="452409D7"/>
    <w:rsid w:val="45246A6A"/>
    <w:rsid w:val="4528655A"/>
    <w:rsid w:val="452F5B3A"/>
    <w:rsid w:val="453250A1"/>
    <w:rsid w:val="453D4D6F"/>
    <w:rsid w:val="454315E6"/>
    <w:rsid w:val="454A2974"/>
    <w:rsid w:val="45505AB1"/>
    <w:rsid w:val="45515F3F"/>
    <w:rsid w:val="455235D7"/>
    <w:rsid w:val="45561AB0"/>
    <w:rsid w:val="45596713"/>
    <w:rsid w:val="455A06DD"/>
    <w:rsid w:val="455A248C"/>
    <w:rsid w:val="45637592"/>
    <w:rsid w:val="456652D4"/>
    <w:rsid w:val="4568104C"/>
    <w:rsid w:val="456926CF"/>
    <w:rsid w:val="456E41DF"/>
    <w:rsid w:val="456E4C88"/>
    <w:rsid w:val="456F738A"/>
    <w:rsid w:val="457479F1"/>
    <w:rsid w:val="457C0A82"/>
    <w:rsid w:val="457E5811"/>
    <w:rsid w:val="458946E9"/>
    <w:rsid w:val="459040FF"/>
    <w:rsid w:val="45911A11"/>
    <w:rsid w:val="45986D8C"/>
    <w:rsid w:val="45992C39"/>
    <w:rsid w:val="45992FB4"/>
    <w:rsid w:val="459B4382"/>
    <w:rsid w:val="45A007E6"/>
    <w:rsid w:val="45A16D05"/>
    <w:rsid w:val="45AD4CB1"/>
    <w:rsid w:val="45AE54CB"/>
    <w:rsid w:val="45B1654F"/>
    <w:rsid w:val="45B26679"/>
    <w:rsid w:val="45B61DB8"/>
    <w:rsid w:val="45B63B66"/>
    <w:rsid w:val="45BD302C"/>
    <w:rsid w:val="45C16A25"/>
    <w:rsid w:val="45CA13BF"/>
    <w:rsid w:val="45CA1598"/>
    <w:rsid w:val="45CA7611"/>
    <w:rsid w:val="45CC5137"/>
    <w:rsid w:val="45CF69D6"/>
    <w:rsid w:val="45D65FB6"/>
    <w:rsid w:val="45DA5812"/>
    <w:rsid w:val="45DE130F"/>
    <w:rsid w:val="45E17E9C"/>
    <w:rsid w:val="45E5269D"/>
    <w:rsid w:val="45E71F71"/>
    <w:rsid w:val="45E87A97"/>
    <w:rsid w:val="45EE5554"/>
    <w:rsid w:val="45F11042"/>
    <w:rsid w:val="45F244DE"/>
    <w:rsid w:val="45F4653A"/>
    <w:rsid w:val="45F67B77"/>
    <w:rsid w:val="45F97EF6"/>
    <w:rsid w:val="45FB654D"/>
    <w:rsid w:val="46001285"/>
    <w:rsid w:val="46014AB2"/>
    <w:rsid w:val="46032B23"/>
    <w:rsid w:val="460C70AB"/>
    <w:rsid w:val="46113D93"/>
    <w:rsid w:val="46146ADE"/>
    <w:rsid w:val="4618037D"/>
    <w:rsid w:val="46184820"/>
    <w:rsid w:val="461B1C1B"/>
    <w:rsid w:val="461D1E37"/>
    <w:rsid w:val="461F516B"/>
    <w:rsid w:val="46207231"/>
    <w:rsid w:val="46244F73"/>
    <w:rsid w:val="46256F3D"/>
    <w:rsid w:val="462907DC"/>
    <w:rsid w:val="462A65A2"/>
    <w:rsid w:val="462C02CC"/>
    <w:rsid w:val="462C5BD6"/>
    <w:rsid w:val="462D74DA"/>
    <w:rsid w:val="462E5CB9"/>
    <w:rsid w:val="46357180"/>
    <w:rsid w:val="46377A12"/>
    <w:rsid w:val="463902F3"/>
    <w:rsid w:val="463A1ECC"/>
    <w:rsid w:val="463D7073"/>
    <w:rsid w:val="463E0D14"/>
    <w:rsid w:val="4646138E"/>
    <w:rsid w:val="464F5C0D"/>
    <w:rsid w:val="46503FBA"/>
    <w:rsid w:val="46511AE0"/>
    <w:rsid w:val="465515D1"/>
    <w:rsid w:val="46584C1D"/>
    <w:rsid w:val="465D66D7"/>
    <w:rsid w:val="4665558C"/>
    <w:rsid w:val="46670B8F"/>
    <w:rsid w:val="4674757D"/>
    <w:rsid w:val="46753A21"/>
    <w:rsid w:val="46770F87"/>
    <w:rsid w:val="467852BF"/>
    <w:rsid w:val="467B090B"/>
    <w:rsid w:val="467F21AA"/>
    <w:rsid w:val="46821C9A"/>
    <w:rsid w:val="46873754"/>
    <w:rsid w:val="46921B54"/>
    <w:rsid w:val="469519C5"/>
    <w:rsid w:val="469B2D5C"/>
    <w:rsid w:val="46A61E2C"/>
    <w:rsid w:val="46AD52B3"/>
    <w:rsid w:val="46AE0CE1"/>
    <w:rsid w:val="46B300A5"/>
    <w:rsid w:val="46B362F7"/>
    <w:rsid w:val="46BB787A"/>
    <w:rsid w:val="46BC0A08"/>
    <w:rsid w:val="46BD2CD2"/>
    <w:rsid w:val="46BF2EEE"/>
    <w:rsid w:val="46BF4C9C"/>
    <w:rsid w:val="46C04C97"/>
    <w:rsid w:val="46C9474D"/>
    <w:rsid w:val="46CD355E"/>
    <w:rsid w:val="46D00C57"/>
    <w:rsid w:val="46D36999"/>
    <w:rsid w:val="46D5626E"/>
    <w:rsid w:val="46D70238"/>
    <w:rsid w:val="46D955A7"/>
    <w:rsid w:val="46D97270"/>
    <w:rsid w:val="46DB13AA"/>
    <w:rsid w:val="46DC7CBE"/>
    <w:rsid w:val="46DD15C6"/>
    <w:rsid w:val="46E02B43"/>
    <w:rsid w:val="46E22739"/>
    <w:rsid w:val="46E26BDC"/>
    <w:rsid w:val="46E42955"/>
    <w:rsid w:val="46E44703"/>
    <w:rsid w:val="46E93AC7"/>
    <w:rsid w:val="46ED0E13"/>
    <w:rsid w:val="46F13E60"/>
    <w:rsid w:val="46F56910"/>
    <w:rsid w:val="46F72688"/>
    <w:rsid w:val="47044DA5"/>
    <w:rsid w:val="470923BB"/>
    <w:rsid w:val="470E2EE7"/>
    <w:rsid w:val="470E352E"/>
    <w:rsid w:val="470E79D1"/>
    <w:rsid w:val="471054F8"/>
    <w:rsid w:val="47133957"/>
    <w:rsid w:val="4714323A"/>
    <w:rsid w:val="471919C1"/>
    <w:rsid w:val="471A69C9"/>
    <w:rsid w:val="471F1BDF"/>
    <w:rsid w:val="471F398D"/>
    <w:rsid w:val="472114B3"/>
    <w:rsid w:val="47250D5F"/>
    <w:rsid w:val="472745EF"/>
    <w:rsid w:val="472965B9"/>
    <w:rsid w:val="472D42FC"/>
    <w:rsid w:val="472F1A08"/>
    <w:rsid w:val="473236C0"/>
    <w:rsid w:val="47332F94"/>
    <w:rsid w:val="47342495"/>
    <w:rsid w:val="47356D0C"/>
    <w:rsid w:val="47370CD6"/>
    <w:rsid w:val="4737208D"/>
    <w:rsid w:val="473A4147"/>
    <w:rsid w:val="473E02B7"/>
    <w:rsid w:val="473E2065"/>
    <w:rsid w:val="4743767B"/>
    <w:rsid w:val="474451A1"/>
    <w:rsid w:val="47484C91"/>
    <w:rsid w:val="47503B46"/>
    <w:rsid w:val="47507FEA"/>
    <w:rsid w:val="475353E4"/>
    <w:rsid w:val="47543636"/>
    <w:rsid w:val="47571378"/>
    <w:rsid w:val="475911F7"/>
    <w:rsid w:val="475E6263"/>
    <w:rsid w:val="47613FA5"/>
    <w:rsid w:val="47680E90"/>
    <w:rsid w:val="477041E8"/>
    <w:rsid w:val="477737C9"/>
    <w:rsid w:val="477912EF"/>
    <w:rsid w:val="4779329E"/>
    <w:rsid w:val="477E6905"/>
    <w:rsid w:val="47811F51"/>
    <w:rsid w:val="478A7058"/>
    <w:rsid w:val="478F0FE7"/>
    <w:rsid w:val="478F466E"/>
    <w:rsid w:val="47901267"/>
    <w:rsid w:val="47955FA7"/>
    <w:rsid w:val="479D0AC1"/>
    <w:rsid w:val="479E48B1"/>
    <w:rsid w:val="479E6FA7"/>
    <w:rsid w:val="47A07E0C"/>
    <w:rsid w:val="47A619B8"/>
    <w:rsid w:val="47A829EE"/>
    <w:rsid w:val="47AA594C"/>
    <w:rsid w:val="47AB5220"/>
    <w:rsid w:val="47AD0F98"/>
    <w:rsid w:val="47B746AA"/>
    <w:rsid w:val="47B916EB"/>
    <w:rsid w:val="47BC11DC"/>
    <w:rsid w:val="47BE4F54"/>
    <w:rsid w:val="47BE6D02"/>
    <w:rsid w:val="47BF7F9B"/>
    <w:rsid w:val="47C6205A"/>
    <w:rsid w:val="47CA7D9C"/>
    <w:rsid w:val="47CF7161"/>
    <w:rsid w:val="47D26C51"/>
    <w:rsid w:val="47DB3D58"/>
    <w:rsid w:val="47DB5B06"/>
    <w:rsid w:val="47DC3CA8"/>
    <w:rsid w:val="47DC523D"/>
    <w:rsid w:val="47DD7AD0"/>
    <w:rsid w:val="47DF34E2"/>
    <w:rsid w:val="47E66258"/>
    <w:rsid w:val="47E81FD1"/>
    <w:rsid w:val="47EF37F7"/>
    <w:rsid w:val="47F6293F"/>
    <w:rsid w:val="47FE17F4"/>
    <w:rsid w:val="48030BB8"/>
    <w:rsid w:val="48054931"/>
    <w:rsid w:val="480701F9"/>
    <w:rsid w:val="480A136E"/>
    <w:rsid w:val="480B5E1D"/>
    <w:rsid w:val="481903DC"/>
    <w:rsid w:val="481D7ECC"/>
    <w:rsid w:val="481E59F2"/>
    <w:rsid w:val="481F27F7"/>
    <w:rsid w:val="4820176A"/>
    <w:rsid w:val="48221986"/>
    <w:rsid w:val="48270D4B"/>
    <w:rsid w:val="48290D48"/>
    <w:rsid w:val="482B265C"/>
    <w:rsid w:val="482C6361"/>
    <w:rsid w:val="482D3E87"/>
    <w:rsid w:val="48335D86"/>
    <w:rsid w:val="483416BA"/>
    <w:rsid w:val="48345216"/>
    <w:rsid w:val="483671E0"/>
    <w:rsid w:val="483E7E42"/>
    <w:rsid w:val="484216E1"/>
    <w:rsid w:val="48457423"/>
    <w:rsid w:val="4847319B"/>
    <w:rsid w:val="48484C47"/>
    <w:rsid w:val="484C255F"/>
    <w:rsid w:val="484E0AD2"/>
    <w:rsid w:val="485338EE"/>
    <w:rsid w:val="485633DE"/>
    <w:rsid w:val="48580F04"/>
    <w:rsid w:val="485853A8"/>
    <w:rsid w:val="485B4F92"/>
    <w:rsid w:val="485E2293"/>
    <w:rsid w:val="48627FD5"/>
    <w:rsid w:val="48642021"/>
    <w:rsid w:val="48645AFB"/>
    <w:rsid w:val="48650157"/>
    <w:rsid w:val="4867383D"/>
    <w:rsid w:val="48690C2E"/>
    <w:rsid w:val="48695961"/>
    <w:rsid w:val="486A1C17"/>
    <w:rsid w:val="486D24D6"/>
    <w:rsid w:val="486E0728"/>
    <w:rsid w:val="4870272E"/>
    <w:rsid w:val="48723461"/>
    <w:rsid w:val="487675DC"/>
    <w:rsid w:val="487A051B"/>
    <w:rsid w:val="487B1097"/>
    <w:rsid w:val="487B2E3B"/>
    <w:rsid w:val="487C1662"/>
    <w:rsid w:val="48825F81"/>
    <w:rsid w:val="48831CF9"/>
    <w:rsid w:val="48867CD4"/>
    <w:rsid w:val="4889543F"/>
    <w:rsid w:val="48897310"/>
    <w:rsid w:val="488C32A4"/>
    <w:rsid w:val="488F68F0"/>
    <w:rsid w:val="489D2DBB"/>
    <w:rsid w:val="48A14B56"/>
    <w:rsid w:val="48A36846"/>
    <w:rsid w:val="48A4239B"/>
    <w:rsid w:val="48A534D7"/>
    <w:rsid w:val="48A64365"/>
    <w:rsid w:val="48A73C3A"/>
    <w:rsid w:val="48AA54D8"/>
    <w:rsid w:val="48B325DE"/>
    <w:rsid w:val="48B9571B"/>
    <w:rsid w:val="48BA396D"/>
    <w:rsid w:val="48BA59AE"/>
    <w:rsid w:val="48BB2C0D"/>
    <w:rsid w:val="48BB7D26"/>
    <w:rsid w:val="48BC0D87"/>
    <w:rsid w:val="48BD345D"/>
    <w:rsid w:val="48C04CFB"/>
    <w:rsid w:val="48C04DCB"/>
    <w:rsid w:val="48C26CC5"/>
    <w:rsid w:val="48C4659A"/>
    <w:rsid w:val="48C742DC"/>
    <w:rsid w:val="48C90054"/>
    <w:rsid w:val="48CA7928"/>
    <w:rsid w:val="48CD108C"/>
    <w:rsid w:val="48CD2E1A"/>
    <w:rsid w:val="48D80297"/>
    <w:rsid w:val="48DB1977"/>
    <w:rsid w:val="48DC7D87"/>
    <w:rsid w:val="48DF0B70"/>
    <w:rsid w:val="48E00EFA"/>
    <w:rsid w:val="48EA7AFE"/>
    <w:rsid w:val="48F350D1"/>
    <w:rsid w:val="48FA2E41"/>
    <w:rsid w:val="48FA645F"/>
    <w:rsid w:val="48FC21D7"/>
    <w:rsid w:val="48FF3A76"/>
    <w:rsid w:val="49044BE8"/>
    <w:rsid w:val="490D78A6"/>
    <w:rsid w:val="490E1F0B"/>
    <w:rsid w:val="490E2E80"/>
    <w:rsid w:val="490F3BD6"/>
    <w:rsid w:val="491312CF"/>
    <w:rsid w:val="491A265E"/>
    <w:rsid w:val="491D5CAA"/>
    <w:rsid w:val="491F1F8A"/>
    <w:rsid w:val="491F7C74"/>
    <w:rsid w:val="492139EC"/>
    <w:rsid w:val="49227764"/>
    <w:rsid w:val="49255DFC"/>
    <w:rsid w:val="492732ED"/>
    <w:rsid w:val="49276B29"/>
    <w:rsid w:val="492D05E3"/>
    <w:rsid w:val="49331971"/>
    <w:rsid w:val="4933371F"/>
    <w:rsid w:val="49357497"/>
    <w:rsid w:val="49362ED7"/>
    <w:rsid w:val="49385C0C"/>
    <w:rsid w:val="493C4382"/>
    <w:rsid w:val="493D3419"/>
    <w:rsid w:val="493F0316"/>
    <w:rsid w:val="493F54EA"/>
    <w:rsid w:val="49410206"/>
    <w:rsid w:val="49442815"/>
    <w:rsid w:val="494816E4"/>
    <w:rsid w:val="494B0A69"/>
    <w:rsid w:val="494B472D"/>
    <w:rsid w:val="494B6CBB"/>
    <w:rsid w:val="49585496"/>
    <w:rsid w:val="495A6EFE"/>
    <w:rsid w:val="495F2766"/>
    <w:rsid w:val="496D7F4F"/>
    <w:rsid w:val="496F62BB"/>
    <w:rsid w:val="497266D3"/>
    <w:rsid w:val="4977360C"/>
    <w:rsid w:val="49777AB0"/>
    <w:rsid w:val="498015D8"/>
    <w:rsid w:val="49804BB7"/>
    <w:rsid w:val="49815D26"/>
    <w:rsid w:val="49816239"/>
    <w:rsid w:val="49817C4D"/>
    <w:rsid w:val="49875199"/>
    <w:rsid w:val="49885DAF"/>
    <w:rsid w:val="498A77E3"/>
    <w:rsid w:val="499046CE"/>
    <w:rsid w:val="499441BE"/>
    <w:rsid w:val="49946280"/>
    <w:rsid w:val="49951AC7"/>
    <w:rsid w:val="49957F36"/>
    <w:rsid w:val="49973CAE"/>
    <w:rsid w:val="499A452E"/>
    <w:rsid w:val="499B7670"/>
    <w:rsid w:val="499F2B63"/>
    <w:rsid w:val="499F447B"/>
    <w:rsid w:val="49A03A49"/>
    <w:rsid w:val="49A32653"/>
    <w:rsid w:val="49A3380F"/>
    <w:rsid w:val="49A50A8A"/>
    <w:rsid w:val="49A81A70"/>
    <w:rsid w:val="49A918FB"/>
    <w:rsid w:val="49AA1FDC"/>
    <w:rsid w:val="49AA31B5"/>
    <w:rsid w:val="49AB775A"/>
    <w:rsid w:val="49AE2DA6"/>
    <w:rsid w:val="49AF0FF8"/>
    <w:rsid w:val="49BA799D"/>
    <w:rsid w:val="49BC2721"/>
    <w:rsid w:val="49C56A6D"/>
    <w:rsid w:val="49CF169A"/>
    <w:rsid w:val="49D2118A"/>
    <w:rsid w:val="49D40682"/>
    <w:rsid w:val="49D61FF8"/>
    <w:rsid w:val="49D7054F"/>
    <w:rsid w:val="49D767A1"/>
    <w:rsid w:val="49D96147"/>
    <w:rsid w:val="49DB5E2A"/>
    <w:rsid w:val="49DC3DB7"/>
    <w:rsid w:val="49DC7715"/>
    <w:rsid w:val="49E01723"/>
    <w:rsid w:val="49E07403"/>
    <w:rsid w:val="49E1317B"/>
    <w:rsid w:val="49E968C3"/>
    <w:rsid w:val="49EC224C"/>
    <w:rsid w:val="49EF3AEA"/>
    <w:rsid w:val="49F033BE"/>
    <w:rsid w:val="49F92273"/>
    <w:rsid w:val="49FB423D"/>
    <w:rsid w:val="49FC1D63"/>
    <w:rsid w:val="49FD6207"/>
    <w:rsid w:val="4A001853"/>
    <w:rsid w:val="4A023139"/>
    <w:rsid w:val="4A0328F9"/>
    <w:rsid w:val="4A044A63"/>
    <w:rsid w:val="4A0B1011"/>
    <w:rsid w:val="4A0D21C2"/>
    <w:rsid w:val="4A0D5D1E"/>
    <w:rsid w:val="4A0F5F3A"/>
    <w:rsid w:val="4A0F7CE8"/>
    <w:rsid w:val="4A11580F"/>
    <w:rsid w:val="4A17094B"/>
    <w:rsid w:val="4A174DEF"/>
    <w:rsid w:val="4A1E5D46"/>
    <w:rsid w:val="4A1E617D"/>
    <w:rsid w:val="4A247CED"/>
    <w:rsid w:val="4A253068"/>
    <w:rsid w:val="4A27000B"/>
    <w:rsid w:val="4A2819C9"/>
    <w:rsid w:val="4A2C2648"/>
    <w:rsid w:val="4A312113"/>
    <w:rsid w:val="4A3239D7"/>
    <w:rsid w:val="4A353E64"/>
    <w:rsid w:val="4A3634C7"/>
    <w:rsid w:val="4A38723F"/>
    <w:rsid w:val="4A392FB7"/>
    <w:rsid w:val="4A3B0ADD"/>
    <w:rsid w:val="4A3C70D0"/>
    <w:rsid w:val="4A435BE4"/>
    <w:rsid w:val="4A4756D4"/>
    <w:rsid w:val="4A492030"/>
    <w:rsid w:val="4A4D606C"/>
    <w:rsid w:val="4A5D6CA6"/>
    <w:rsid w:val="4A600544"/>
    <w:rsid w:val="4A6022F2"/>
    <w:rsid w:val="4A633B90"/>
    <w:rsid w:val="4A6873F9"/>
    <w:rsid w:val="4A695243"/>
    <w:rsid w:val="4A6A3171"/>
    <w:rsid w:val="4A730277"/>
    <w:rsid w:val="4A767D68"/>
    <w:rsid w:val="4A791606"/>
    <w:rsid w:val="4A7A7858"/>
    <w:rsid w:val="4A7B576F"/>
    <w:rsid w:val="4A7D4C52"/>
    <w:rsid w:val="4A7E09CA"/>
    <w:rsid w:val="4A82495E"/>
    <w:rsid w:val="4A82670C"/>
    <w:rsid w:val="4A851D59"/>
    <w:rsid w:val="4A857FAB"/>
    <w:rsid w:val="4A8C38A0"/>
    <w:rsid w:val="4A8E09AD"/>
    <w:rsid w:val="4A8F4985"/>
    <w:rsid w:val="4A914BA1"/>
    <w:rsid w:val="4A987CDE"/>
    <w:rsid w:val="4A9B05A9"/>
    <w:rsid w:val="4A9B77CE"/>
    <w:rsid w:val="4A9D52F4"/>
    <w:rsid w:val="4AA2290B"/>
    <w:rsid w:val="4AA30431"/>
    <w:rsid w:val="4AA52D9C"/>
    <w:rsid w:val="4AA743C5"/>
    <w:rsid w:val="4AAA6481"/>
    <w:rsid w:val="4AAD305D"/>
    <w:rsid w:val="4AAE5753"/>
    <w:rsid w:val="4AAF6887"/>
    <w:rsid w:val="4AB04516"/>
    <w:rsid w:val="4AB16FF2"/>
    <w:rsid w:val="4AB50890"/>
    <w:rsid w:val="4ABA7398"/>
    <w:rsid w:val="4ABD30CC"/>
    <w:rsid w:val="4ABE5084"/>
    <w:rsid w:val="4AC07235"/>
    <w:rsid w:val="4AC14F54"/>
    <w:rsid w:val="4ACA3C0F"/>
    <w:rsid w:val="4AD11442"/>
    <w:rsid w:val="4AD36F68"/>
    <w:rsid w:val="4AD5073A"/>
    <w:rsid w:val="4AD60806"/>
    <w:rsid w:val="4AD8632C"/>
    <w:rsid w:val="4ADD0B44"/>
    <w:rsid w:val="4ADE7383"/>
    <w:rsid w:val="4ADF355A"/>
    <w:rsid w:val="4AE051E1"/>
    <w:rsid w:val="4AE5022F"/>
    <w:rsid w:val="4AE7656F"/>
    <w:rsid w:val="4AE76CFB"/>
    <w:rsid w:val="4AEA4061"/>
    <w:rsid w:val="4AEE3DA2"/>
    <w:rsid w:val="4AEE5B50"/>
    <w:rsid w:val="4AF3760A"/>
    <w:rsid w:val="4AF60EA8"/>
    <w:rsid w:val="4AF95AE8"/>
    <w:rsid w:val="4AFB026D"/>
    <w:rsid w:val="4AFE2ACC"/>
    <w:rsid w:val="4B045373"/>
    <w:rsid w:val="4B0B6702"/>
    <w:rsid w:val="4B0E2E17"/>
    <w:rsid w:val="4B117926"/>
    <w:rsid w:val="4B15132F"/>
    <w:rsid w:val="4B1530DD"/>
    <w:rsid w:val="4B182BCD"/>
    <w:rsid w:val="4B187071"/>
    <w:rsid w:val="4B1A06F3"/>
    <w:rsid w:val="4B1A6945"/>
    <w:rsid w:val="4B1C0C8A"/>
    <w:rsid w:val="4B1D4687"/>
    <w:rsid w:val="4B271062"/>
    <w:rsid w:val="4B2A0FBC"/>
    <w:rsid w:val="4B2C48CA"/>
    <w:rsid w:val="4B307F16"/>
    <w:rsid w:val="4B3774F7"/>
    <w:rsid w:val="4B386DCB"/>
    <w:rsid w:val="4B3B7271"/>
    <w:rsid w:val="4B3F0159"/>
    <w:rsid w:val="4B471143"/>
    <w:rsid w:val="4B48362D"/>
    <w:rsid w:val="4B4B4D50"/>
    <w:rsid w:val="4B4C2876"/>
    <w:rsid w:val="4B4E4879"/>
    <w:rsid w:val="4B524331"/>
    <w:rsid w:val="4B5856BF"/>
    <w:rsid w:val="4B5C0D0B"/>
    <w:rsid w:val="4B5F07FC"/>
    <w:rsid w:val="4B5F09E6"/>
    <w:rsid w:val="4B6422B6"/>
    <w:rsid w:val="4B6573C5"/>
    <w:rsid w:val="4B667DDC"/>
    <w:rsid w:val="4B6814D6"/>
    <w:rsid w:val="4B681D46"/>
    <w:rsid w:val="4B683B54"/>
    <w:rsid w:val="4B6978CC"/>
    <w:rsid w:val="4B6A20D4"/>
    <w:rsid w:val="4B6C4CC7"/>
    <w:rsid w:val="4B6D2F19"/>
    <w:rsid w:val="4B702A09"/>
    <w:rsid w:val="4B777E35"/>
    <w:rsid w:val="4B797B0F"/>
    <w:rsid w:val="4B7C13AE"/>
    <w:rsid w:val="4B7D0C82"/>
    <w:rsid w:val="4B7D55E8"/>
    <w:rsid w:val="4B7F2C4C"/>
    <w:rsid w:val="4B83098E"/>
    <w:rsid w:val="4B842010"/>
    <w:rsid w:val="4B8509FE"/>
    <w:rsid w:val="4B865D88"/>
    <w:rsid w:val="4B9506C1"/>
    <w:rsid w:val="4B977F95"/>
    <w:rsid w:val="4B9A1834"/>
    <w:rsid w:val="4B9E1324"/>
    <w:rsid w:val="4B9F509C"/>
    <w:rsid w:val="4BA10E14"/>
    <w:rsid w:val="4BA34B8C"/>
    <w:rsid w:val="4BA426B2"/>
    <w:rsid w:val="4BA821A3"/>
    <w:rsid w:val="4BA97CC9"/>
    <w:rsid w:val="4BAB57EF"/>
    <w:rsid w:val="4BAD5A0B"/>
    <w:rsid w:val="4BB26B7D"/>
    <w:rsid w:val="4BB328F5"/>
    <w:rsid w:val="4BB5041C"/>
    <w:rsid w:val="4BB52B12"/>
    <w:rsid w:val="4BBA3C84"/>
    <w:rsid w:val="4BBC5C4E"/>
    <w:rsid w:val="4BBE2E56"/>
    <w:rsid w:val="4BBF594C"/>
    <w:rsid w:val="4BC863A1"/>
    <w:rsid w:val="4BC93E36"/>
    <w:rsid w:val="4BCE14DD"/>
    <w:rsid w:val="4BD3035B"/>
    <w:rsid w:val="4BD626E7"/>
    <w:rsid w:val="4BD755BD"/>
    <w:rsid w:val="4BD765E4"/>
    <w:rsid w:val="4BD94FE4"/>
    <w:rsid w:val="4BDA60D4"/>
    <w:rsid w:val="4BDE3E16"/>
    <w:rsid w:val="4BDE7972"/>
    <w:rsid w:val="4BE156B5"/>
    <w:rsid w:val="4BE45A77"/>
    <w:rsid w:val="4BE64A79"/>
    <w:rsid w:val="4BEA27BB"/>
    <w:rsid w:val="4BEB6533"/>
    <w:rsid w:val="4BF54CBC"/>
    <w:rsid w:val="4BF70A34"/>
    <w:rsid w:val="4BF74ED8"/>
    <w:rsid w:val="4BF76165"/>
    <w:rsid w:val="4BF90C50"/>
    <w:rsid w:val="4BFC604B"/>
    <w:rsid w:val="4C0118B3"/>
    <w:rsid w:val="4C0D2006"/>
    <w:rsid w:val="4C0D64AA"/>
    <w:rsid w:val="4C107D48"/>
    <w:rsid w:val="4C12586E"/>
    <w:rsid w:val="4C15535E"/>
    <w:rsid w:val="4C177328"/>
    <w:rsid w:val="4C196BFC"/>
    <w:rsid w:val="4C1B2975"/>
    <w:rsid w:val="4C1E2465"/>
    <w:rsid w:val="4C207F8B"/>
    <w:rsid w:val="4C215AB1"/>
    <w:rsid w:val="4C2832E3"/>
    <w:rsid w:val="4C2F01CE"/>
    <w:rsid w:val="4C304E69"/>
    <w:rsid w:val="4C3103EA"/>
    <w:rsid w:val="4C343841"/>
    <w:rsid w:val="4C3B6274"/>
    <w:rsid w:val="4C3C28EB"/>
    <w:rsid w:val="4C42680C"/>
    <w:rsid w:val="4C4338E3"/>
    <w:rsid w:val="4C435948"/>
    <w:rsid w:val="4C4A0649"/>
    <w:rsid w:val="4C4A2479"/>
    <w:rsid w:val="4C4C6FD2"/>
    <w:rsid w:val="4C51283A"/>
    <w:rsid w:val="4C516396"/>
    <w:rsid w:val="4C5E1AE1"/>
    <w:rsid w:val="4C63431C"/>
    <w:rsid w:val="4C667968"/>
    <w:rsid w:val="4C675BBA"/>
    <w:rsid w:val="4C6836E0"/>
    <w:rsid w:val="4C6B091A"/>
    <w:rsid w:val="4C716A38"/>
    <w:rsid w:val="4C744019"/>
    <w:rsid w:val="4C786019"/>
    <w:rsid w:val="4C7C718B"/>
    <w:rsid w:val="4C7E1155"/>
    <w:rsid w:val="4C804ECE"/>
    <w:rsid w:val="4C8147A2"/>
    <w:rsid w:val="4C9857B2"/>
    <w:rsid w:val="4C9D782D"/>
    <w:rsid w:val="4CA02E7A"/>
    <w:rsid w:val="4CA26BF2"/>
    <w:rsid w:val="4CA412EE"/>
    <w:rsid w:val="4CA50490"/>
    <w:rsid w:val="4CA961D2"/>
    <w:rsid w:val="4CAE1A3B"/>
    <w:rsid w:val="4CB16E35"/>
    <w:rsid w:val="4CB22BAD"/>
    <w:rsid w:val="4CB32CFF"/>
    <w:rsid w:val="4CBF59F6"/>
    <w:rsid w:val="4CC0176E"/>
    <w:rsid w:val="4CC2206D"/>
    <w:rsid w:val="4CC4300C"/>
    <w:rsid w:val="4CC51A92"/>
    <w:rsid w:val="4CC528E0"/>
    <w:rsid w:val="4CC622E8"/>
    <w:rsid w:val="4CC72AFC"/>
    <w:rsid w:val="4CCE58CF"/>
    <w:rsid w:val="4CCF375F"/>
    <w:rsid w:val="4CD15729"/>
    <w:rsid w:val="4CD40D75"/>
    <w:rsid w:val="4CD62D3F"/>
    <w:rsid w:val="4CD82614"/>
    <w:rsid w:val="4CDD5E7C"/>
    <w:rsid w:val="4CDE0C9F"/>
    <w:rsid w:val="4CDE39A2"/>
    <w:rsid w:val="4CE30FB8"/>
    <w:rsid w:val="4CE42B3C"/>
    <w:rsid w:val="4CE470D3"/>
    <w:rsid w:val="4CEA0599"/>
    <w:rsid w:val="4CEF4C4D"/>
    <w:rsid w:val="4CEF5BAF"/>
    <w:rsid w:val="4CF077D9"/>
    <w:rsid w:val="4CFB6302"/>
    <w:rsid w:val="4D023C3A"/>
    <w:rsid w:val="4D0347ED"/>
    <w:rsid w:val="4D04450E"/>
    <w:rsid w:val="4D0A4797"/>
    <w:rsid w:val="4D1004F6"/>
    <w:rsid w:val="4D153868"/>
    <w:rsid w:val="4D1D44CA"/>
    <w:rsid w:val="4D20220D"/>
    <w:rsid w:val="4D2770F7"/>
    <w:rsid w:val="4D2D3D6E"/>
    <w:rsid w:val="4D302450"/>
    <w:rsid w:val="4D355CB8"/>
    <w:rsid w:val="4D3B1C54"/>
    <w:rsid w:val="4D3F481B"/>
    <w:rsid w:val="4D410CA2"/>
    <w:rsid w:val="4D41465D"/>
    <w:rsid w:val="4D4203D5"/>
    <w:rsid w:val="4D430005"/>
    <w:rsid w:val="4D467EC5"/>
    <w:rsid w:val="4D4A6344"/>
    <w:rsid w:val="4D4C3002"/>
    <w:rsid w:val="4D4D3BF7"/>
    <w:rsid w:val="4D4E5624"/>
    <w:rsid w:val="4D5048A0"/>
    <w:rsid w:val="4D507EDB"/>
    <w:rsid w:val="4D511823"/>
    <w:rsid w:val="4D534390"/>
    <w:rsid w:val="4D53613E"/>
    <w:rsid w:val="4D551EB6"/>
    <w:rsid w:val="4D5C1497"/>
    <w:rsid w:val="4D5D0D6B"/>
    <w:rsid w:val="4D5F2D35"/>
    <w:rsid w:val="4D622825"/>
    <w:rsid w:val="4D6473B4"/>
    <w:rsid w:val="4D6E34CC"/>
    <w:rsid w:val="4D70238D"/>
    <w:rsid w:val="4D73058E"/>
    <w:rsid w:val="4D754306"/>
    <w:rsid w:val="4D7F6F33"/>
    <w:rsid w:val="4D806F98"/>
    <w:rsid w:val="4D814A59"/>
    <w:rsid w:val="4D84279B"/>
    <w:rsid w:val="4D8E361A"/>
    <w:rsid w:val="4D8F45EB"/>
    <w:rsid w:val="4D956757"/>
    <w:rsid w:val="4D986247"/>
    <w:rsid w:val="4D9E78F3"/>
    <w:rsid w:val="4DA326D4"/>
    <w:rsid w:val="4DA60964"/>
    <w:rsid w:val="4DA60C49"/>
    <w:rsid w:val="4DA67FC9"/>
    <w:rsid w:val="4DA70238"/>
    <w:rsid w:val="4DA846DC"/>
    <w:rsid w:val="4DA8622E"/>
    <w:rsid w:val="4DAE0572"/>
    <w:rsid w:val="4DAE15C6"/>
    <w:rsid w:val="4DAE7818"/>
    <w:rsid w:val="4DB43081"/>
    <w:rsid w:val="4DB632A5"/>
    <w:rsid w:val="4DC66910"/>
    <w:rsid w:val="4DCD7C9F"/>
    <w:rsid w:val="4DCE2B1A"/>
    <w:rsid w:val="4DD23507"/>
    <w:rsid w:val="4DDC73DC"/>
    <w:rsid w:val="4DDF5C24"/>
    <w:rsid w:val="4DE21C50"/>
    <w:rsid w:val="4DEC4FB0"/>
    <w:rsid w:val="4DED0341"/>
    <w:rsid w:val="4DED6593"/>
    <w:rsid w:val="4DEF6FAE"/>
    <w:rsid w:val="4DF73887"/>
    <w:rsid w:val="4DFA0CB0"/>
    <w:rsid w:val="4E037B64"/>
    <w:rsid w:val="4E075D8A"/>
    <w:rsid w:val="4E09200C"/>
    <w:rsid w:val="4E0B07C7"/>
    <w:rsid w:val="4E0F6509"/>
    <w:rsid w:val="4E141D71"/>
    <w:rsid w:val="4E1C6E78"/>
    <w:rsid w:val="4E1E674C"/>
    <w:rsid w:val="4E265601"/>
    <w:rsid w:val="4E2B4904"/>
    <w:rsid w:val="4E2D2E33"/>
    <w:rsid w:val="4E2F00CD"/>
    <w:rsid w:val="4E30022D"/>
    <w:rsid w:val="4E3046D1"/>
    <w:rsid w:val="4E30647F"/>
    <w:rsid w:val="4E361CE8"/>
    <w:rsid w:val="4E377A81"/>
    <w:rsid w:val="4E393586"/>
    <w:rsid w:val="4E3C6BD2"/>
    <w:rsid w:val="4E3E294A"/>
    <w:rsid w:val="4E3E386B"/>
    <w:rsid w:val="4E3E6DEE"/>
    <w:rsid w:val="4E41243B"/>
    <w:rsid w:val="4E4B5067"/>
    <w:rsid w:val="4E4E3531"/>
    <w:rsid w:val="4E4F21B5"/>
    <w:rsid w:val="4E5008D0"/>
    <w:rsid w:val="4E516B22"/>
    <w:rsid w:val="4E52289A"/>
    <w:rsid w:val="4E557B71"/>
    <w:rsid w:val="4E593C28"/>
    <w:rsid w:val="4E5966F8"/>
    <w:rsid w:val="4E5B17E2"/>
    <w:rsid w:val="4E612B82"/>
    <w:rsid w:val="4E65437B"/>
    <w:rsid w:val="4E6C0560"/>
    <w:rsid w:val="4E6C5709"/>
    <w:rsid w:val="4E720DB0"/>
    <w:rsid w:val="4E7445BE"/>
    <w:rsid w:val="4E796078"/>
    <w:rsid w:val="4E7E60C2"/>
    <w:rsid w:val="4E870795"/>
    <w:rsid w:val="4E87155B"/>
    <w:rsid w:val="4E87437C"/>
    <w:rsid w:val="4E8C2811"/>
    <w:rsid w:val="4E922C96"/>
    <w:rsid w:val="4E9764FE"/>
    <w:rsid w:val="4E9B7D9D"/>
    <w:rsid w:val="4EA43198"/>
    <w:rsid w:val="4EA84268"/>
    <w:rsid w:val="4EAA6232"/>
    <w:rsid w:val="4EAC3D58"/>
    <w:rsid w:val="4EAF3848"/>
    <w:rsid w:val="4EB3158A"/>
    <w:rsid w:val="4EB64BD7"/>
    <w:rsid w:val="4EB81371"/>
    <w:rsid w:val="4EB90223"/>
    <w:rsid w:val="4EBE7F2F"/>
    <w:rsid w:val="4EC72940"/>
    <w:rsid w:val="4EC8490A"/>
    <w:rsid w:val="4EC927B3"/>
    <w:rsid w:val="4ECA68D4"/>
    <w:rsid w:val="4ED355A0"/>
    <w:rsid w:val="4ED3756D"/>
    <w:rsid w:val="4ED432AF"/>
    <w:rsid w:val="4ED4505D"/>
    <w:rsid w:val="4ED92673"/>
    <w:rsid w:val="4ED96B17"/>
    <w:rsid w:val="4EDB288F"/>
    <w:rsid w:val="4EDB4BC8"/>
    <w:rsid w:val="4EDD03B5"/>
    <w:rsid w:val="4EDE412D"/>
    <w:rsid w:val="4EDF257D"/>
    <w:rsid w:val="4EE17099"/>
    <w:rsid w:val="4EE41F76"/>
    <w:rsid w:val="4EE51C25"/>
    <w:rsid w:val="4EE527CC"/>
    <w:rsid w:val="4EE85483"/>
    <w:rsid w:val="4EEA2AD2"/>
    <w:rsid w:val="4EEE25C2"/>
    <w:rsid w:val="4EF474AD"/>
    <w:rsid w:val="4EF94AC3"/>
    <w:rsid w:val="4EFD45B3"/>
    <w:rsid w:val="4F0022F6"/>
    <w:rsid w:val="4F033DD3"/>
    <w:rsid w:val="4F053468"/>
    <w:rsid w:val="4F0C0C9A"/>
    <w:rsid w:val="4F0D4088"/>
    <w:rsid w:val="4F0E4A13"/>
    <w:rsid w:val="4F0E67C1"/>
    <w:rsid w:val="4F1638C7"/>
    <w:rsid w:val="4F18319B"/>
    <w:rsid w:val="4F18763F"/>
    <w:rsid w:val="4F1D07B2"/>
    <w:rsid w:val="4F1D2EA8"/>
    <w:rsid w:val="4F202C68"/>
    <w:rsid w:val="4F2908FF"/>
    <w:rsid w:val="4F29184C"/>
    <w:rsid w:val="4F297FE9"/>
    <w:rsid w:val="4F2D0968"/>
    <w:rsid w:val="4F2E29BF"/>
    <w:rsid w:val="4F334479"/>
    <w:rsid w:val="4F361873"/>
    <w:rsid w:val="4F3855EC"/>
    <w:rsid w:val="4F3B1580"/>
    <w:rsid w:val="4F3D70A6"/>
    <w:rsid w:val="4F4847FE"/>
    <w:rsid w:val="4F495A4B"/>
    <w:rsid w:val="4F4A531F"/>
    <w:rsid w:val="4F4C1097"/>
    <w:rsid w:val="4F50502B"/>
    <w:rsid w:val="4F552641"/>
    <w:rsid w:val="4F5A30F9"/>
    <w:rsid w:val="4F5A7C58"/>
    <w:rsid w:val="4F5B752C"/>
    <w:rsid w:val="4F5F0DCA"/>
    <w:rsid w:val="4F5F701C"/>
    <w:rsid w:val="4F6005A7"/>
    <w:rsid w:val="4F602D94"/>
    <w:rsid w:val="4F636270"/>
    <w:rsid w:val="4F6603AB"/>
    <w:rsid w:val="4F6E3703"/>
    <w:rsid w:val="4F702FD7"/>
    <w:rsid w:val="4F704CF0"/>
    <w:rsid w:val="4F732AC8"/>
    <w:rsid w:val="4F7506C0"/>
    <w:rsid w:val="4F7B197C"/>
    <w:rsid w:val="4F7D3946"/>
    <w:rsid w:val="4F7F321A"/>
    <w:rsid w:val="4F884993"/>
    <w:rsid w:val="4F885589"/>
    <w:rsid w:val="4F8B1BBF"/>
    <w:rsid w:val="4F8E237C"/>
    <w:rsid w:val="4F9A62A6"/>
    <w:rsid w:val="4F9B5B7A"/>
    <w:rsid w:val="4F9D5D96"/>
    <w:rsid w:val="4FA40ED3"/>
    <w:rsid w:val="4FA54744"/>
    <w:rsid w:val="4FA7451F"/>
    <w:rsid w:val="4FAC7D88"/>
    <w:rsid w:val="4FAD422B"/>
    <w:rsid w:val="4FB01626"/>
    <w:rsid w:val="4FB44097"/>
    <w:rsid w:val="4FBD3D43"/>
    <w:rsid w:val="4FBF7ABB"/>
    <w:rsid w:val="4FC13833"/>
    <w:rsid w:val="4FC357FD"/>
    <w:rsid w:val="4FC43323"/>
    <w:rsid w:val="4FC62A8C"/>
    <w:rsid w:val="4FD96283"/>
    <w:rsid w:val="4FDA2B47"/>
    <w:rsid w:val="4FDD1302"/>
    <w:rsid w:val="4FDE2637"/>
    <w:rsid w:val="4FE20F0D"/>
    <w:rsid w:val="4FE47521"/>
    <w:rsid w:val="4FE87012"/>
    <w:rsid w:val="4FED182E"/>
    <w:rsid w:val="4FED4628"/>
    <w:rsid w:val="4FF37764"/>
    <w:rsid w:val="4FF9121F"/>
    <w:rsid w:val="4FFA5313"/>
    <w:rsid w:val="4FFA6D45"/>
    <w:rsid w:val="4FFD05E3"/>
    <w:rsid w:val="5006393C"/>
    <w:rsid w:val="500656EA"/>
    <w:rsid w:val="500B0F52"/>
    <w:rsid w:val="500D0826"/>
    <w:rsid w:val="50100316"/>
    <w:rsid w:val="501047BA"/>
    <w:rsid w:val="501279DB"/>
    <w:rsid w:val="50153B7F"/>
    <w:rsid w:val="501B6F55"/>
    <w:rsid w:val="501E5995"/>
    <w:rsid w:val="501F67AB"/>
    <w:rsid w:val="50212524"/>
    <w:rsid w:val="502301D1"/>
    <w:rsid w:val="502618E8"/>
    <w:rsid w:val="5026469F"/>
    <w:rsid w:val="502A587C"/>
    <w:rsid w:val="502D2C76"/>
    <w:rsid w:val="503234D1"/>
    <w:rsid w:val="503A5393"/>
    <w:rsid w:val="50446212"/>
    <w:rsid w:val="50454464"/>
    <w:rsid w:val="504637E5"/>
    <w:rsid w:val="504908E4"/>
    <w:rsid w:val="504A4F1C"/>
    <w:rsid w:val="504D156B"/>
    <w:rsid w:val="50503AAD"/>
    <w:rsid w:val="50504C4B"/>
    <w:rsid w:val="50506965"/>
    <w:rsid w:val="5051105B"/>
    <w:rsid w:val="50521F46"/>
    <w:rsid w:val="50546455"/>
    <w:rsid w:val="505521CD"/>
    <w:rsid w:val="50566671"/>
    <w:rsid w:val="50575F45"/>
    <w:rsid w:val="50593A6B"/>
    <w:rsid w:val="505A5A36"/>
    <w:rsid w:val="505C3EB2"/>
    <w:rsid w:val="505C7A00"/>
    <w:rsid w:val="505F4DFA"/>
    <w:rsid w:val="50616DC4"/>
    <w:rsid w:val="506403BE"/>
    <w:rsid w:val="50650662"/>
    <w:rsid w:val="506955FB"/>
    <w:rsid w:val="506A3ECB"/>
    <w:rsid w:val="506B379F"/>
    <w:rsid w:val="506E0C6B"/>
    <w:rsid w:val="506F7733"/>
    <w:rsid w:val="50720FD1"/>
    <w:rsid w:val="50724B2D"/>
    <w:rsid w:val="50753F57"/>
    <w:rsid w:val="5075461D"/>
    <w:rsid w:val="50770396"/>
    <w:rsid w:val="50772144"/>
    <w:rsid w:val="507904F4"/>
    <w:rsid w:val="507A1C34"/>
    <w:rsid w:val="5080549C"/>
    <w:rsid w:val="50861C6B"/>
    <w:rsid w:val="50867BFF"/>
    <w:rsid w:val="508825A3"/>
    <w:rsid w:val="508B5BEF"/>
    <w:rsid w:val="508F1B83"/>
    <w:rsid w:val="509176A9"/>
    <w:rsid w:val="509623AA"/>
    <w:rsid w:val="5099030C"/>
    <w:rsid w:val="509947B0"/>
    <w:rsid w:val="509C6E7C"/>
    <w:rsid w:val="509D6FF7"/>
    <w:rsid w:val="509E57AB"/>
    <w:rsid w:val="50A70C7B"/>
    <w:rsid w:val="50A97291"/>
    <w:rsid w:val="50AA42C7"/>
    <w:rsid w:val="50AD3DB7"/>
    <w:rsid w:val="50B43398"/>
    <w:rsid w:val="50B46484"/>
    <w:rsid w:val="50B909AE"/>
    <w:rsid w:val="50BE7D72"/>
    <w:rsid w:val="50C15A67"/>
    <w:rsid w:val="50CA3508"/>
    <w:rsid w:val="50CA6717"/>
    <w:rsid w:val="50CD1029"/>
    <w:rsid w:val="50CD6207"/>
    <w:rsid w:val="50D22EE7"/>
    <w:rsid w:val="50D36B6C"/>
    <w:rsid w:val="50DD32E6"/>
    <w:rsid w:val="50DD469C"/>
    <w:rsid w:val="50E75601"/>
    <w:rsid w:val="50E84F15"/>
    <w:rsid w:val="50EA4404"/>
    <w:rsid w:val="50ED0658"/>
    <w:rsid w:val="50EF617E"/>
    <w:rsid w:val="50F432F0"/>
    <w:rsid w:val="50F73284"/>
    <w:rsid w:val="50FE4613"/>
    <w:rsid w:val="51002483"/>
    <w:rsid w:val="5100482F"/>
    <w:rsid w:val="51024103"/>
    <w:rsid w:val="51037E7B"/>
    <w:rsid w:val="510559A1"/>
    <w:rsid w:val="51071719"/>
    <w:rsid w:val="51121E6C"/>
    <w:rsid w:val="51143E36"/>
    <w:rsid w:val="511778D1"/>
    <w:rsid w:val="51192505"/>
    <w:rsid w:val="511D0F3D"/>
    <w:rsid w:val="511D718F"/>
    <w:rsid w:val="51206ED5"/>
    <w:rsid w:val="51220612"/>
    <w:rsid w:val="51226553"/>
    <w:rsid w:val="51271F7E"/>
    <w:rsid w:val="51273B6A"/>
    <w:rsid w:val="51275918"/>
    <w:rsid w:val="51281690"/>
    <w:rsid w:val="5131339E"/>
    <w:rsid w:val="513168B9"/>
    <w:rsid w:val="513358DF"/>
    <w:rsid w:val="5139389D"/>
    <w:rsid w:val="513A0C0E"/>
    <w:rsid w:val="513A6B13"/>
    <w:rsid w:val="513D513B"/>
    <w:rsid w:val="513E0EB3"/>
    <w:rsid w:val="513F5357"/>
    <w:rsid w:val="514566E6"/>
    <w:rsid w:val="51493AE0"/>
    <w:rsid w:val="514B18D1"/>
    <w:rsid w:val="514D0982"/>
    <w:rsid w:val="514E67E9"/>
    <w:rsid w:val="514F4E6E"/>
    <w:rsid w:val="51532BB1"/>
    <w:rsid w:val="51576E82"/>
    <w:rsid w:val="515801C7"/>
    <w:rsid w:val="51591E29"/>
    <w:rsid w:val="5160707C"/>
    <w:rsid w:val="5162104E"/>
    <w:rsid w:val="51631640"/>
    <w:rsid w:val="51674A18"/>
    <w:rsid w:val="5167665C"/>
    <w:rsid w:val="516B614C"/>
    <w:rsid w:val="516E6ED8"/>
    <w:rsid w:val="51702517"/>
    <w:rsid w:val="51711289"/>
    <w:rsid w:val="5176064D"/>
    <w:rsid w:val="517B2107"/>
    <w:rsid w:val="517D214D"/>
    <w:rsid w:val="518014CC"/>
    <w:rsid w:val="51874608"/>
    <w:rsid w:val="518A40F8"/>
    <w:rsid w:val="518A5306"/>
    <w:rsid w:val="519531C9"/>
    <w:rsid w:val="5196484B"/>
    <w:rsid w:val="519A433C"/>
    <w:rsid w:val="519B00B4"/>
    <w:rsid w:val="519F5DF6"/>
    <w:rsid w:val="51A46F68"/>
    <w:rsid w:val="51AE0F7B"/>
    <w:rsid w:val="51B54C13"/>
    <w:rsid w:val="51BA5593"/>
    <w:rsid w:val="51C70EA9"/>
    <w:rsid w:val="51C770FB"/>
    <w:rsid w:val="51CC64BF"/>
    <w:rsid w:val="51DD06CC"/>
    <w:rsid w:val="51DD247A"/>
    <w:rsid w:val="51DF4444"/>
    <w:rsid w:val="51E33C89"/>
    <w:rsid w:val="51E41A5B"/>
    <w:rsid w:val="51E65239"/>
    <w:rsid w:val="51EE0B2B"/>
    <w:rsid w:val="51EE28D9"/>
    <w:rsid w:val="51F1661C"/>
    <w:rsid w:val="51F25BDA"/>
    <w:rsid w:val="51FB0B52"/>
    <w:rsid w:val="5201085F"/>
    <w:rsid w:val="5204431E"/>
    <w:rsid w:val="52045C59"/>
    <w:rsid w:val="52045EDF"/>
    <w:rsid w:val="52075749"/>
    <w:rsid w:val="52097713"/>
    <w:rsid w:val="520B348B"/>
    <w:rsid w:val="520D7203"/>
    <w:rsid w:val="520E4D2A"/>
    <w:rsid w:val="52122037"/>
    <w:rsid w:val="5215365D"/>
    <w:rsid w:val="521560B8"/>
    <w:rsid w:val="52181704"/>
    <w:rsid w:val="521A547C"/>
    <w:rsid w:val="521C7446"/>
    <w:rsid w:val="521E2410"/>
    <w:rsid w:val="5221680B"/>
    <w:rsid w:val="52217969"/>
    <w:rsid w:val="52224331"/>
    <w:rsid w:val="522400A9"/>
    <w:rsid w:val="52244433"/>
    <w:rsid w:val="5227544C"/>
    <w:rsid w:val="52287B99"/>
    <w:rsid w:val="522D1654"/>
    <w:rsid w:val="522E717A"/>
    <w:rsid w:val="52320A18"/>
    <w:rsid w:val="52374C03"/>
    <w:rsid w:val="5237602E"/>
    <w:rsid w:val="52383B54"/>
    <w:rsid w:val="52416EAD"/>
    <w:rsid w:val="524244DF"/>
    <w:rsid w:val="52462715"/>
    <w:rsid w:val="524644C3"/>
    <w:rsid w:val="52483D98"/>
    <w:rsid w:val="524D13AE"/>
    <w:rsid w:val="524E2FBC"/>
    <w:rsid w:val="524E5126"/>
    <w:rsid w:val="52500E9E"/>
    <w:rsid w:val="525057AA"/>
    <w:rsid w:val="525210BA"/>
    <w:rsid w:val="525700B0"/>
    <w:rsid w:val="52574ECB"/>
    <w:rsid w:val="525941F7"/>
    <w:rsid w:val="525B6CEF"/>
    <w:rsid w:val="525E35BB"/>
    <w:rsid w:val="52636E23"/>
    <w:rsid w:val="52650DED"/>
    <w:rsid w:val="526515A2"/>
    <w:rsid w:val="526F3A1A"/>
    <w:rsid w:val="527A33E5"/>
    <w:rsid w:val="52806503"/>
    <w:rsid w:val="52850AA4"/>
    <w:rsid w:val="528943B0"/>
    <w:rsid w:val="528B637A"/>
    <w:rsid w:val="528C45CC"/>
    <w:rsid w:val="528D3EA0"/>
    <w:rsid w:val="528E597D"/>
    <w:rsid w:val="528F1410"/>
    <w:rsid w:val="52903990"/>
    <w:rsid w:val="52961E90"/>
    <w:rsid w:val="529671F9"/>
    <w:rsid w:val="52A64F62"/>
    <w:rsid w:val="52A80CDA"/>
    <w:rsid w:val="52A86F2C"/>
    <w:rsid w:val="52B21B59"/>
    <w:rsid w:val="52B4142D"/>
    <w:rsid w:val="52C33D66"/>
    <w:rsid w:val="52C5188C"/>
    <w:rsid w:val="52C553E8"/>
    <w:rsid w:val="52C8137C"/>
    <w:rsid w:val="52CA50F4"/>
    <w:rsid w:val="52D27B05"/>
    <w:rsid w:val="52D4387D"/>
    <w:rsid w:val="52D73AAB"/>
    <w:rsid w:val="52DD7B03"/>
    <w:rsid w:val="52E53CDC"/>
    <w:rsid w:val="52EB0BC7"/>
    <w:rsid w:val="52EC33C3"/>
    <w:rsid w:val="52F1442F"/>
    <w:rsid w:val="52F201A7"/>
    <w:rsid w:val="52F67C97"/>
    <w:rsid w:val="52FD1026"/>
    <w:rsid w:val="52FE6B4C"/>
    <w:rsid w:val="5302488E"/>
    <w:rsid w:val="530D4FE1"/>
    <w:rsid w:val="530E3233"/>
    <w:rsid w:val="5310069C"/>
    <w:rsid w:val="532559D6"/>
    <w:rsid w:val="532A16EF"/>
    <w:rsid w:val="532E7431"/>
    <w:rsid w:val="532F31A9"/>
    <w:rsid w:val="5330338D"/>
    <w:rsid w:val="53312A7E"/>
    <w:rsid w:val="53397B84"/>
    <w:rsid w:val="533D58C6"/>
    <w:rsid w:val="533E33EC"/>
    <w:rsid w:val="534053B7"/>
    <w:rsid w:val="53424C8B"/>
    <w:rsid w:val="53563F10"/>
    <w:rsid w:val="535B7AFB"/>
    <w:rsid w:val="535D1AC5"/>
    <w:rsid w:val="535E4EAC"/>
    <w:rsid w:val="535F3A8F"/>
    <w:rsid w:val="53605111"/>
    <w:rsid w:val="536270DB"/>
    <w:rsid w:val="53654E1D"/>
    <w:rsid w:val="53666D3F"/>
    <w:rsid w:val="536746F1"/>
    <w:rsid w:val="53682217"/>
    <w:rsid w:val="536A41E2"/>
    <w:rsid w:val="536E5A80"/>
    <w:rsid w:val="53715570"/>
    <w:rsid w:val="53764934"/>
    <w:rsid w:val="53803A05"/>
    <w:rsid w:val="53853AFB"/>
    <w:rsid w:val="5386726D"/>
    <w:rsid w:val="53874D93"/>
    <w:rsid w:val="538A6632"/>
    <w:rsid w:val="538E7ED0"/>
    <w:rsid w:val="538F3C48"/>
    <w:rsid w:val="538F56F6"/>
    <w:rsid w:val="53936B24"/>
    <w:rsid w:val="5394125E"/>
    <w:rsid w:val="539579A4"/>
    <w:rsid w:val="53964FD7"/>
    <w:rsid w:val="53A039CC"/>
    <w:rsid w:val="53A1505A"/>
    <w:rsid w:val="53A169D4"/>
    <w:rsid w:val="53A21BCD"/>
    <w:rsid w:val="53A45945"/>
    <w:rsid w:val="53AA4158"/>
    <w:rsid w:val="53AE2320"/>
    <w:rsid w:val="53B4172F"/>
    <w:rsid w:val="53B62ECA"/>
    <w:rsid w:val="53B92A73"/>
    <w:rsid w:val="53BE4722"/>
    <w:rsid w:val="53BF452D"/>
    <w:rsid w:val="53C20A91"/>
    <w:rsid w:val="53C25DCC"/>
    <w:rsid w:val="53C32D17"/>
    <w:rsid w:val="53C64D9B"/>
    <w:rsid w:val="53CB1124"/>
    <w:rsid w:val="53D14261"/>
    <w:rsid w:val="53D55AFF"/>
    <w:rsid w:val="53D61877"/>
    <w:rsid w:val="53DD08D8"/>
    <w:rsid w:val="53E05348"/>
    <w:rsid w:val="53E2021C"/>
    <w:rsid w:val="53E43F94"/>
    <w:rsid w:val="53E61ABA"/>
    <w:rsid w:val="53E92248"/>
    <w:rsid w:val="53EB5322"/>
    <w:rsid w:val="53F81956"/>
    <w:rsid w:val="53FF49A6"/>
    <w:rsid w:val="5400590F"/>
    <w:rsid w:val="540168F4"/>
    <w:rsid w:val="540208BE"/>
    <w:rsid w:val="540463E4"/>
    <w:rsid w:val="54063E08"/>
    <w:rsid w:val="54091C4C"/>
    <w:rsid w:val="540B7773"/>
    <w:rsid w:val="540D34EB"/>
    <w:rsid w:val="541F321E"/>
    <w:rsid w:val="541F4FCC"/>
    <w:rsid w:val="5428092D"/>
    <w:rsid w:val="542A5BF1"/>
    <w:rsid w:val="542B3971"/>
    <w:rsid w:val="542D76E9"/>
    <w:rsid w:val="542E520F"/>
    <w:rsid w:val="543162F7"/>
    <w:rsid w:val="543437E8"/>
    <w:rsid w:val="543547EF"/>
    <w:rsid w:val="5435659E"/>
    <w:rsid w:val="54370568"/>
    <w:rsid w:val="54377B7E"/>
    <w:rsid w:val="5438706C"/>
    <w:rsid w:val="54387E3C"/>
    <w:rsid w:val="544D1B39"/>
    <w:rsid w:val="544D7D8B"/>
    <w:rsid w:val="54520EFE"/>
    <w:rsid w:val="545C7FCE"/>
    <w:rsid w:val="545D78A2"/>
    <w:rsid w:val="5461213E"/>
    <w:rsid w:val="546155E5"/>
    <w:rsid w:val="546159B3"/>
    <w:rsid w:val="54617393"/>
    <w:rsid w:val="54660E4D"/>
    <w:rsid w:val="54684BC5"/>
    <w:rsid w:val="546B0211"/>
    <w:rsid w:val="546B4BDF"/>
    <w:rsid w:val="546B6463"/>
    <w:rsid w:val="546E7D01"/>
    <w:rsid w:val="54770964"/>
    <w:rsid w:val="547A0454"/>
    <w:rsid w:val="547A48F8"/>
    <w:rsid w:val="54820167"/>
    <w:rsid w:val="54857525"/>
    <w:rsid w:val="548B440F"/>
    <w:rsid w:val="548E5CAE"/>
    <w:rsid w:val="548F594D"/>
    <w:rsid w:val="54936E88"/>
    <w:rsid w:val="54971006"/>
    <w:rsid w:val="54990ADB"/>
    <w:rsid w:val="549B6D34"/>
    <w:rsid w:val="54A6749B"/>
    <w:rsid w:val="54A85393"/>
    <w:rsid w:val="54AB6860"/>
    <w:rsid w:val="54B03EEA"/>
    <w:rsid w:val="54B25E40"/>
    <w:rsid w:val="54B5164D"/>
    <w:rsid w:val="54B60678"/>
    <w:rsid w:val="54BB2F47"/>
    <w:rsid w:val="54BC0A6D"/>
    <w:rsid w:val="54BC6CBF"/>
    <w:rsid w:val="54C00390"/>
    <w:rsid w:val="54C17E31"/>
    <w:rsid w:val="54C33BA9"/>
    <w:rsid w:val="54C37597"/>
    <w:rsid w:val="54C60539"/>
    <w:rsid w:val="54C70191"/>
    <w:rsid w:val="54C87412"/>
    <w:rsid w:val="54CA13DC"/>
    <w:rsid w:val="54CD2165"/>
    <w:rsid w:val="54CD2404"/>
    <w:rsid w:val="54CE5923"/>
    <w:rsid w:val="54CE6966"/>
    <w:rsid w:val="54D172DA"/>
    <w:rsid w:val="54D97871"/>
    <w:rsid w:val="54DA7145"/>
    <w:rsid w:val="54DB5397"/>
    <w:rsid w:val="54E16725"/>
    <w:rsid w:val="54E24AD7"/>
    <w:rsid w:val="54E46ED9"/>
    <w:rsid w:val="54EA19CC"/>
    <w:rsid w:val="54EA6368"/>
    <w:rsid w:val="54EB1352"/>
    <w:rsid w:val="54EB72AE"/>
    <w:rsid w:val="54EE1700"/>
    <w:rsid w:val="54F010B9"/>
    <w:rsid w:val="54F14BBA"/>
    <w:rsid w:val="54F16968"/>
    <w:rsid w:val="54F71AA5"/>
    <w:rsid w:val="54F86BA1"/>
    <w:rsid w:val="55050666"/>
    <w:rsid w:val="55052414"/>
    <w:rsid w:val="5506573F"/>
    <w:rsid w:val="550A7A2A"/>
    <w:rsid w:val="550C37A2"/>
    <w:rsid w:val="550D751A"/>
    <w:rsid w:val="55113B08"/>
    <w:rsid w:val="55116D87"/>
    <w:rsid w:val="55191A1B"/>
    <w:rsid w:val="551929DD"/>
    <w:rsid w:val="551D57DB"/>
    <w:rsid w:val="55254864"/>
    <w:rsid w:val="552B0F6D"/>
    <w:rsid w:val="55384597"/>
    <w:rsid w:val="553D1BAE"/>
    <w:rsid w:val="553D6B7E"/>
    <w:rsid w:val="55424033"/>
    <w:rsid w:val="55432F3C"/>
    <w:rsid w:val="554404B8"/>
    <w:rsid w:val="554967A4"/>
    <w:rsid w:val="554B0437"/>
    <w:rsid w:val="554B0F1D"/>
    <w:rsid w:val="554C7040"/>
    <w:rsid w:val="554E3DBB"/>
    <w:rsid w:val="554E7A8C"/>
    <w:rsid w:val="554F18E1"/>
    <w:rsid w:val="554F5B03"/>
    <w:rsid w:val="555313D1"/>
    <w:rsid w:val="5553570E"/>
    <w:rsid w:val="555869E7"/>
    <w:rsid w:val="555962BC"/>
    <w:rsid w:val="55620AD4"/>
    <w:rsid w:val="55652944"/>
    <w:rsid w:val="5566599F"/>
    <w:rsid w:val="556A671B"/>
    <w:rsid w:val="556C5FEF"/>
    <w:rsid w:val="557650C0"/>
    <w:rsid w:val="557C1FAA"/>
    <w:rsid w:val="557F21C6"/>
    <w:rsid w:val="55801A9A"/>
    <w:rsid w:val="558570B1"/>
    <w:rsid w:val="558772CD"/>
    <w:rsid w:val="55894DF3"/>
    <w:rsid w:val="558C6691"/>
    <w:rsid w:val="558F6A10"/>
    <w:rsid w:val="559106BB"/>
    <w:rsid w:val="55914F40"/>
    <w:rsid w:val="55935C72"/>
    <w:rsid w:val="559B174B"/>
    <w:rsid w:val="559D43FA"/>
    <w:rsid w:val="55A03EEB"/>
    <w:rsid w:val="55A27C63"/>
    <w:rsid w:val="55A41C2D"/>
    <w:rsid w:val="55A75279"/>
    <w:rsid w:val="55A9466F"/>
    <w:rsid w:val="55AC6D33"/>
    <w:rsid w:val="55AE6607"/>
    <w:rsid w:val="55B160F8"/>
    <w:rsid w:val="55B17EA6"/>
    <w:rsid w:val="55B856D8"/>
    <w:rsid w:val="55BF6A67"/>
    <w:rsid w:val="55C207CD"/>
    <w:rsid w:val="55C55AC1"/>
    <w:rsid w:val="55C67DF5"/>
    <w:rsid w:val="55C7591B"/>
    <w:rsid w:val="55C776C9"/>
    <w:rsid w:val="55C94D0E"/>
    <w:rsid w:val="55CE0CF4"/>
    <w:rsid w:val="55D02A22"/>
    <w:rsid w:val="55D3606E"/>
    <w:rsid w:val="55D41DE6"/>
    <w:rsid w:val="55D6790C"/>
    <w:rsid w:val="55D818D6"/>
    <w:rsid w:val="55DD6EED"/>
    <w:rsid w:val="55E6461A"/>
    <w:rsid w:val="55E93AE3"/>
    <w:rsid w:val="55EA33B8"/>
    <w:rsid w:val="55EA5788"/>
    <w:rsid w:val="55EB160A"/>
    <w:rsid w:val="55F304BE"/>
    <w:rsid w:val="55F501C8"/>
    <w:rsid w:val="55F54236"/>
    <w:rsid w:val="55FF3307"/>
    <w:rsid w:val="56002BDB"/>
    <w:rsid w:val="560921A1"/>
    <w:rsid w:val="560E52F8"/>
    <w:rsid w:val="56130B60"/>
    <w:rsid w:val="56140E4F"/>
    <w:rsid w:val="56156687"/>
    <w:rsid w:val="561641AD"/>
    <w:rsid w:val="561A1EEF"/>
    <w:rsid w:val="561A3C9D"/>
    <w:rsid w:val="561D19DF"/>
    <w:rsid w:val="56237FD6"/>
    <w:rsid w:val="562E14F6"/>
    <w:rsid w:val="562F67CA"/>
    <w:rsid w:val="563053E6"/>
    <w:rsid w:val="56332FB1"/>
    <w:rsid w:val="56351263"/>
    <w:rsid w:val="56356D29"/>
    <w:rsid w:val="563740DE"/>
    <w:rsid w:val="563A433F"/>
    <w:rsid w:val="563F3703"/>
    <w:rsid w:val="5641747C"/>
    <w:rsid w:val="56424FA2"/>
    <w:rsid w:val="564B02FA"/>
    <w:rsid w:val="564B654C"/>
    <w:rsid w:val="564C327E"/>
    <w:rsid w:val="56502E20"/>
    <w:rsid w:val="56505911"/>
    <w:rsid w:val="56513437"/>
    <w:rsid w:val="565151E5"/>
    <w:rsid w:val="56526D83"/>
    <w:rsid w:val="5666172C"/>
    <w:rsid w:val="56665134"/>
    <w:rsid w:val="56666EE2"/>
    <w:rsid w:val="56674A08"/>
    <w:rsid w:val="566D3E5D"/>
    <w:rsid w:val="566D52ED"/>
    <w:rsid w:val="56717635"/>
    <w:rsid w:val="567710EF"/>
    <w:rsid w:val="56794E67"/>
    <w:rsid w:val="567A6461"/>
    <w:rsid w:val="567F3F36"/>
    <w:rsid w:val="567F7FA4"/>
    <w:rsid w:val="56847368"/>
    <w:rsid w:val="56867584"/>
    <w:rsid w:val="56867733"/>
    <w:rsid w:val="568832FC"/>
    <w:rsid w:val="568A7075"/>
    <w:rsid w:val="568B06F7"/>
    <w:rsid w:val="568B6949"/>
    <w:rsid w:val="568D0913"/>
    <w:rsid w:val="56905D0D"/>
    <w:rsid w:val="5691462E"/>
    <w:rsid w:val="56925F29"/>
    <w:rsid w:val="56927CD7"/>
    <w:rsid w:val="56962345"/>
    <w:rsid w:val="569C0B56"/>
    <w:rsid w:val="569F0646"/>
    <w:rsid w:val="56A31EE4"/>
    <w:rsid w:val="56A93273"/>
    <w:rsid w:val="56A96DCF"/>
    <w:rsid w:val="56AE4F0A"/>
    <w:rsid w:val="56B0015D"/>
    <w:rsid w:val="56B13CD2"/>
    <w:rsid w:val="56B14607"/>
    <w:rsid w:val="56B22A9C"/>
    <w:rsid w:val="56BE6D1E"/>
    <w:rsid w:val="56C50A07"/>
    <w:rsid w:val="56C63515"/>
    <w:rsid w:val="56C67981"/>
    <w:rsid w:val="56C9121F"/>
    <w:rsid w:val="56CA3778"/>
    <w:rsid w:val="56CD6741"/>
    <w:rsid w:val="56CE62D0"/>
    <w:rsid w:val="56D54257"/>
    <w:rsid w:val="56D7393C"/>
    <w:rsid w:val="56D976B4"/>
    <w:rsid w:val="56D97F48"/>
    <w:rsid w:val="56DA167E"/>
    <w:rsid w:val="56DF0A43"/>
    <w:rsid w:val="56EE5B8F"/>
    <w:rsid w:val="56EF512A"/>
    <w:rsid w:val="56F42740"/>
    <w:rsid w:val="56F73FDE"/>
    <w:rsid w:val="56FC33A3"/>
    <w:rsid w:val="56FE35BF"/>
    <w:rsid w:val="57007337"/>
    <w:rsid w:val="570606C5"/>
    <w:rsid w:val="57064221"/>
    <w:rsid w:val="570A1F63"/>
    <w:rsid w:val="57106E4E"/>
    <w:rsid w:val="57122BC6"/>
    <w:rsid w:val="5714693E"/>
    <w:rsid w:val="57154464"/>
    <w:rsid w:val="57196706"/>
    <w:rsid w:val="571B7CCD"/>
    <w:rsid w:val="5721105B"/>
    <w:rsid w:val="57250B4B"/>
    <w:rsid w:val="57270A88"/>
    <w:rsid w:val="572C2786"/>
    <w:rsid w:val="572F127F"/>
    <w:rsid w:val="572F3778"/>
    <w:rsid w:val="57313A27"/>
    <w:rsid w:val="57325016"/>
    <w:rsid w:val="57364B06"/>
    <w:rsid w:val="573963A5"/>
    <w:rsid w:val="573E7E5F"/>
    <w:rsid w:val="573F15EA"/>
    <w:rsid w:val="57430FD1"/>
    <w:rsid w:val="57456BD3"/>
    <w:rsid w:val="57476652"/>
    <w:rsid w:val="57482A8C"/>
    <w:rsid w:val="574C257C"/>
    <w:rsid w:val="574F5BC8"/>
    <w:rsid w:val="57541431"/>
    <w:rsid w:val="575B27BF"/>
    <w:rsid w:val="575B456D"/>
    <w:rsid w:val="575B774B"/>
    <w:rsid w:val="575D644F"/>
    <w:rsid w:val="57601B83"/>
    <w:rsid w:val="57607DD5"/>
    <w:rsid w:val="57623B4D"/>
    <w:rsid w:val="57631674"/>
    <w:rsid w:val="57672F12"/>
    <w:rsid w:val="57680A38"/>
    <w:rsid w:val="57682711"/>
    <w:rsid w:val="57686C8A"/>
    <w:rsid w:val="576B22D6"/>
    <w:rsid w:val="576C64D8"/>
    <w:rsid w:val="576F0018"/>
    <w:rsid w:val="57727B09"/>
    <w:rsid w:val="5774562F"/>
    <w:rsid w:val="57762B00"/>
    <w:rsid w:val="57776ECD"/>
    <w:rsid w:val="577949F3"/>
    <w:rsid w:val="577B4C0F"/>
    <w:rsid w:val="577C44E3"/>
    <w:rsid w:val="577D0987"/>
    <w:rsid w:val="57833AC4"/>
    <w:rsid w:val="57882E88"/>
    <w:rsid w:val="578C0BCA"/>
    <w:rsid w:val="578F2469"/>
    <w:rsid w:val="578F4217"/>
    <w:rsid w:val="57904B13"/>
    <w:rsid w:val="579161E1"/>
    <w:rsid w:val="579B705F"/>
    <w:rsid w:val="579D05A5"/>
    <w:rsid w:val="579E26AC"/>
    <w:rsid w:val="579E445A"/>
    <w:rsid w:val="57A001D2"/>
    <w:rsid w:val="57A203EE"/>
    <w:rsid w:val="57AB72DA"/>
    <w:rsid w:val="57AC6B77"/>
    <w:rsid w:val="57AE6D93"/>
    <w:rsid w:val="57AF2B0B"/>
    <w:rsid w:val="57B65C47"/>
    <w:rsid w:val="57B72A76"/>
    <w:rsid w:val="57BB7557"/>
    <w:rsid w:val="57BC2B32"/>
    <w:rsid w:val="57BE194A"/>
    <w:rsid w:val="57C049B1"/>
    <w:rsid w:val="57C10AC3"/>
    <w:rsid w:val="57C2639A"/>
    <w:rsid w:val="57C96694"/>
    <w:rsid w:val="57CA524F"/>
    <w:rsid w:val="57CA7FC1"/>
    <w:rsid w:val="57CD4D3F"/>
    <w:rsid w:val="57D12A81"/>
    <w:rsid w:val="57D32355"/>
    <w:rsid w:val="57D4589F"/>
    <w:rsid w:val="57D86F9C"/>
    <w:rsid w:val="57D91936"/>
    <w:rsid w:val="57DA3E17"/>
    <w:rsid w:val="57DB56AE"/>
    <w:rsid w:val="57DD31D4"/>
    <w:rsid w:val="57E427B4"/>
    <w:rsid w:val="57E502DB"/>
    <w:rsid w:val="57E52089"/>
    <w:rsid w:val="57E75E01"/>
    <w:rsid w:val="57EC3417"/>
    <w:rsid w:val="57F56CC7"/>
    <w:rsid w:val="57FD5624"/>
    <w:rsid w:val="57FE314A"/>
    <w:rsid w:val="58000703"/>
    <w:rsid w:val="58021527"/>
    <w:rsid w:val="58027680"/>
    <w:rsid w:val="58042493"/>
    <w:rsid w:val="580764A3"/>
    <w:rsid w:val="58077BB0"/>
    <w:rsid w:val="580F2368"/>
    <w:rsid w:val="581110D0"/>
    <w:rsid w:val="5814471C"/>
    <w:rsid w:val="581B5AAA"/>
    <w:rsid w:val="581F1A3E"/>
    <w:rsid w:val="58215A55"/>
    <w:rsid w:val="58256929"/>
    <w:rsid w:val="58273B30"/>
    <w:rsid w:val="5827444F"/>
    <w:rsid w:val="582B03E3"/>
    <w:rsid w:val="582B57B9"/>
    <w:rsid w:val="582E7AAF"/>
    <w:rsid w:val="582F7D68"/>
    <w:rsid w:val="583077A8"/>
    <w:rsid w:val="58315248"/>
    <w:rsid w:val="583542BF"/>
    <w:rsid w:val="583628E4"/>
    <w:rsid w:val="583E06A5"/>
    <w:rsid w:val="583F3E8F"/>
    <w:rsid w:val="584204B6"/>
    <w:rsid w:val="58421289"/>
    <w:rsid w:val="584274DB"/>
    <w:rsid w:val="58432AE1"/>
    <w:rsid w:val="58496ABB"/>
    <w:rsid w:val="584E019A"/>
    <w:rsid w:val="5851771E"/>
    <w:rsid w:val="585B059D"/>
    <w:rsid w:val="586438F5"/>
    <w:rsid w:val="586C27AA"/>
    <w:rsid w:val="586D5636"/>
    <w:rsid w:val="58704048"/>
    <w:rsid w:val="58737694"/>
    <w:rsid w:val="5875165E"/>
    <w:rsid w:val="5875340D"/>
    <w:rsid w:val="587753D7"/>
    <w:rsid w:val="58783407"/>
    <w:rsid w:val="58791C73"/>
    <w:rsid w:val="58816255"/>
    <w:rsid w:val="58847AF3"/>
    <w:rsid w:val="588E0972"/>
    <w:rsid w:val="589046EA"/>
    <w:rsid w:val="58923090"/>
    <w:rsid w:val="589870FB"/>
    <w:rsid w:val="589C1963"/>
    <w:rsid w:val="589C4E3D"/>
    <w:rsid w:val="589E10DE"/>
    <w:rsid w:val="58A106A5"/>
    <w:rsid w:val="58A3441E"/>
    <w:rsid w:val="58A610F9"/>
    <w:rsid w:val="58AB1524"/>
    <w:rsid w:val="58AB5080"/>
    <w:rsid w:val="58AD0727"/>
    <w:rsid w:val="58AE691E"/>
    <w:rsid w:val="58B303D9"/>
    <w:rsid w:val="58B57CAD"/>
    <w:rsid w:val="58B73A25"/>
    <w:rsid w:val="58B959EF"/>
    <w:rsid w:val="58BC54DF"/>
    <w:rsid w:val="58BE32CF"/>
    <w:rsid w:val="58CD2411"/>
    <w:rsid w:val="58D04AE7"/>
    <w:rsid w:val="58D2085F"/>
    <w:rsid w:val="58D345D7"/>
    <w:rsid w:val="58D42829"/>
    <w:rsid w:val="58D74519"/>
    <w:rsid w:val="58DA7713"/>
    <w:rsid w:val="58DF2F7C"/>
    <w:rsid w:val="58E14F46"/>
    <w:rsid w:val="58E16CF4"/>
    <w:rsid w:val="58E90251"/>
    <w:rsid w:val="58EE31BF"/>
    <w:rsid w:val="58F06F37"/>
    <w:rsid w:val="58F509F1"/>
    <w:rsid w:val="58F5279F"/>
    <w:rsid w:val="59044790"/>
    <w:rsid w:val="590649AC"/>
    <w:rsid w:val="59077622"/>
    <w:rsid w:val="590824D3"/>
    <w:rsid w:val="590A1848"/>
    <w:rsid w:val="590A49E9"/>
    <w:rsid w:val="590D5D3B"/>
    <w:rsid w:val="590D7AE9"/>
    <w:rsid w:val="590F3E15"/>
    <w:rsid w:val="591075D9"/>
    <w:rsid w:val="591250FF"/>
    <w:rsid w:val="591328B7"/>
    <w:rsid w:val="59142C25"/>
    <w:rsid w:val="5915699E"/>
    <w:rsid w:val="591623EB"/>
    <w:rsid w:val="591946E0"/>
    <w:rsid w:val="591C2557"/>
    <w:rsid w:val="591C7D2C"/>
    <w:rsid w:val="591F6730"/>
    <w:rsid w:val="592310BA"/>
    <w:rsid w:val="59282B75"/>
    <w:rsid w:val="592D1D9B"/>
    <w:rsid w:val="593212FE"/>
    <w:rsid w:val="59350DEE"/>
    <w:rsid w:val="59352B9C"/>
    <w:rsid w:val="59372DB8"/>
    <w:rsid w:val="593A6404"/>
    <w:rsid w:val="593E7CA2"/>
    <w:rsid w:val="593F3A1A"/>
    <w:rsid w:val="59411DC7"/>
    <w:rsid w:val="5943350B"/>
    <w:rsid w:val="59462FFB"/>
    <w:rsid w:val="59464DA9"/>
    <w:rsid w:val="594A4899"/>
    <w:rsid w:val="59527BF2"/>
    <w:rsid w:val="59544FF5"/>
    <w:rsid w:val="595A2F5E"/>
    <w:rsid w:val="595B4CF8"/>
    <w:rsid w:val="595B6AA6"/>
    <w:rsid w:val="59653481"/>
    <w:rsid w:val="5968127D"/>
    <w:rsid w:val="596A6FB5"/>
    <w:rsid w:val="596D0588"/>
    <w:rsid w:val="596D2336"/>
    <w:rsid w:val="596D67DA"/>
    <w:rsid w:val="597263D6"/>
    <w:rsid w:val="59796F2C"/>
    <w:rsid w:val="5980650D"/>
    <w:rsid w:val="59822285"/>
    <w:rsid w:val="598237B0"/>
    <w:rsid w:val="598633F7"/>
    <w:rsid w:val="5987789B"/>
    <w:rsid w:val="5988716F"/>
    <w:rsid w:val="598A738C"/>
    <w:rsid w:val="598B25B9"/>
    <w:rsid w:val="598B7AD8"/>
    <w:rsid w:val="598D29D8"/>
    <w:rsid w:val="5991071A"/>
    <w:rsid w:val="599124C8"/>
    <w:rsid w:val="5999312B"/>
    <w:rsid w:val="599C2C1B"/>
    <w:rsid w:val="599C4367"/>
    <w:rsid w:val="599E2524"/>
    <w:rsid w:val="59A246D5"/>
    <w:rsid w:val="59A541C5"/>
    <w:rsid w:val="59A57D21"/>
    <w:rsid w:val="59A850C5"/>
    <w:rsid w:val="59A87812"/>
    <w:rsid w:val="59A939DF"/>
    <w:rsid w:val="59AA453F"/>
    <w:rsid w:val="59AA5338"/>
    <w:rsid w:val="59AC7302"/>
    <w:rsid w:val="59AF6DF2"/>
    <w:rsid w:val="59B14918"/>
    <w:rsid w:val="59B2243E"/>
    <w:rsid w:val="59B526F2"/>
    <w:rsid w:val="59B63CDD"/>
    <w:rsid w:val="59BB5797"/>
    <w:rsid w:val="59BE231D"/>
    <w:rsid w:val="59BE7035"/>
    <w:rsid w:val="59C12681"/>
    <w:rsid w:val="59C3464B"/>
    <w:rsid w:val="59C77C98"/>
    <w:rsid w:val="59C82CB8"/>
    <w:rsid w:val="59C97EB4"/>
    <w:rsid w:val="59CA7788"/>
    <w:rsid w:val="59CF4D9E"/>
    <w:rsid w:val="59D03A04"/>
    <w:rsid w:val="59D12BC9"/>
    <w:rsid w:val="59D2488F"/>
    <w:rsid w:val="59D57095"/>
    <w:rsid w:val="59DD6583"/>
    <w:rsid w:val="59E051FD"/>
    <w:rsid w:val="59E51BA8"/>
    <w:rsid w:val="59E7658C"/>
    <w:rsid w:val="59EA1BD8"/>
    <w:rsid w:val="59EC3BA2"/>
    <w:rsid w:val="59EC5950"/>
    <w:rsid w:val="59EC76FE"/>
    <w:rsid w:val="59F6007B"/>
    <w:rsid w:val="59F73AC1"/>
    <w:rsid w:val="59F8263F"/>
    <w:rsid w:val="5A00764E"/>
    <w:rsid w:val="5A094754"/>
    <w:rsid w:val="5A0C5FF2"/>
    <w:rsid w:val="5A113609"/>
    <w:rsid w:val="5A1629CD"/>
    <w:rsid w:val="5A1E1882"/>
    <w:rsid w:val="5A2275C4"/>
    <w:rsid w:val="5A277C43"/>
    <w:rsid w:val="5A296BA4"/>
    <w:rsid w:val="5A2E1F00"/>
    <w:rsid w:val="5A306BA3"/>
    <w:rsid w:val="5A3115B5"/>
    <w:rsid w:val="5A380B96"/>
    <w:rsid w:val="5A3A490E"/>
    <w:rsid w:val="5A3C747D"/>
    <w:rsid w:val="5A3D61AC"/>
    <w:rsid w:val="5A3D7F5A"/>
    <w:rsid w:val="5A407A4A"/>
    <w:rsid w:val="5A4455DB"/>
    <w:rsid w:val="5A4532B2"/>
    <w:rsid w:val="5A490FF5"/>
    <w:rsid w:val="5A4A4609"/>
    <w:rsid w:val="5A4C63EF"/>
    <w:rsid w:val="5A50597F"/>
    <w:rsid w:val="5A555C7D"/>
    <w:rsid w:val="5A6019BB"/>
    <w:rsid w:val="5A6730BD"/>
    <w:rsid w:val="5A6951F3"/>
    <w:rsid w:val="5A6E45B7"/>
    <w:rsid w:val="5A716D8E"/>
    <w:rsid w:val="5A72070E"/>
    <w:rsid w:val="5A7410C5"/>
    <w:rsid w:val="5A805270"/>
    <w:rsid w:val="5A875679"/>
    <w:rsid w:val="5A89083A"/>
    <w:rsid w:val="5A8913F1"/>
    <w:rsid w:val="5A8C2C8F"/>
    <w:rsid w:val="5A902780"/>
    <w:rsid w:val="5A951B44"/>
    <w:rsid w:val="5A971D60"/>
    <w:rsid w:val="5A9C7376"/>
    <w:rsid w:val="5AA13774"/>
    <w:rsid w:val="5AA1498D"/>
    <w:rsid w:val="5AA47FD9"/>
    <w:rsid w:val="5AB02E22"/>
    <w:rsid w:val="5AB3021C"/>
    <w:rsid w:val="5ABC3575"/>
    <w:rsid w:val="5ABE2233"/>
    <w:rsid w:val="5ABF12B7"/>
    <w:rsid w:val="5AC02939"/>
    <w:rsid w:val="5AC061CA"/>
    <w:rsid w:val="5AC81FAD"/>
    <w:rsid w:val="5ACD5782"/>
    <w:rsid w:val="5ACD7DA0"/>
    <w:rsid w:val="5AD22D98"/>
    <w:rsid w:val="5AD52888"/>
    <w:rsid w:val="5AD63B1B"/>
    <w:rsid w:val="5ADA1D1F"/>
    <w:rsid w:val="5AE55CE6"/>
    <w:rsid w:val="5AE605F2"/>
    <w:rsid w:val="5AEC41CD"/>
    <w:rsid w:val="5AF160F4"/>
    <w:rsid w:val="5AF30F60"/>
    <w:rsid w:val="5AF32C10"/>
    <w:rsid w:val="5AF56A87"/>
    <w:rsid w:val="5AFC6067"/>
    <w:rsid w:val="5AFC7E15"/>
    <w:rsid w:val="5AFE1DDF"/>
    <w:rsid w:val="5AFE3B8D"/>
    <w:rsid w:val="5B01542B"/>
    <w:rsid w:val="5B070568"/>
    <w:rsid w:val="5B0B62AA"/>
    <w:rsid w:val="5B1769FD"/>
    <w:rsid w:val="5B1909C7"/>
    <w:rsid w:val="5B1F079D"/>
    <w:rsid w:val="5B1F58B2"/>
    <w:rsid w:val="5B276D18"/>
    <w:rsid w:val="5B280C0A"/>
    <w:rsid w:val="5B297096"/>
    <w:rsid w:val="5B33135D"/>
    <w:rsid w:val="5B363143"/>
    <w:rsid w:val="5B4066BA"/>
    <w:rsid w:val="5B4D5DFB"/>
    <w:rsid w:val="5B535F4C"/>
    <w:rsid w:val="5B5437AD"/>
    <w:rsid w:val="5B57329D"/>
    <w:rsid w:val="5B597015"/>
    <w:rsid w:val="5B5A2D8E"/>
    <w:rsid w:val="5B5A4B3C"/>
    <w:rsid w:val="5B5B0FE0"/>
    <w:rsid w:val="5B5C08B4"/>
    <w:rsid w:val="5B5C7E50"/>
    <w:rsid w:val="5B5F2152"/>
    <w:rsid w:val="5B6065F6"/>
    <w:rsid w:val="5B61236E"/>
    <w:rsid w:val="5B6139D7"/>
    <w:rsid w:val="5B61411C"/>
    <w:rsid w:val="5B6C3CDC"/>
    <w:rsid w:val="5B7200D7"/>
    <w:rsid w:val="5B745BFD"/>
    <w:rsid w:val="5B765E19"/>
    <w:rsid w:val="5B7C0F56"/>
    <w:rsid w:val="5B7C4516"/>
    <w:rsid w:val="5B7E082A"/>
    <w:rsid w:val="5B800A46"/>
    <w:rsid w:val="5B804F69"/>
    <w:rsid w:val="5B8322E4"/>
    <w:rsid w:val="5B8C73EB"/>
    <w:rsid w:val="5B8D3163"/>
    <w:rsid w:val="5B8D6CBF"/>
    <w:rsid w:val="5B922527"/>
    <w:rsid w:val="5B9444F1"/>
    <w:rsid w:val="5B962018"/>
    <w:rsid w:val="5B9718EC"/>
    <w:rsid w:val="5B977B3E"/>
    <w:rsid w:val="5B9938B6"/>
    <w:rsid w:val="5B995664"/>
    <w:rsid w:val="5B9960CD"/>
    <w:rsid w:val="5B9C5154"/>
    <w:rsid w:val="5B9E711E"/>
    <w:rsid w:val="5BA04C44"/>
    <w:rsid w:val="5BAC15F8"/>
    <w:rsid w:val="5BAC2986"/>
    <w:rsid w:val="5BAC35E9"/>
    <w:rsid w:val="5BB02677"/>
    <w:rsid w:val="5BB22BCA"/>
    <w:rsid w:val="5BB5294E"/>
    <w:rsid w:val="5BB93F58"/>
    <w:rsid w:val="5BC00E43"/>
    <w:rsid w:val="5BC546AB"/>
    <w:rsid w:val="5BCD1E2F"/>
    <w:rsid w:val="5BCF72D8"/>
    <w:rsid w:val="5BD42B40"/>
    <w:rsid w:val="5BD67531"/>
    <w:rsid w:val="5BD75AB2"/>
    <w:rsid w:val="5BD91B0B"/>
    <w:rsid w:val="5BDE0811"/>
    <w:rsid w:val="5BDF5D95"/>
    <w:rsid w:val="5BE00642"/>
    <w:rsid w:val="5BE03293"/>
    <w:rsid w:val="5BE70AC5"/>
    <w:rsid w:val="5BEA5EBF"/>
    <w:rsid w:val="5BEC1C38"/>
    <w:rsid w:val="5BED775E"/>
    <w:rsid w:val="5BF136F2"/>
    <w:rsid w:val="5BF31960"/>
    <w:rsid w:val="5BF40AEC"/>
    <w:rsid w:val="5BF64864"/>
    <w:rsid w:val="5BF8281F"/>
    <w:rsid w:val="5BFF1C79"/>
    <w:rsid w:val="5C0827EA"/>
    <w:rsid w:val="5C0A47B4"/>
    <w:rsid w:val="5C0E3BCB"/>
    <w:rsid w:val="5C0F5926"/>
    <w:rsid w:val="5C1271C4"/>
    <w:rsid w:val="5C142F3C"/>
    <w:rsid w:val="5C176419"/>
    <w:rsid w:val="5C1B076F"/>
    <w:rsid w:val="5C2238AB"/>
    <w:rsid w:val="5C225659"/>
    <w:rsid w:val="5C2313D1"/>
    <w:rsid w:val="5C237623"/>
    <w:rsid w:val="5C2440E9"/>
    <w:rsid w:val="5C277114"/>
    <w:rsid w:val="5C2B0664"/>
    <w:rsid w:val="5C2D3FFE"/>
    <w:rsid w:val="5C2F421A"/>
    <w:rsid w:val="5C34538D"/>
    <w:rsid w:val="5C3559D8"/>
    <w:rsid w:val="5C361105"/>
    <w:rsid w:val="5C3933B5"/>
    <w:rsid w:val="5C485468"/>
    <w:rsid w:val="5C4952DC"/>
    <w:rsid w:val="5C4E28BC"/>
    <w:rsid w:val="5C4E28F2"/>
    <w:rsid w:val="5C5305C6"/>
    <w:rsid w:val="5C5617A7"/>
    <w:rsid w:val="5C58551F"/>
    <w:rsid w:val="5C594DF3"/>
    <w:rsid w:val="5C5C1087"/>
    <w:rsid w:val="5C62639E"/>
    <w:rsid w:val="5C65155C"/>
    <w:rsid w:val="5C663787"/>
    <w:rsid w:val="5C675762"/>
    <w:rsid w:val="5C6914DA"/>
    <w:rsid w:val="5C6E7D9F"/>
    <w:rsid w:val="5C702869"/>
    <w:rsid w:val="5C71213D"/>
    <w:rsid w:val="5C757E7F"/>
    <w:rsid w:val="5C7D31D8"/>
    <w:rsid w:val="5C7D4F86"/>
    <w:rsid w:val="5C7E4CC3"/>
    <w:rsid w:val="5C8509BC"/>
    <w:rsid w:val="5C853E3A"/>
    <w:rsid w:val="5C86208C"/>
    <w:rsid w:val="5C877BB2"/>
    <w:rsid w:val="5C8D1F38"/>
    <w:rsid w:val="5C9119F8"/>
    <w:rsid w:val="5C9E33F5"/>
    <w:rsid w:val="5C9F4EFC"/>
    <w:rsid w:val="5CA16EC6"/>
    <w:rsid w:val="5CA42512"/>
    <w:rsid w:val="5CA442C0"/>
    <w:rsid w:val="5CA64CDB"/>
    <w:rsid w:val="5CA93FCD"/>
    <w:rsid w:val="5CAB49EC"/>
    <w:rsid w:val="5CB47963"/>
    <w:rsid w:val="5CB85FBE"/>
    <w:rsid w:val="5CBC5AAE"/>
    <w:rsid w:val="5CBF10FA"/>
    <w:rsid w:val="5CC05F06"/>
    <w:rsid w:val="5CC26E3C"/>
    <w:rsid w:val="5CC606DB"/>
    <w:rsid w:val="5CC6692D"/>
    <w:rsid w:val="5CC932A2"/>
    <w:rsid w:val="5CCB3F43"/>
    <w:rsid w:val="5CCB7A9F"/>
    <w:rsid w:val="5CCD7CBB"/>
    <w:rsid w:val="5CCE758F"/>
    <w:rsid w:val="5CD1707F"/>
    <w:rsid w:val="5CD32DF8"/>
    <w:rsid w:val="5CD54DC2"/>
    <w:rsid w:val="5CD76373"/>
    <w:rsid w:val="5CDC7EFE"/>
    <w:rsid w:val="5CDD56F2"/>
    <w:rsid w:val="5CE172C2"/>
    <w:rsid w:val="5CEA4796"/>
    <w:rsid w:val="5CEB3BAF"/>
    <w:rsid w:val="5CEC5C67"/>
    <w:rsid w:val="5CEE378D"/>
    <w:rsid w:val="5CF54079"/>
    <w:rsid w:val="5CFB5EAA"/>
    <w:rsid w:val="5D042FB1"/>
    <w:rsid w:val="5D082FB3"/>
    <w:rsid w:val="5D096819"/>
    <w:rsid w:val="5D101956"/>
    <w:rsid w:val="5D1256CE"/>
    <w:rsid w:val="5D1551BE"/>
    <w:rsid w:val="5D170F36"/>
    <w:rsid w:val="5D1A6C78"/>
    <w:rsid w:val="5D1B2582"/>
    <w:rsid w:val="5D1D22C5"/>
    <w:rsid w:val="5D1D3926"/>
    <w:rsid w:val="5D1D77F0"/>
    <w:rsid w:val="5D1F428F"/>
    <w:rsid w:val="5D207DB2"/>
    <w:rsid w:val="5D235B2D"/>
    <w:rsid w:val="5D2469F6"/>
    <w:rsid w:val="5D2D075A"/>
    <w:rsid w:val="5D2E6280"/>
    <w:rsid w:val="5D347D3A"/>
    <w:rsid w:val="5D35760E"/>
    <w:rsid w:val="5D395350"/>
    <w:rsid w:val="5D3A2E77"/>
    <w:rsid w:val="5D3C099D"/>
    <w:rsid w:val="5D3F223B"/>
    <w:rsid w:val="5D494E68"/>
    <w:rsid w:val="5D4E501B"/>
    <w:rsid w:val="5D526412"/>
    <w:rsid w:val="5D535812"/>
    <w:rsid w:val="5D564448"/>
    <w:rsid w:val="5D616655"/>
    <w:rsid w:val="5D641CA2"/>
    <w:rsid w:val="5D681B10"/>
    <w:rsid w:val="5D6A375C"/>
    <w:rsid w:val="5D6D7849"/>
    <w:rsid w:val="5D704AEA"/>
    <w:rsid w:val="5D7235D2"/>
    <w:rsid w:val="5D730D16"/>
    <w:rsid w:val="5D7C523D"/>
    <w:rsid w:val="5D7E0FB5"/>
    <w:rsid w:val="5D7F0889"/>
    <w:rsid w:val="5D814602"/>
    <w:rsid w:val="5D821189"/>
    <w:rsid w:val="5D883BE2"/>
    <w:rsid w:val="5D8972C7"/>
    <w:rsid w:val="5D9200D4"/>
    <w:rsid w:val="5D92680F"/>
    <w:rsid w:val="5D94616F"/>
    <w:rsid w:val="5D955EEB"/>
    <w:rsid w:val="5D9A7B05"/>
    <w:rsid w:val="5DA60EEC"/>
    <w:rsid w:val="5DA86032"/>
    <w:rsid w:val="5DA87DE0"/>
    <w:rsid w:val="5DAF5613"/>
    <w:rsid w:val="5DB171DF"/>
    <w:rsid w:val="5DB577BD"/>
    <w:rsid w:val="5DB76275"/>
    <w:rsid w:val="5DB93D9B"/>
    <w:rsid w:val="5DBC6D53"/>
    <w:rsid w:val="5DC866D4"/>
    <w:rsid w:val="5DCA7D57"/>
    <w:rsid w:val="5DCD7847"/>
    <w:rsid w:val="5DD1456E"/>
    <w:rsid w:val="5DDB1F64"/>
    <w:rsid w:val="5DDD2180"/>
    <w:rsid w:val="5DE057CC"/>
    <w:rsid w:val="5DE0757A"/>
    <w:rsid w:val="5DEB5F1F"/>
    <w:rsid w:val="5DEB63BE"/>
    <w:rsid w:val="5DEC4171"/>
    <w:rsid w:val="5DF3340F"/>
    <w:rsid w:val="5DF41277"/>
    <w:rsid w:val="5DF64FF0"/>
    <w:rsid w:val="5DF87A0F"/>
    <w:rsid w:val="5DF87F7B"/>
    <w:rsid w:val="5DFF2729"/>
    <w:rsid w:val="5E044CCE"/>
    <w:rsid w:val="5E070FAB"/>
    <w:rsid w:val="5E0C4813"/>
    <w:rsid w:val="5E0F35C8"/>
    <w:rsid w:val="5E122843"/>
    <w:rsid w:val="5E145476"/>
    <w:rsid w:val="5E1555A0"/>
    <w:rsid w:val="5E167440"/>
    <w:rsid w:val="5E176D14"/>
    <w:rsid w:val="5E18501A"/>
    <w:rsid w:val="5E1B4A56"/>
    <w:rsid w:val="5E2733FB"/>
    <w:rsid w:val="5E2B548C"/>
    <w:rsid w:val="5E2C6C63"/>
    <w:rsid w:val="5E337FF2"/>
    <w:rsid w:val="5E3E0745"/>
    <w:rsid w:val="5E3E24F3"/>
    <w:rsid w:val="5E40270F"/>
    <w:rsid w:val="5E40626B"/>
    <w:rsid w:val="5E473A9D"/>
    <w:rsid w:val="5E483371"/>
    <w:rsid w:val="5E4C10B3"/>
    <w:rsid w:val="5E512226"/>
    <w:rsid w:val="5E5341F0"/>
    <w:rsid w:val="5E541D16"/>
    <w:rsid w:val="5E547F68"/>
    <w:rsid w:val="5E56783C"/>
    <w:rsid w:val="5E5D506F"/>
    <w:rsid w:val="5E624433"/>
    <w:rsid w:val="5E653F23"/>
    <w:rsid w:val="5E6737F7"/>
    <w:rsid w:val="5E6774CF"/>
    <w:rsid w:val="5E68756F"/>
    <w:rsid w:val="5E695530"/>
    <w:rsid w:val="5E6C7060"/>
    <w:rsid w:val="5E710B1A"/>
    <w:rsid w:val="5E745F14"/>
    <w:rsid w:val="5E781EA8"/>
    <w:rsid w:val="5E7A1EB6"/>
    <w:rsid w:val="5E7A3283"/>
    <w:rsid w:val="5E7B278E"/>
    <w:rsid w:val="5E7D126D"/>
    <w:rsid w:val="5E7F4FE5"/>
    <w:rsid w:val="5E8048B9"/>
    <w:rsid w:val="5E806C53"/>
    <w:rsid w:val="5E8343A9"/>
    <w:rsid w:val="5E856373"/>
    <w:rsid w:val="5E892B2C"/>
    <w:rsid w:val="5E8B1BDC"/>
    <w:rsid w:val="5E8E347A"/>
    <w:rsid w:val="5E913942"/>
    <w:rsid w:val="5E916AC6"/>
    <w:rsid w:val="5E9842F9"/>
    <w:rsid w:val="5E987E55"/>
    <w:rsid w:val="5EA20CD3"/>
    <w:rsid w:val="5EA66A16"/>
    <w:rsid w:val="5EA92062"/>
    <w:rsid w:val="5EA92521"/>
    <w:rsid w:val="5EAB5E7A"/>
    <w:rsid w:val="5EAE58CA"/>
    <w:rsid w:val="5EB033F0"/>
    <w:rsid w:val="5EB4159E"/>
    <w:rsid w:val="5EB8071E"/>
    <w:rsid w:val="5EB80AF2"/>
    <w:rsid w:val="5EC073AC"/>
    <w:rsid w:val="5EC450EE"/>
    <w:rsid w:val="5EC7073A"/>
    <w:rsid w:val="5EC92704"/>
    <w:rsid w:val="5ECF37B3"/>
    <w:rsid w:val="5ECF75EF"/>
    <w:rsid w:val="5ED05ACE"/>
    <w:rsid w:val="5ED115B9"/>
    <w:rsid w:val="5ED6097D"/>
    <w:rsid w:val="5ED66BCF"/>
    <w:rsid w:val="5ED846F5"/>
    <w:rsid w:val="5ED97AB4"/>
    <w:rsid w:val="5EDC303D"/>
    <w:rsid w:val="5EDD4CF4"/>
    <w:rsid w:val="5EE27322"/>
    <w:rsid w:val="5EE4753E"/>
    <w:rsid w:val="5EE65064"/>
    <w:rsid w:val="5EE66E12"/>
    <w:rsid w:val="5EE80859"/>
    <w:rsid w:val="5EE82168"/>
    <w:rsid w:val="5EEE5CC7"/>
    <w:rsid w:val="5EF4086E"/>
    <w:rsid w:val="5EF62DCD"/>
    <w:rsid w:val="5EF77271"/>
    <w:rsid w:val="5EF808F3"/>
    <w:rsid w:val="5EFC4888"/>
    <w:rsid w:val="5EFF5730"/>
    <w:rsid w:val="5F0059FA"/>
    <w:rsid w:val="5F013C4C"/>
    <w:rsid w:val="5F014081"/>
    <w:rsid w:val="5F061E42"/>
    <w:rsid w:val="5F08322C"/>
    <w:rsid w:val="5F092B01"/>
    <w:rsid w:val="5F0A783A"/>
    <w:rsid w:val="5F0B0627"/>
    <w:rsid w:val="5F0B6879"/>
    <w:rsid w:val="5F0E0117"/>
    <w:rsid w:val="5F0E45BB"/>
    <w:rsid w:val="5F0E7E34"/>
    <w:rsid w:val="5F1576F7"/>
    <w:rsid w:val="5F182D44"/>
    <w:rsid w:val="5F1A2B43"/>
    <w:rsid w:val="5F1D035A"/>
    <w:rsid w:val="5F1F2324"/>
    <w:rsid w:val="5F21088D"/>
    <w:rsid w:val="5F245B8C"/>
    <w:rsid w:val="5F294F51"/>
    <w:rsid w:val="5F2C67EF"/>
    <w:rsid w:val="5F30008D"/>
    <w:rsid w:val="5F304531"/>
    <w:rsid w:val="5F3F4090"/>
    <w:rsid w:val="5F405364"/>
    <w:rsid w:val="5F4104EC"/>
    <w:rsid w:val="5F4A7642"/>
    <w:rsid w:val="5F5226F9"/>
    <w:rsid w:val="5F546472"/>
    <w:rsid w:val="5F577D10"/>
    <w:rsid w:val="5F5F4E16"/>
    <w:rsid w:val="5F6076DB"/>
    <w:rsid w:val="5F630463"/>
    <w:rsid w:val="5F675A73"/>
    <w:rsid w:val="5F681F1D"/>
    <w:rsid w:val="5F685A79"/>
    <w:rsid w:val="5F6B7317"/>
    <w:rsid w:val="5F6D12E1"/>
    <w:rsid w:val="5F700DD2"/>
    <w:rsid w:val="5F702B80"/>
    <w:rsid w:val="5F75455E"/>
    <w:rsid w:val="5F761608"/>
    <w:rsid w:val="5F7D704B"/>
    <w:rsid w:val="5F7E34EF"/>
    <w:rsid w:val="5F8623A3"/>
    <w:rsid w:val="5F8D4DCC"/>
    <w:rsid w:val="5F8D54E0"/>
    <w:rsid w:val="5F8E1258"/>
    <w:rsid w:val="5F9024A8"/>
    <w:rsid w:val="5F926F9A"/>
    <w:rsid w:val="5F97010C"/>
    <w:rsid w:val="5F9737AE"/>
    <w:rsid w:val="5F9F5213"/>
    <w:rsid w:val="5FA32F55"/>
    <w:rsid w:val="5FA34D03"/>
    <w:rsid w:val="5FA42829"/>
    <w:rsid w:val="5FA8056B"/>
    <w:rsid w:val="5FAA6092"/>
    <w:rsid w:val="5FAB1E0A"/>
    <w:rsid w:val="5FAC58ED"/>
    <w:rsid w:val="5FAD000C"/>
    <w:rsid w:val="5FB31BE9"/>
    <w:rsid w:val="5FB36ECE"/>
    <w:rsid w:val="5FB707AE"/>
    <w:rsid w:val="5FB837BB"/>
    <w:rsid w:val="5FBA204D"/>
    <w:rsid w:val="5FBD3482"/>
    <w:rsid w:val="5FBE38EB"/>
    <w:rsid w:val="5FC15189"/>
    <w:rsid w:val="5FC773F1"/>
    <w:rsid w:val="5FCB6008"/>
    <w:rsid w:val="5FCD1D80"/>
    <w:rsid w:val="5FD27396"/>
    <w:rsid w:val="5FD44EBD"/>
    <w:rsid w:val="5FDF3861"/>
    <w:rsid w:val="5FE23F34"/>
    <w:rsid w:val="5FE315A4"/>
    <w:rsid w:val="5FED41D0"/>
    <w:rsid w:val="5FEF1CF6"/>
    <w:rsid w:val="5FEF619A"/>
    <w:rsid w:val="5FF732A1"/>
    <w:rsid w:val="5FF7504F"/>
    <w:rsid w:val="60002155"/>
    <w:rsid w:val="60017C7C"/>
    <w:rsid w:val="600357A2"/>
    <w:rsid w:val="60065E0F"/>
    <w:rsid w:val="600D44FB"/>
    <w:rsid w:val="60125EE4"/>
    <w:rsid w:val="6017124D"/>
    <w:rsid w:val="601A63AB"/>
    <w:rsid w:val="602045A6"/>
    <w:rsid w:val="602A0F80"/>
    <w:rsid w:val="602A71D2"/>
    <w:rsid w:val="602F2A3B"/>
    <w:rsid w:val="603242D9"/>
    <w:rsid w:val="603911C4"/>
    <w:rsid w:val="603F3EAD"/>
    <w:rsid w:val="603F6369"/>
    <w:rsid w:val="60402552"/>
    <w:rsid w:val="6042276E"/>
    <w:rsid w:val="60432479"/>
    <w:rsid w:val="6044257D"/>
    <w:rsid w:val="60477D84"/>
    <w:rsid w:val="604D4C6F"/>
    <w:rsid w:val="604E1113"/>
    <w:rsid w:val="6051475F"/>
    <w:rsid w:val="60520CB5"/>
    <w:rsid w:val="60593614"/>
    <w:rsid w:val="60594A54"/>
    <w:rsid w:val="606A75CF"/>
    <w:rsid w:val="607D004F"/>
    <w:rsid w:val="607E307A"/>
    <w:rsid w:val="60805044"/>
    <w:rsid w:val="60870181"/>
    <w:rsid w:val="608F34D9"/>
    <w:rsid w:val="60910B83"/>
    <w:rsid w:val="60912DAE"/>
    <w:rsid w:val="60917251"/>
    <w:rsid w:val="6098413C"/>
    <w:rsid w:val="60997EB4"/>
    <w:rsid w:val="609D069B"/>
    <w:rsid w:val="609D11F2"/>
    <w:rsid w:val="609D79A4"/>
    <w:rsid w:val="609E371C"/>
    <w:rsid w:val="60A056E7"/>
    <w:rsid w:val="60A07495"/>
    <w:rsid w:val="60A56859"/>
    <w:rsid w:val="60A76A75"/>
    <w:rsid w:val="60A96349"/>
    <w:rsid w:val="60AC1FF9"/>
    <w:rsid w:val="60AE14F9"/>
    <w:rsid w:val="60B13450"/>
    <w:rsid w:val="60B13610"/>
    <w:rsid w:val="60B30F76"/>
    <w:rsid w:val="60B46A9C"/>
    <w:rsid w:val="60B66CA1"/>
    <w:rsid w:val="60B66CB8"/>
    <w:rsid w:val="60C677C2"/>
    <w:rsid w:val="60C969EB"/>
    <w:rsid w:val="60D55390"/>
    <w:rsid w:val="60D64C64"/>
    <w:rsid w:val="60D84E80"/>
    <w:rsid w:val="60DF1D6B"/>
    <w:rsid w:val="60E37E0A"/>
    <w:rsid w:val="60E76E71"/>
    <w:rsid w:val="60E930F3"/>
    <w:rsid w:val="60E94998"/>
    <w:rsid w:val="60E9572D"/>
    <w:rsid w:val="60EE1FAE"/>
    <w:rsid w:val="60EF48AF"/>
    <w:rsid w:val="60F34B93"/>
    <w:rsid w:val="60F872D1"/>
    <w:rsid w:val="60F9034D"/>
    <w:rsid w:val="60F90953"/>
    <w:rsid w:val="60FD6695"/>
    <w:rsid w:val="60FF41BB"/>
    <w:rsid w:val="61016185"/>
    <w:rsid w:val="610417D1"/>
    <w:rsid w:val="61045C75"/>
    <w:rsid w:val="6109328C"/>
    <w:rsid w:val="61094D17"/>
    <w:rsid w:val="610C68D8"/>
    <w:rsid w:val="610D1BF1"/>
    <w:rsid w:val="610E08A2"/>
    <w:rsid w:val="610F7301"/>
    <w:rsid w:val="61165902"/>
    <w:rsid w:val="611759A9"/>
    <w:rsid w:val="611834CF"/>
    <w:rsid w:val="611A2DA3"/>
    <w:rsid w:val="6129748A"/>
    <w:rsid w:val="612B4CC9"/>
    <w:rsid w:val="612B4FB0"/>
    <w:rsid w:val="612F6F8F"/>
    <w:rsid w:val="613025C6"/>
    <w:rsid w:val="6139071C"/>
    <w:rsid w:val="613A51D4"/>
    <w:rsid w:val="613F0A5C"/>
    <w:rsid w:val="6144421A"/>
    <w:rsid w:val="615053A3"/>
    <w:rsid w:val="6151253D"/>
    <w:rsid w:val="6152204F"/>
    <w:rsid w:val="61595DDF"/>
    <w:rsid w:val="615A3AE7"/>
    <w:rsid w:val="615D7134"/>
    <w:rsid w:val="615F10FE"/>
    <w:rsid w:val="61602923"/>
    <w:rsid w:val="6162299C"/>
    <w:rsid w:val="61652C96"/>
    <w:rsid w:val="61677FB2"/>
    <w:rsid w:val="61693D2A"/>
    <w:rsid w:val="616B7AA3"/>
    <w:rsid w:val="61700C15"/>
    <w:rsid w:val="6170768E"/>
    <w:rsid w:val="617701F5"/>
    <w:rsid w:val="61783F6D"/>
    <w:rsid w:val="6178408E"/>
    <w:rsid w:val="617A7CE6"/>
    <w:rsid w:val="617E77D6"/>
    <w:rsid w:val="61834DEC"/>
    <w:rsid w:val="618446C0"/>
    <w:rsid w:val="61857721"/>
    <w:rsid w:val="61897F29"/>
    <w:rsid w:val="618B5A4F"/>
    <w:rsid w:val="618C6A88"/>
    <w:rsid w:val="618D23D7"/>
    <w:rsid w:val="61907509"/>
    <w:rsid w:val="619D10D3"/>
    <w:rsid w:val="61A15272"/>
    <w:rsid w:val="61A170E7"/>
    <w:rsid w:val="61A42FB4"/>
    <w:rsid w:val="61A66D2D"/>
    <w:rsid w:val="61A905CB"/>
    <w:rsid w:val="61AD3C17"/>
    <w:rsid w:val="61B2122D"/>
    <w:rsid w:val="61B551C2"/>
    <w:rsid w:val="61B56F70"/>
    <w:rsid w:val="61B96A60"/>
    <w:rsid w:val="61BE4076"/>
    <w:rsid w:val="61BF1B9C"/>
    <w:rsid w:val="61C80A51"/>
    <w:rsid w:val="61CA2A1B"/>
    <w:rsid w:val="61CB46C0"/>
    <w:rsid w:val="61CB62CF"/>
    <w:rsid w:val="61D373F6"/>
    <w:rsid w:val="61D70C94"/>
    <w:rsid w:val="61D86D49"/>
    <w:rsid w:val="61DA619C"/>
    <w:rsid w:val="61E03976"/>
    <w:rsid w:val="61E32DD8"/>
    <w:rsid w:val="61E37639"/>
    <w:rsid w:val="61E57855"/>
    <w:rsid w:val="61E84C4F"/>
    <w:rsid w:val="61EB473F"/>
    <w:rsid w:val="61ED04B8"/>
    <w:rsid w:val="61EF4230"/>
    <w:rsid w:val="61F01D56"/>
    <w:rsid w:val="61F950AE"/>
    <w:rsid w:val="61F96E5C"/>
    <w:rsid w:val="61FE26C5"/>
    <w:rsid w:val="62020581"/>
    <w:rsid w:val="62033E14"/>
    <w:rsid w:val="620A72BB"/>
    <w:rsid w:val="62145A44"/>
    <w:rsid w:val="621D3F2C"/>
    <w:rsid w:val="6220263B"/>
    <w:rsid w:val="622A5268"/>
    <w:rsid w:val="6232236E"/>
    <w:rsid w:val="62364782"/>
    <w:rsid w:val="62375AF0"/>
    <w:rsid w:val="62375BD7"/>
    <w:rsid w:val="62397551"/>
    <w:rsid w:val="623A66C4"/>
    <w:rsid w:val="623E47E2"/>
    <w:rsid w:val="623E6F65"/>
    <w:rsid w:val="623F6839"/>
    <w:rsid w:val="62426A55"/>
    <w:rsid w:val="62483940"/>
    <w:rsid w:val="624A1848"/>
    <w:rsid w:val="624C78D4"/>
    <w:rsid w:val="624D53FA"/>
    <w:rsid w:val="62540537"/>
    <w:rsid w:val="625422E5"/>
    <w:rsid w:val="625B18C5"/>
    <w:rsid w:val="625B3673"/>
    <w:rsid w:val="625C563D"/>
    <w:rsid w:val="62636AC5"/>
    <w:rsid w:val="62647CEB"/>
    <w:rsid w:val="6269691F"/>
    <w:rsid w:val="626B762E"/>
    <w:rsid w:val="626F35C2"/>
    <w:rsid w:val="626F778E"/>
    <w:rsid w:val="627012E0"/>
    <w:rsid w:val="62726C0F"/>
    <w:rsid w:val="62740BD9"/>
    <w:rsid w:val="62764951"/>
    <w:rsid w:val="62783599"/>
    <w:rsid w:val="62791D4B"/>
    <w:rsid w:val="627B1F67"/>
    <w:rsid w:val="627D7A8D"/>
    <w:rsid w:val="627E3805"/>
    <w:rsid w:val="62830581"/>
    <w:rsid w:val="6286301C"/>
    <w:rsid w:val="62864468"/>
    <w:rsid w:val="628662A2"/>
    <w:rsid w:val="628801E0"/>
    <w:rsid w:val="62881A95"/>
    <w:rsid w:val="62890576"/>
    <w:rsid w:val="62894684"/>
    <w:rsid w:val="628A21AA"/>
    <w:rsid w:val="628C7CD0"/>
    <w:rsid w:val="62946DCA"/>
    <w:rsid w:val="62950184"/>
    <w:rsid w:val="62975F54"/>
    <w:rsid w:val="629F3071"/>
    <w:rsid w:val="62A052B7"/>
    <w:rsid w:val="62A27CA7"/>
    <w:rsid w:val="62A327BB"/>
    <w:rsid w:val="62A768B8"/>
    <w:rsid w:val="62AA63A9"/>
    <w:rsid w:val="62AC2121"/>
    <w:rsid w:val="62AE5E99"/>
    <w:rsid w:val="62B2525D"/>
    <w:rsid w:val="62B47227"/>
    <w:rsid w:val="62B66AFB"/>
    <w:rsid w:val="62B80AC5"/>
    <w:rsid w:val="62BD2580"/>
    <w:rsid w:val="62BF7FA3"/>
    <w:rsid w:val="62C05BCC"/>
    <w:rsid w:val="62C0797A"/>
    <w:rsid w:val="62C236F2"/>
    <w:rsid w:val="62C456BC"/>
    <w:rsid w:val="62C751AC"/>
    <w:rsid w:val="62CC4571"/>
    <w:rsid w:val="62CE3B87"/>
    <w:rsid w:val="62D022B3"/>
    <w:rsid w:val="62D376AD"/>
    <w:rsid w:val="62D84CC4"/>
    <w:rsid w:val="62D94DD2"/>
    <w:rsid w:val="62DB155F"/>
    <w:rsid w:val="62DE6052"/>
    <w:rsid w:val="62E23D94"/>
    <w:rsid w:val="62E418BB"/>
    <w:rsid w:val="62E551E2"/>
    <w:rsid w:val="62EC4C13"/>
    <w:rsid w:val="62F0280B"/>
    <w:rsid w:val="62F5014F"/>
    <w:rsid w:val="62FD297C"/>
    <w:rsid w:val="63021D41"/>
    <w:rsid w:val="6308735D"/>
    <w:rsid w:val="630A6E47"/>
    <w:rsid w:val="630B4F5E"/>
    <w:rsid w:val="630E06E5"/>
    <w:rsid w:val="630E4B89"/>
    <w:rsid w:val="631101D6"/>
    <w:rsid w:val="63185A08"/>
    <w:rsid w:val="631A1780"/>
    <w:rsid w:val="631B1054"/>
    <w:rsid w:val="631B69F2"/>
    <w:rsid w:val="631F28F3"/>
    <w:rsid w:val="63205C13"/>
    <w:rsid w:val="63225184"/>
    <w:rsid w:val="63235063"/>
    <w:rsid w:val="6324615B"/>
    <w:rsid w:val="63260125"/>
    <w:rsid w:val="63286F28"/>
    <w:rsid w:val="632A1297"/>
    <w:rsid w:val="63332842"/>
    <w:rsid w:val="633914DA"/>
    <w:rsid w:val="633D18C0"/>
    <w:rsid w:val="633D2BD8"/>
    <w:rsid w:val="63416D0D"/>
    <w:rsid w:val="63436152"/>
    <w:rsid w:val="63446617"/>
    <w:rsid w:val="634632A4"/>
    <w:rsid w:val="63471E49"/>
    <w:rsid w:val="63473653"/>
    <w:rsid w:val="63493E13"/>
    <w:rsid w:val="634C7460"/>
    <w:rsid w:val="634E142A"/>
    <w:rsid w:val="63554566"/>
    <w:rsid w:val="63556314"/>
    <w:rsid w:val="635D78BF"/>
    <w:rsid w:val="63650337"/>
    <w:rsid w:val="6367429A"/>
    <w:rsid w:val="636B1FDC"/>
    <w:rsid w:val="636C365E"/>
    <w:rsid w:val="637013A0"/>
    <w:rsid w:val="6370314E"/>
    <w:rsid w:val="63711839"/>
    <w:rsid w:val="637349EC"/>
    <w:rsid w:val="637644DD"/>
    <w:rsid w:val="637864A7"/>
    <w:rsid w:val="637C31BE"/>
    <w:rsid w:val="637C7D45"/>
    <w:rsid w:val="637D1D0F"/>
    <w:rsid w:val="63811F35"/>
    <w:rsid w:val="63881DBD"/>
    <w:rsid w:val="63883103"/>
    <w:rsid w:val="638D4E7E"/>
    <w:rsid w:val="638E7A78"/>
    <w:rsid w:val="639130C5"/>
    <w:rsid w:val="63952BB5"/>
    <w:rsid w:val="639808F7"/>
    <w:rsid w:val="639A466F"/>
    <w:rsid w:val="639B1A12"/>
    <w:rsid w:val="63A252D2"/>
    <w:rsid w:val="63A46FFC"/>
    <w:rsid w:val="63A849D2"/>
    <w:rsid w:val="63AB4186"/>
    <w:rsid w:val="63B05C41"/>
    <w:rsid w:val="63B3128D"/>
    <w:rsid w:val="63B76FCF"/>
    <w:rsid w:val="63B948A0"/>
    <w:rsid w:val="63C24D92"/>
    <w:rsid w:val="63C419B3"/>
    <w:rsid w:val="63C4349A"/>
    <w:rsid w:val="63C7061B"/>
    <w:rsid w:val="63C811DC"/>
    <w:rsid w:val="63C86A2B"/>
    <w:rsid w:val="63D054A9"/>
    <w:rsid w:val="63D40BE9"/>
    <w:rsid w:val="63D47F9E"/>
    <w:rsid w:val="63D86F45"/>
    <w:rsid w:val="63DD455C"/>
    <w:rsid w:val="63E0211F"/>
    <w:rsid w:val="63E1404C"/>
    <w:rsid w:val="63E37DC4"/>
    <w:rsid w:val="63E678B4"/>
    <w:rsid w:val="63E8362C"/>
    <w:rsid w:val="63EB4ECB"/>
    <w:rsid w:val="63EC4EF3"/>
    <w:rsid w:val="63ED29F1"/>
    <w:rsid w:val="63EE6769"/>
    <w:rsid w:val="63FE69AC"/>
    <w:rsid w:val="64032214"/>
    <w:rsid w:val="6405643E"/>
    <w:rsid w:val="64061D04"/>
    <w:rsid w:val="640815D9"/>
    <w:rsid w:val="6408782B"/>
    <w:rsid w:val="640A35A3"/>
    <w:rsid w:val="640F0BB9"/>
    <w:rsid w:val="640F2D98"/>
    <w:rsid w:val="6410048D"/>
    <w:rsid w:val="64137F7D"/>
    <w:rsid w:val="64144421"/>
    <w:rsid w:val="64191A38"/>
    <w:rsid w:val="64195594"/>
    <w:rsid w:val="641C5084"/>
    <w:rsid w:val="641E704E"/>
    <w:rsid w:val="641F4B74"/>
    <w:rsid w:val="64210077"/>
    <w:rsid w:val="642167B4"/>
    <w:rsid w:val="642B3519"/>
    <w:rsid w:val="642F125B"/>
    <w:rsid w:val="643028DD"/>
    <w:rsid w:val="64337E72"/>
    <w:rsid w:val="64370110"/>
    <w:rsid w:val="64393E88"/>
    <w:rsid w:val="643C5726"/>
    <w:rsid w:val="643E0E5C"/>
    <w:rsid w:val="643E5117"/>
    <w:rsid w:val="64432611"/>
    <w:rsid w:val="64485E79"/>
    <w:rsid w:val="6449399F"/>
    <w:rsid w:val="644B034C"/>
    <w:rsid w:val="644B15DB"/>
    <w:rsid w:val="644C3BBB"/>
    <w:rsid w:val="644E3D19"/>
    <w:rsid w:val="644F0FB6"/>
    <w:rsid w:val="64524F4A"/>
    <w:rsid w:val="64534785"/>
    <w:rsid w:val="64552344"/>
    <w:rsid w:val="645667E8"/>
    <w:rsid w:val="645B3DFE"/>
    <w:rsid w:val="645C7B76"/>
    <w:rsid w:val="645E38EF"/>
    <w:rsid w:val="645F0A48"/>
    <w:rsid w:val="64654C7D"/>
    <w:rsid w:val="64684E3B"/>
    <w:rsid w:val="646A2293"/>
    <w:rsid w:val="647535D9"/>
    <w:rsid w:val="647640BA"/>
    <w:rsid w:val="647C1FC7"/>
    <w:rsid w:val="647C3D75"/>
    <w:rsid w:val="647F4AE8"/>
    <w:rsid w:val="6483767E"/>
    <w:rsid w:val="6487551C"/>
    <w:rsid w:val="648917D7"/>
    <w:rsid w:val="648A0240"/>
    <w:rsid w:val="648A46E4"/>
    <w:rsid w:val="648A7941"/>
    <w:rsid w:val="64924FD4"/>
    <w:rsid w:val="649308CA"/>
    <w:rsid w:val="649317EA"/>
    <w:rsid w:val="64933ABF"/>
    <w:rsid w:val="649B069F"/>
    <w:rsid w:val="649E3CEB"/>
    <w:rsid w:val="64A4355C"/>
    <w:rsid w:val="64AD3F2E"/>
    <w:rsid w:val="64AF414A"/>
    <w:rsid w:val="64B41760"/>
    <w:rsid w:val="64B452BD"/>
    <w:rsid w:val="64B55F14"/>
    <w:rsid w:val="64BD6E3E"/>
    <w:rsid w:val="64BE438D"/>
    <w:rsid w:val="64C00105"/>
    <w:rsid w:val="64C45AF8"/>
    <w:rsid w:val="64C574CA"/>
    <w:rsid w:val="64C64FF0"/>
    <w:rsid w:val="64C84907"/>
    <w:rsid w:val="64C97967"/>
    <w:rsid w:val="64CA0F84"/>
    <w:rsid w:val="64CB5679"/>
    <w:rsid w:val="64CC2606"/>
    <w:rsid w:val="64D836A1"/>
    <w:rsid w:val="64DB6CED"/>
    <w:rsid w:val="64DF43D9"/>
    <w:rsid w:val="64E060B2"/>
    <w:rsid w:val="64E41150"/>
    <w:rsid w:val="64E75692"/>
    <w:rsid w:val="64EA33D4"/>
    <w:rsid w:val="64EC08CE"/>
    <w:rsid w:val="64EC2CA8"/>
    <w:rsid w:val="64EC4A56"/>
    <w:rsid w:val="64EF09EB"/>
    <w:rsid w:val="64F66EBC"/>
    <w:rsid w:val="64FB738F"/>
    <w:rsid w:val="64FC7253"/>
    <w:rsid w:val="64FD4EB5"/>
    <w:rsid w:val="64FF0C2E"/>
    <w:rsid w:val="6502071E"/>
    <w:rsid w:val="65085608"/>
    <w:rsid w:val="650B6F5C"/>
    <w:rsid w:val="650C50F9"/>
    <w:rsid w:val="650F65D3"/>
    <w:rsid w:val="65110961"/>
    <w:rsid w:val="65136487"/>
    <w:rsid w:val="651569E0"/>
    <w:rsid w:val="651D5558"/>
    <w:rsid w:val="6522491C"/>
    <w:rsid w:val="65230BB9"/>
    <w:rsid w:val="6525705F"/>
    <w:rsid w:val="652B54CB"/>
    <w:rsid w:val="652C16E9"/>
    <w:rsid w:val="652C579B"/>
    <w:rsid w:val="652E1513"/>
    <w:rsid w:val="65332685"/>
    <w:rsid w:val="653463FD"/>
    <w:rsid w:val="65373578"/>
    <w:rsid w:val="65384140"/>
    <w:rsid w:val="653A02CF"/>
    <w:rsid w:val="653D52B2"/>
    <w:rsid w:val="65427699"/>
    <w:rsid w:val="65436640"/>
    <w:rsid w:val="65442AE4"/>
    <w:rsid w:val="65494C94"/>
    <w:rsid w:val="654C3747"/>
    <w:rsid w:val="654E74BF"/>
    <w:rsid w:val="65532D27"/>
    <w:rsid w:val="655467D1"/>
    <w:rsid w:val="6560179B"/>
    <w:rsid w:val="65624D19"/>
    <w:rsid w:val="65652A5B"/>
    <w:rsid w:val="65654809"/>
    <w:rsid w:val="656B0D13"/>
    <w:rsid w:val="656D4024"/>
    <w:rsid w:val="65705687"/>
    <w:rsid w:val="65711400"/>
    <w:rsid w:val="65711DFC"/>
    <w:rsid w:val="65717652"/>
    <w:rsid w:val="657219D1"/>
    <w:rsid w:val="65747D87"/>
    <w:rsid w:val="65756075"/>
    <w:rsid w:val="657809E0"/>
    <w:rsid w:val="657A4758"/>
    <w:rsid w:val="657A6A22"/>
    <w:rsid w:val="657F1404"/>
    <w:rsid w:val="657F3B1C"/>
    <w:rsid w:val="65835ADB"/>
    <w:rsid w:val="65856C59"/>
    <w:rsid w:val="658630FD"/>
    <w:rsid w:val="65896749"/>
    <w:rsid w:val="658C6239"/>
    <w:rsid w:val="65921AA2"/>
    <w:rsid w:val="65943D2E"/>
    <w:rsid w:val="65960165"/>
    <w:rsid w:val="65997102"/>
    <w:rsid w:val="659D21F5"/>
    <w:rsid w:val="659F5F6D"/>
    <w:rsid w:val="65A05841"/>
    <w:rsid w:val="65A101C8"/>
    <w:rsid w:val="65A11CE5"/>
    <w:rsid w:val="65A307FF"/>
    <w:rsid w:val="65A45331"/>
    <w:rsid w:val="65A610A9"/>
    <w:rsid w:val="65A74E21"/>
    <w:rsid w:val="65AB2B63"/>
    <w:rsid w:val="65B4371E"/>
    <w:rsid w:val="65B5753E"/>
    <w:rsid w:val="65B75CD2"/>
    <w:rsid w:val="65BD4645"/>
    <w:rsid w:val="65C038BF"/>
    <w:rsid w:val="65C459D3"/>
    <w:rsid w:val="65C47781"/>
    <w:rsid w:val="65C71020"/>
    <w:rsid w:val="65C94D98"/>
    <w:rsid w:val="65CC6636"/>
    <w:rsid w:val="65D025CA"/>
    <w:rsid w:val="65D16249"/>
    <w:rsid w:val="65D8147F"/>
    <w:rsid w:val="65E25E59"/>
    <w:rsid w:val="65E472BA"/>
    <w:rsid w:val="65E6594A"/>
    <w:rsid w:val="65EB7404"/>
    <w:rsid w:val="65F004D2"/>
    <w:rsid w:val="65F067C8"/>
    <w:rsid w:val="65F57307"/>
    <w:rsid w:val="65F71905"/>
    <w:rsid w:val="65F938CF"/>
    <w:rsid w:val="65FC516D"/>
    <w:rsid w:val="65FD2C93"/>
    <w:rsid w:val="65FE1159"/>
    <w:rsid w:val="65FF6A0B"/>
    <w:rsid w:val="66017C1F"/>
    <w:rsid w:val="6603474E"/>
    <w:rsid w:val="66063C4D"/>
    <w:rsid w:val="660B1854"/>
    <w:rsid w:val="660C375D"/>
    <w:rsid w:val="660E0C4E"/>
    <w:rsid w:val="66122D27"/>
    <w:rsid w:val="6612673F"/>
    <w:rsid w:val="66140709"/>
    <w:rsid w:val="66154481"/>
    <w:rsid w:val="661C3F42"/>
    <w:rsid w:val="661F2C0A"/>
    <w:rsid w:val="662045C9"/>
    <w:rsid w:val="66236B9E"/>
    <w:rsid w:val="6624697A"/>
    <w:rsid w:val="66280D11"/>
    <w:rsid w:val="662841B4"/>
    <w:rsid w:val="662A1D70"/>
    <w:rsid w:val="662D5327"/>
    <w:rsid w:val="663027F3"/>
    <w:rsid w:val="66342B59"/>
    <w:rsid w:val="66377F53"/>
    <w:rsid w:val="663E0BF4"/>
    <w:rsid w:val="663E5786"/>
    <w:rsid w:val="663F0955"/>
    <w:rsid w:val="66434B4A"/>
    <w:rsid w:val="66476DEF"/>
    <w:rsid w:val="66482160"/>
    <w:rsid w:val="664B1C51"/>
    <w:rsid w:val="664B7EA3"/>
    <w:rsid w:val="664D7777"/>
    <w:rsid w:val="66544FA9"/>
    <w:rsid w:val="6655487D"/>
    <w:rsid w:val="66564873"/>
    <w:rsid w:val="665E3732"/>
    <w:rsid w:val="665E7BD6"/>
    <w:rsid w:val="66633E9A"/>
    <w:rsid w:val="66660838"/>
    <w:rsid w:val="666F1DE3"/>
    <w:rsid w:val="66703465"/>
    <w:rsid w:val="667967BE"/>
    <w:rsid w:val="667B0788"/>
    <w:rsid w:val="667B2536"/>
    <w:rsid w:val="667F5A9A"/>
    <w:rsid w:val="6680501B"/>
    <w:rsid w:val="668313EA"/>
    <w:rsid w:val="66833198"/>
    <w:rsid w:val="668533B4"/>
    <w:rsid w:val="66854445"/>
    <w:rsid w:val="668A09CB"/>
    <w:rsid w:val="668D2269"/>
    <w:rsid w:val="668D7512"/>
    <w:rsid w:val="668E3573"/>
    <w:rsid w:val="668F5FE1"/>
    <w:rsid w:val="669B2BD8"/>
    <w:rsid w:val="669B6734"/>
    <w:rsid w:val="669E7FD2"/>
    <w:rsid w:val="669F1927"/>
    <w:rsid w:val="66A15D14"/>
    <w:rsid w:val="66A23F66"/>
    <w:rsid w:val="66A3383B"/>
    <w:rsid w:val="66A6332B"/>
    <w:rsid w:val="66A870A3"/>
    <w:rsid w:val="66AB0941"/>
    <w:rsid w:val="66AF3F8D"/>
    <w:rsid w:val="66B141AA"/>
    <w:rsid w:val="66B772E6"/>
    <w:rsid w:val="66BB7D21"/>
    <w:rsid w:val="66C51A03"/>
    <w:rsid w:val="66C57C55"/>
    <w:rsid w:val="66CD4D5B"/>
    <w:rsid w:val="66CF4630"/>
    <w:rsid w:val="66CF63DE"/>
    <w:rsid w:val="66D165FA"/>
    <w:rsid w:val="66D439F4"/>
    <w:rsid w:val="66D63C10"/>
    <w:rsid w:val="66DD63E5"/>
    <w:rsid w:val="66DF76D4"/>
    <w:rsid w:val="66E16111"/>
    <w:rsid w:val="66E225B5"/>
    <w:rsid w:val="66EA3218"/>
    <w:rsid w:val="66EA76BB"/>
    <w:rsid w:val="66EC6F90"/>
    <w:rsid w:val="66F01F82"/>
    <w:rsid w:val="66F05F34"/>
    <w:rsid w:val="66F26570"/>
    <w:rsid w:val="66F26971"/>
    <w:rsid w:val="66F4477F"/>
    <w:rsid w:val="66F85A07"/>
    <w:rsid w:val="66FD73EF"/>
    <w:rsid w:val="67000C8D"/>
    <w:rsid w:val="67006EDF"/>
    <w:rsid w:val="67145898"/>
    <w:rsid w:val="671A2875"/>
    <w:rsid w:val="671B1623"/>
    <w:rsid w:val="672030DD"/>
    <w:rsid w:val="67211A19"/>
    <w:rsid w:val="67220C03"/>
    <w:rsid w:val="672222F5"/>
    <w:rsid w:val="6723497B"/>
    <w:rsid w:val="67295A58"/>
    <w:rsid w:val="672A5D0A"/>
    <w:rsid w:val="672C6851"/>
    <w:rsid w:val="672D4457"/>
    <w:rsid w:val="672F1572"/>
    <w:rsid w:val="67380715"/>
    <w:rsid w:val="673D77EB"/>
    <w:rsid w:val="673F2C7A"/>
    <w:rsid w:val="673F7A07"/>
    <w:rsid w:val="674072DB"/>
    <w:rsid w:val="674A094A"/>
    <w:rsid w:val="675016C2"/>
    <w:rsid w:val="67522FB5"/>
    <w:rsid w:val="67530DBD"/>
    <w:rsid w:val="67540894"/>
    <w:rsid w:val="67566EED"/>
    <w:rsid w:val="67580AC9"/>
    <w:rsid w:val="67584625"/>
    <w:rsid w:val="676254A4"/>
    <w:rsid w:val="6765041B"/>
    <w:rsid w:val="676E3E49"/>
    <w:rsid w:val="676F196F"/>
    <w:rsid w:val="6773320D"/>
    <w:rsid w:val="67746F85"/>
    <w:rsid w:val="677551D7"/>
    <w:rsid w:val="677671A1"/>
    <w:rsid w:val="67786A75"/>
    <w:rsid w:val="67790AF4"/>
    <w:rsid w:val="677B6565"/>
    <w:rsid w:val="677F5452"/>
    <w:rsid w:val="677F6056"/>
    <w:rsid w:val="6780592A"/>
    <w:rsid w:val="678278F4"/>
    <w:rsid w:val="678418BE"/>
    <w:rsid w:val="67841F6B"/>
    <w:rsid w:val="6784366C"/>
    <w:rsid w:val="67883798"/>
    <w:rsid w:val="67896ED4"/>
    <w:rsid w:val="678A61CB"/>
    <w:rsid w:val="678B49FB"/>
    <w:rsid w:val="678C0773"/>
    <w:rsid w:val="678E0047"/>
    <w:rsid w:val="678E6299"/>
    <w:rsid w:val="67900263"/>
    <w:rsid w:val="67915D89"/>
    <w:rsid w:val="679413D5"/>
    <w:rsid w:val="67982C74"/>
    <w:rsid w:val="679A2E90"/>
    <w:rsid w:val="679B1BC9"/>
    <w:rsid w:val="67A05409"/>
    <w:rsid w:val="67A20640"/>
    <w:rsid w:val="67A21D44"/>
    <w:rsid w:val="67A26575"/>
    <w:rsid w:val="67AC2BC3"/>
    <w:rsid w:val="67AF7FBD"/>
    <w:rsid w:val="67B33F51"/>
    <w:rsid w:val="67B75622"/>
    <w:rsid w:val="67BD72E9"/>
    <w:rsid w:val="67BF46A4"/>
    <w:rsid w:val="67C5088E"/>
    <w:rsid w:val="67C63C85"/>
    <w:rsid w:val="67C95523"/>
    <w:rsid w:val="67CB3049"/>
    <w:rsid w:val="67CC0B6F"/>
    <w:rsid w:val="67CF2049"/>
    <w:rsid w:val="67D11A4E"/>
    <w:rsid w:val="67D22629"/>
    <w:rsid w:val="67D411EB"/>
    <w:rsid w:val="67DD4B2A"/>
    <w:rsid w:val="67E1286C"/>
    <w:rsid w:val="67E301C9"/>
    <w:rsid w:val="67E4235D"/>
    <w:rsid w:val="67E660D5"/>
    <w:rsid w:val="67E97973"/>
    <w:rsid w:val="67EB7247"/>
    <w:rsid w:val="67EC1211"/>
    <w:rsid w:val="67EC27B5"/>
    <w:rsid w:val="67F51E74"/>
    <w:rsid w:val="67F84BAC"/>
    <w:rsid w:val="67F87BB6"/>
    <w:rsid w:val="67FF2CF3"/>
    <w:rsid w:val="68012F0F"/>
    <w:rsid w:val="68016A6B"/>
    <w:rsid w:val="6804655B"/>
    <w:rsid w:val="680622D3"/>
    <w:rsid w:val="68071BA7"/>
    <w:rsid w:val="680B5B3B"/>
    <w:rsid w:val="680E1188"/>
    <w:rsid w:val="68106CAE"/>
    <w:rsid w:val="6813679E"/>
    <w:rsid w:val="6818054C"/>
    <w:rsid w:val="68183DB4"/>
    <w:rsid w:val="68191A91"/>
    <w:rsid w:val="681A7B2C"/>
    <w:rsid w:val="681B464D"/>
    <w:rsid w:val="681F15E7"/>
    <w:rsid w:val="681F5143"/>
    <w:rsid w:val="681F6961"/>
    <w:rsid w:val="682054F9"/>
    <w:rsid w:val="68240B89"/>
    <w:rsid w:val="6826136B"/>
    <w:rsid w:val="68297D70"/>
    <w:rsid w:val="682B1D3A"/>
    <w:rsid w:val="682B7F8C"/>
    <w:rsid w:val="683F3A37"/>
    <w:rsid w:val="683F7593"/>
    <w:rsid w:val="684352D5"/>
    <w:rsid w:val="685017A0"/>
    <w:rsid w:val="68541CB5"/>
    <w:rsid w:val="68570199"/>
    <w:rsid w:val="68570D81"/>
    <w:rsid w:val="68610A2F"/>
    <w:rsid w:val="686A0AB4"/>
    <w:rsid w:val="686A5863"/>
    <w:rsid w:val="686F7E78"/>
    <w:rsid w:val="68721717"/>
    <w:rsid w:val="68725BBA"/>
    <w:rsid w:val="687F3E33"/>
    <w:rsid w:val="68805514"/>
    <w:rsid w:val="6881195A"/>
    <w:rsid w:val="688171D5"/>
    <w:rsid w:val="688B0A2A"/>
    <w:rsid w:val="688C138F"/>
    <w:rsid w:val="68905759"/>
    <w:rsid w:val="68953657"/>
    <w:rsid w:val="689A15B9"/>
    <w:rsid w:val="68A13DAA"/>
    <w:rsid w:val="68A36A6C"/>
    <w:rsid w:val="68A45648"/>
    <w:rsid w:val="68A839E0"/>
    <w:rsid w:val="68A84B24"/>
    <w:rsid w:val="68AA7FC8"/>
    <w:rsid w:val="68AE0E91"/>
    <w:rsid w:val="68AF296B"/>
    <w:rsid w:val="68B03FED"/>
    <w:rsid w:val="68B2355C"/>
    <w:rsid w:val="68BA52A2"/>
    <w:rsid w:val="68BE2BAE"/>
    <w:rsid w:val="68BE495C"/>
    <w:rsid w:val="68C006D4"/>
    <w:rsid w:val="68C1444C"/>
    <w:rsid w:val="68C55CEA"/>
    <w:rsid w:val="68D43ED1"/>
    <w:rsid w:val="68D53232"/>
    <w:rsid w:val="68D75A1D"/>
    <w:rsid w:val="68D979E8"/>
    <w:rsid w:val="68DB72BC"/>
    <w:rsid w:val="68E31C7D"/>
    <w:rsid w:val="68E343C2"/>
    <w:rsid w:val="68E36170"/>
    <w:rsid w:val="68E57D0D"/>
    <w:rsid w:val="68EC771B"/>
    <w:rsid w:val="68ED5241"/>
    <w:rsid w:val="68F00A95"/>
    <w:rsid w:val="68F465CF"/>
    <w:rsid w:val="68F55EA4"/>
    <w:rsid w:val="68F760C0"/>
    <w:rsid w:val="68FB795E"/>
    <w:rsid w:val="68FC5484"/>
    <w:rsid w:val="68FE744E"/>
    <w:rsid w:val="6905258B"/>
    <w:rsid w:val="69076303"/>
    <w:rsid w:val="690D040B"/>
    <w:rsid w:val="691643B3"/>
    <w:rsid w:val="69180510"/>
    <w:rsid w:val="69196036"/>
    <w:rsid w:val="691F4FA3"/>
    <w:rsid w:val="69235B24"/>
    <w:rsid w:val="692549DB"/>
    <w:rsid w:val="692F717A"/>
    <w:rsid w:val="69310AF9"/>
    <w:rsid w:val="693654E7"/>
    <w:rsid w:val="69382960"/>
    <w:rsid w:val="693C5C0C"/>
    <w:rsid w:val="693D7F76"/>
    <w:rsid w:val="694110E9"/>
    <w:rsid w:val="69450BD9"/>
    <w:rsid w:val="69490210"/>
    <w:rsid w:val="694C1F68"/>
    <w:rsid w:val="694E2071"/>
    <w:rsid w:val="694F5728"/>
    <w:rsid w:val="69535A05"/>
    <w:rsid w:val="69561038"/>
    <w:rsid w:val="69562DE6"/>
    <w:rsid w:val="69586B5E"/>
    <w:rsid w:val="695B21AB"/>
    <w:rsid w:val="695E1C9B"/>
    <w:rsid w:val="695E7B16"/>
    <w:rsid w:val="69603C65"/>
    <w:rsid w:val="69603DA2"/>
    <w:rsid w:val="69683798"/>
    <w:rsid w:val="69690D6B"/>
    <w:rsid w:val="696A6E60"/>
    <w:rsid w:val="69715E72"/>
    <w:rsid w:val="69747710"/>
    <w:rsid w:val="697A3B33"/>
    <w:rsid w:val="697E40EB"/>
    <w:rsid w:val="69852275"/>
    <w:rsid w:val="69855479"/>
    <w:rsid w:val="69881641"/>
    <w:rsid w:val="698A0CE2"/>
    <w:rsid w:val="698C6808"/>
    <w:rsid w:val="698E2580"/>
    <w:rsid w:val="69912070"/>
    <w:rsid w:val="69993B96"/>
    <w:rsid w:val="699D238C"/>
    <w:rsid w:val="699D6C67"/>
    <w:rsid w:val="699E2456"/>
    <w:rsid w:val="69A200AE"/>
    <w:rsid w:val="69A2602B"/>
    <w:rsid w:val="69A26117"/>
    <w:rsid w:val="69AA3132"/>
    <w:rsid w:val="69AB0181"/>
    <w:rsid w:val="69AE2C22"/>
    <w:rsid w:val="69AE49D0"/>
    <w:rsid w:val="69B0699A"/>
    <w:rsid w:val="69B144C0"/>
    <w:rsid w:val="69B33D95"/>
    <w:rsid w:val="69B47B0D"/>
    <w:rsid w:val="69BA15C7"/>
    <w:rsid w:val="69BA59A8"/>
    <w:rsid w:val="69BD4C2B"/>
    <w:rsid w:val="69BE2739"/>
    <w:rsid w:val="69C441F4"/>
    <w:rsid w:val="69C46BA7"/>
    <w:rsid w:val="69C46CC3"/>
    <w:rsid w:val="69C97A5C"/>
    <w:rsid w:val="69CC12FA"/>
    <w:rsid w:val="69CE5072"/>
    <w:rsid w:val="69D0459A"/>
    <w:rsid w:val="69D16911"/>
    <w:rsid w:val="69D361E5"/>
    <w:rsid w:val="69D72179"/>
    <w:rsid w:val="69D97A59"/>
    <w:rsid w:val="69DB153D"/>
    <w:rsid w:val="69DD7064"/>
    <w:rsid w:val="69DF4B8A"/>
    <w:rsid w:val="69E46644"/>
    <w:rsid w:val="69E525A6"/>
    <w:rsid w:val="69E84666"/>
    <w:rsid w:val="69ED735F"/>
    <w:rsid w:val="69EE301F"/>
    <w:rsid w:val="69F30635"/>
    <w:rsid w:val="69F66377"/>
    <w:rsid w:val="69FA5E67"/>
    <w:rsid w:val="69FC345A"/>
    <w:rsid w:val="69FC398E"/>
    <w:rsid w:val="69FF522C"/>
    <w:rsid w:val="69FF6820"/>
    <w:rsid w:val="6A066470"/>
    <w:rsid w:val="6A0A597F"/>
    <w:rsid w:val="6A0C7949"/>
    <w:rsid w:val="6A143C4B"/>
    <w:rsid w:val="6A19173C"/>
    <w:rsid w:val="6A197154"/>
    <w:rsid w:val="6A25348F"/>
    <w:rsid w:val="6A2627B9"/>
    <w:rsid w:val="6A2904FB"/>
    <w:rsid w:val="6A294057"/>
    <w:rsid w:val="6A2B4273"/>
    <w:rsid w:val="6A2C58F8"/>
    <w:rsid w:val="6A2E78BF"/>
    <w:rsid w:val="6A2F590D"/>
    <w:rsid w:val="6A30161E"/>
    <w:rsid w:val="6A330AD1"/>
    <w:rsid w:val="6A356EA0"/>
    <w:rsid w:val="6A372C18"/>
    <w:rsid w:val="6A386990"/>
    <w:rsid w:val="6A3C3973"/>
    <w:rsid w:val="6A42336B"/>
    <w:rsid w:val="6A481A52"/>
    <w:rsid w:val="6A4B0471"/>
    <w:rsid w:val="6A4B06F6"/>
    <w:rsid w:val="6A575068"/>
    <w:rsid w:val="6A5A06B4"/>
    <w:rsid w:val="6A611A43"/>
    <w:rsid w:val="6A624A2F"/>
    <w:rsid w:val="6A627569"/>
    <w:rsid w:val="6A640209"/>
    <w:rsid w:val="6A652FD8"/>
    <w:rsid w:val="6A6534F3"/>
    <w:rsid w:val="6A682DD1"/>
    <w:rsid w:val="6A6921D7"/>
    <w:rsid w:val="6A696B49"/>
    <w:rsid w:val="6A6A3122"/>
    <w:rsid w:val="6A731776"/>
    <w:rsid w:val="6A796A9F"/>
    <w:rsid w:val="6A7A2B04"/>
    <w:rsid w:val="6A7E25F5"/>
    <w:rsid w:val="6A813E93"/>
    <w:rsid w:val="6A883473"/>
    <w:rsid w:val="6A90057A"/>
    <w:rsid w:val="6A9260A0"/>
    <w:rsid w:val="6A9516EC"/>
    <w:rsid w:val="6A995680"/>
    <w:rsid w:val="6A9E0AB3"/>
    <w:rsid w:val="6AA302AD"/>
    <w:rsid w:val="6AA72412"/>
    <w:rsid w:val="6AAB7162"/>
    <w:rsid w:val="6AAD2EDA"/>
    <w:rsid w:val="6AB06526"/>
    <w:rsid w:val="6AB627B0"/>
    <w:rsid w:val="6AB75B07"/>
    <w:rsid w:val="6AB9362D"/>
    <w:rsid w:val="6ABA7372"/>
    <w:rsid w:val="6ABC577D"/>
    <w:rsid w:val="6AC326FD"/>
    <w:rsid w:val="6AC344AB"/>
    <w:rsid w:val="6ACA583A"/>
    <w:rsid w:val="6ACF10A2"/>
    <w:rsid w:val="6AD05952"/>
    <w:rsid w:val="6AD12861"/>
    <w:rsid w:val="6AD246EE"/>
    <w:rsid w:val="6AD77F57"/>
    <w:rsid w:val="6ADA2581"/>
    <w:rsid w:val="6AEB755E"/>
    <w:rsid w:val="6AF02DC7"/>
    <w:rsid w:val="6AF5274F"/>
    <w:rsid w:val="6AF52D3C"/>
    <w:rsid w:val="6AF86168"/>
    <w:rsid w:val="6AFA64AC"/>
    <w:rsid w:val="6AFE54E3"/>
    <w:rsid w:val="6B00125C"/>
    <w:rsid w:val="6B0E1E52"/>
    <w:rsid w:val="6B0F4184"/>
    <w:rsid w:val="6B0F71E2"/>
    <w:rsid w:val="6B170353"/>
    <w:rsid w:val="6B1747F7"/>
    <w:rsid w:val="6B1B42E7"/>
    <w:rsid w:val="6B1E5B86"/>
    <w:rsid w:val="6B1F5FA9"/>
    <w:rsid w:val="6B217424"/>
    <w:rsid w:val="6B2A277C"/>
    <w:rsid w:val="6B322639"/>
    <w:rsid w:val="6B347157"/>
    <w:rsid w:val="6B364C7D"/>
    <w:rsid w:val="6B413622"/>
    <w:rsid w:val="6B427C02"/>
    <w:rsid w:val="6B43739A"/>
    <w:rsid w:val="6B4C48E8"/>
    <w:rsid w:val="6B5363CE"/>
    <w:rsid w:val="6B5430AF"/>
    <w:rsid w:val="6B56531F"/>
    <w:rsid w:val="6B572E46"/>
    <w:rsid w:val="6B572E49"/>
    <w:rsid w:val="6B581098"/>
    <w:rsid w:val="6B59096C"/>
    <w:rsid w:val="6B5949F9"/>
    <w:rsid w:val="6B595405"/>
    <w:rsid w:val="6B5B2936"/>
    <w:rsid w:val="6B5C220A"/>
    <w:rsid w:val="6B637A3C"/>
    <w:rsid w:val="6B6932A5"/>
    <w:rsid w:val="6B6A2B79"/>
    <w:rsid w:val="6B6B5F51"/>
    <w:rsid w:val="6B6C3431"/>
    <w:rsid w:val="6B7439F8"/>
    <w:rsid w:val="6B76151E"/>
    <w:rsid w:val="6B7B4D86"/>
    <w:rsid w:val="6B7E5284"/>
    <w:rsid w:val="6B824366"/>
    <w:rsid w:val="6B881251"/>
    <w:rsid w:val="6B8D6867"/>
    <w:rsid w:val="6B8F438D"/>
    <w:rsid w:val="6B8F513C"/>
    <w:rsid w:val="6B910106"/>
    <w:rsid w:val="6B930322"/>
    <w:rsid w:val="6B952F78"/>
    <w:rsid w:val="6B981494"/>
    <w:rsid w:val="6B9A16B0"/>
    <w:rsid w:val="6B9B2D32"/>
    <w:rsid w:val="6B9D2F4E"/>
    <w:rsid w:val="6B9F6CC6"/>
    <w:rsid w:val="6BAC3191"/>
    <w:rsid w:val="6BB40298"/>
    <w:rsid w:val="6BB43DF4"/>
    <w:rsid w:val="6BB81B36"/>
    <w:rsid w:val="6BB838E4"/>
    <w:rsid w:val="6BB9765C"/>
    <w:rsid w:val="6BBA3B00"/>
    <w:rsid w:val="6BBD0EFB"/>
    <w:rsid w:val="6BBF1117"/>
    <w:rsid w:val="6BCE3108"/>
    <w:rsid w:val="6BCE4EB6"/>
    <w:rsid w:val="6BD12AD1"/>
    <w:rsid w:val="6BD526E8"/>
    <w:rsid w:val="6BDD7547"/>
    <w:rsid w:val="6BE40B7D"/>
    <w:rsid w:val="6BEA5A68"/>
    <w:rsid w:val="6BF3491C"/>
    <w:rsid w:val="6BF5165A"/>
    <w:rsid w:val="6BF568E6"/>
    <w:rsid w:val="6BF8342F"/>
    <w:rsid w:val="6BF95CAB"/>
    <w:rsid w:val="6BFB3FCD"/>
    <w:rsid w:val="6BFD1C3F"/>
    <w:rsid w:val="6BFF1513"/>
    <w:rsid w:val="6C005EAC"/>
    <w:rsid w:val="6C0528A2"/>
    <w:rsid w:val="6C0E1756"/>
    <w:rsid w:val="6C0E79A8"/>
    <w:rsid w:val="6C0F54CE"/>
    <w:rsid w:val="6C101972"/>
    <w:rsid w:val="6C117498"/>
    <w:rsid w:val="6C136D6D"/>
    <w:rsid w:val="6C155E31"/>
    <w:rsid w:val="6C165A05"/>
    <w:rsid w:val="6C170751"/>
    <w:rsid w:val="6C1F3963"/>
    <w:rsid w:val="6C212658"/>
    <w:rsid w:val="6C214EA2"/>
    <w:rsid w:val="6C223454"/>
    <w:rsid w:val="6C264CF2"/>
    <w:rsid w:val="6C2B2308"/>
    <w:rsid w:val="6C2B3654"/>
    <w:rsid w:val="6C2B67AC"/>
    <w:rsid w:val="6C2C6080"/>
    <w:rsid w:val="6C2E004A"/>
    <w:rsid w:val="6C30791F"/>
    <w:rsid w:val="6C33740F"/>
    <w:rsid w:val="6C3513D9"/>
    <w:rsid w:val="6C376EFF"/>
    <w:rsid w:val="6C3867D3"/>
    <w:rsid w:val="6C3D028D"/>
    <w:rsid w:val="6C3F7B62"/>
    <w:rsid w:val="6C417D7E"/>
    <w:rsid w:val="6C496C32"/>
    <w:rsid w:val="6C4C0AD1"/>
    <w:rsid w:val="6C4C5516"/>
    <w:rsid w:val="6C4E140D"/>
    <w:rsid w:val="6C4E742C"/>
    <w:rsid w:val="6C537AB1"/>
    <w:rsid w:val="6C5B1319"/>
    <w:rsid w:val="6C5B6D25"/>
    <w:rsid w:val="6C5C0714"/>
    <w:rsid w:val="6C5E2E70"/>
    <w:rsid w:val="6C621AA2"/>
    <w:rsid w:val="6C636C38"/>
    <w:rsid w:val="6C6677E4"/>
    <w:rsid w:val="6C731F01"/>
    <w:rsid w:val="6C733CAF"/>
    <w:rsid w:val="6C757A27"/>
    <w:rsid w:val="6C7A503E"/>
    <w:rsid w:val="6C7C1405"/>
    <w:rsid w:val="6C7C2B64"/>
    <w:rsid w:val="6C7F4402"/>
    <w:rsid w:val="6C804DEF"/>
    <w:rsid w:val="6C81017A"/>
    <w:rsid w:val="6C847C6A"/>
    <w:rsid w:val="6C8639E2"/>
    <w:rsid w:val="6C8E6D3B"/>
    <w:rsid w:val="6C9102FF"/>
    <w:rsid w:val="6C92218A"/>
    <w:rsid w:val="6C937EAD"/>
    <w:rsid w:val="6C9500C9"/>
    <w:rsid w:val="6C960867"/>
    <w:rsid w:val="6C97174C"/>
    <w:rsid w:val="6C9D2ADA"/>
    <w:rsid w:val="6CA125CA"/>
    <w:rsid w:val="6CA34594"/>
    <w:rsid w:val="6CA9147F"/>
    <w:rsid w:val="6CAE6A95"/>
    <w:rsid w:val="6CB06CB1"/>
    <w:rsid w:val="6CBC3901"/>
    <w:rsid w:val="6CBC5656"/>
    <w:rsid w:val="6CBD4F2A"/>
    <w:rsid w:val="6CC16DF1"/>
    <w:rsid w:val="6CC462B9"/>
    <w:rsid w:val="6CC664D5"/>
    <w:rsid w:val="6CC81212"/>
    <w:rsid w:val="6CD26C28"/>
    <w:rsid w:val="6CD3474E"/>
    <w:rsid w:val="6CE26D5D"/>
    <w:rsid w:val="6CE32BE3"/>
    <w:rsid w:val="6CE4695B"/>
    <w:rsid w:val="6CE60925"/>
    <w:rsid w:val="6CE708AA"/>
    <w:rsid w:val="6CE81FA7"/>
    <w:rsid w:val="6CEB0E5F"/>
    <w:rsid w:val="6CEB120D"/>
    <w:rsid w:val="6CED5810"/>
    <w:rsid w:val="6CF22E26"/>
    <w:rsid w:val="6CF52916"/>
    <w:rsid w:val="6CF63A92"/>
    <w:rsid w:val="6CF941B4"/>
    <w:rsid w:val="6CFC32B8"/>
    <w:rsid w:val="6CFC4F20"/>
    <w:rsid w:val="6CFC5A53"/>
    <w:rsid w:val="6CFF0B45"/>
    <w:rsid w:val="6D0112BB"/>
    <w:rsid w:val="6D013776"/>
    <w:rsid w:val="6D026DC6"/>
    <w:rsid w:val="6D0512FF"/>
    <w:rsid w:val="6D0B038C"/>
    <w:rsid w:val="6D0B4F67"/>
    <w:rsid w:val="6D154D66"/>
    <w:rsid w:val="6D194857"/>
    <w:rsid w:val="6D1B05CF"/>
    <w:rsid w:val="6D1C7EA3"/>
    <w:rsid w:val="6D1E1E6D"/>
    <w:rsid w:val="6D205BE5"/>
    <w:rsid w:val="6D2154B9"/>
    <w:rsid w:val="6D267B26"/>
    <w:rsid w:val="6D2A6A64"/>
    <w:rsid w:val="6D2C27DC"/>
    <w:rsid w:val="6D2D0302"/>
    <w:rsid w:val="6D34343E"/>
    <w:rsid w:val="6D372F2F"/>
    <w:rsid w:val="6D3A657B"/>
    <w:rsid w:val="6D3C1731"/>
    <w:rsid w:val="6D3E42BD"/>
    <w:rsid w:val="6D435308"/>
    <w:rsid w:val="6D4573FA"/>
    <w:rsid w:val="6D4A2C62"/>
    <w:rsid w:val="6D4A4A10"/>
    <w:rsid w:val="6D4B3F19"/>
    <w:rsid w:val="6D515941"/>
    <w:rsid w:val="6D543AE1"/>
    <w:rsid w:val="6D5910F7"/>
    <w:rsid w:val="6D602485"/>
    <w:rsid w:val="6D605FE2"/>
    <w:rsid w:val="6D617FAC"/>
    <w:rsid w:val="6D667370"/>
    <w:rsid w:val="6D673814"/>
    <w:rsid w:val="6D6A6E60"/>
    <w:rsid w:val="6D6C0832"/>
    <w:rsid w:val="6D6C0E2A"/>
    <w:rsid w:val="6D6E6E45"/>
    <w:rsid w:val="6D723F67"/>
    <w:rsid w:val="6D741A8D"/>
    <w:rsid w:val="6D7766CE"/>
    <w:rsid w:val="6D7970A3"/>
    <w:rsid w:val="6D7D4DE5"/>
    <w:rsid w:val="6D7E290C"/>
    <w:rsid w:val="6D836174"/>
    <w:rsid w:val="6D864791"/>
    <w:rsid w:val="6D8A7502"/>
    <w:rsid w:val="6D8C14BB"/>
    <w:rsid w:val="6D8D2B4F"/>
    <w:rsid w:val="6D8F4B19"/>
    <w:rsid w:val="6D967C55"/>
    <w:rsid w:val="6D997745"/>
    <w:rsid w:val="6D9A2D85"/>
    <w:rsid w:val="6D9C0FE4"/>
    <w:rsid w:val="6DA265FA"/>
    <w:rsid w:val="6DA34120"/>
    <w:rsid w:val="6DA41B00"/>
    <w:rsid w:val="6DAA1953"/>
    <w:rsid w:val="6DB157EC"/>
    <w:rsid w:val="6DB225B5"/>
    <w:rsid w:val="6DB34098"/>
    <w:rsid w:val="6DB545B6"/>
    <w:rsid w:val="6DB93944"/>
    <w:rsid w:val="6DBC594E"/>
    <w:rsid w:val="6DBE0F5A"/>
    <w:rsid w:val="6DC02C1E"/>
    <w:rsid w:val="6DC04CD2"/>
    <w:rsid w:val="6DC16B04"/>
    <w:rsid w:val="6DC42A14"/>
    <w:rsid w:val="6DC9627D"/>
    <w:rsid w:val="6DCA3DA3"/>
    <w:rsid w:val="6DD51ED2"/>
    <w:rsid w:val="6DD54C21"/>
    <w:rsid w:val="6DD86E68"/>
    <w:rsid w:val="6DD9192B"/>
    <w:rsid w:val="6DDA1931"/>
    <w:rsid w:val="6DDA2238"/>
    <w:rsid w:val="6DDD7632"/>
    <w:rsid w:val="6DDF4286"/>
    <w:rsid w:val="6DE07122"/>
    <w:rsid w:val="6DE309C1"/>
    <w:rsid w:val="6DE50BDD"/>
    <w:rsid w:val="6DE9247B"/>
    <w:rsid w:val="6DE94229"/>
    <w:rsid w:val="6DEE2714"/>
    <w:rsid w:val="6DF130DE"/>
    <w:rsid w:val="6DF350A8"/>
    <w:rsid w:val="6DF57A56"/>
    <w:rsid w:val="6DF80910"/>
    <w:rsid w:val="6DF826BE"/>
    <w:rsid w:val="6DF901E4"/>
    <w:rsid w:val="6DFA4688"/>
    <w:rsid w:val="6DFB1424"/>
    <w:rsid w:val="6E04380A"/>
    <w:rsid w:val="6E072901"/>
    <w:rsid w:val="6E0948CB"/>
    <w:rsid w:val="6E0A6EA2"/>
    <w:rsid w:val="6E0B4EFC"/>
    <w:rsid w:val="6E0F17B6"/>
    <w:rsid w:val="6E13574A"/>
    <w:rsid w:val="6E1B281B"/>
    <w:rsid w:val="6E22598D"/>
    <w:rsid w:val="6E22773B"/>
    <w:rsid w:val="6E2407C0"/>
    <w:rsid w:val="6E2434B3"/>
    <w:rsid w:val="6E245261"/>
    <w:rsid w:val="6E2A4841"/>
    <w:rsid w:val="6E2B2A93"/>
    <w:rsid w:val="6E2C2368"/>
    <w:rsid w:val="6E3336F6"/>
    <w:rsid w:val="6E3F02ED"/>
    <w:rsid w:val="6E430122"/>
    <w:rsid w:val="6E4375A0"/>
    <w:rsid w:val="6E46167B"/>
    <w:rsid w:val="6E4771A1"/>
    <w:rsid w:val="6E493F8C"/>
    <w:rsid w:val="6E496F01"/>
    <w:rsid w:val="6E4E6782"/>
    <w:rsid w:val="6E5024FA"/>
    <w:rsid w:val="6E514CED"/>
    <w:rsid w:val="6E5518BE"/>
    <w:rsid w:val="6E565636"/>
    <w:rsid w:val="6E587601"/>
    <w:rsid w:val="6E597DC9"/>
    <w:rsid w:val="6E5D4C17"/>
    <w:rsid w:val="6E5D6D8A"/>
    <w:rsid w:val="6E625D89"/>
    <w:rsid w:val="6E6371BB"/>
    <w:rsid w:val="6E650E15"/>
    <w:rsid w:val="6E6623CD"/>
    <w:rsid w:val="6E663ACB"/>
    <w:rsid w:val="6E6715F2"/>
    <w:rsid w:val="6E6C7882"/>
    <w:rsid w:val="6E755ABD"/>
    <w:rsid w:val="6E76798E"/>
    <w:rsid w:val="6E786E93"/>
    <w:rsid w:val="6E79491A"/>
    <w:rsid w:val="6E82467D"/>
    <w:rsid w:val="6E8E6B7E"/>
    <w:rsid w:val="6E906D9A"/>
    <w:rsid w:val="6E91666F"/>
    <w:rsid w:val="6E941144"/>
    <w:rsid w:val="6E985C4F"/>
    <w:rsid w:val="6E9C573F"/>
    <w:rsid w:val="6E9F6FDD"/>
    <w:rsid w:val="6EA37E3E"/>
    <w:rsid w:val="6EA445F4"/>
    <w:rsid w:val="6EA510B2"/>
    <w:rsid w:val="6EA6211A"/>
    <w:rsid w:val="6EB1286D"/>
    <w:rsid w:val="6EB20ABF"/>
    <w:rsid w:val="6EB41E64"/>
    <w:rsid w:val="6EB563D5"/>
    <w:rsid w:val="6EBA6F09"/>
    <w:rsid w:val="6EBD7464"/>
    <w:rsid w:val="6EC30F1E"/>
    <w:rsid w:val="6EC407F2"/>
    <w:rsid w:val="6EC425A0"/>
    <w:rsid w:val="6EC46A44"/>
    <w:rsid w:val="6EC66318"/>
    <w:rsid w:val="6EC72090"/>
    <w:rsid w:val="6EC86534"/>
    <w:rsid w:val="6ECA1007"/>
    <w:rsid w:val="6ED21161"/>
    <w:rsid w:val="6ED50C51"/>
    <w:rsid w:val="6EDA0016"/>
    <w:rsid w:val="6EDC0332"/>
    <w:rsid w:val="6EDE1721"/>
    <w:rsid w:val="6EDF562C"/>
    <w:rsid w:val="6EE127E5"/>
    <w:rsid w:val="6EE3336E"/>
    <w:rsid w:val="6EED1FF5"/>
    <w:rsid w:val="6EED5F9B"/>
    <w:rsid w:val="6EF235B1"/>
    <w:rsid w:val="6EF54E4F"/>
    <w:rsid w:val="6EFF182A"/>
    <w:rsid w:val="6EFF440A"/>
    <w:rsid w:val="6EFF7A7C"/>
    <w:rsid w:val="6F0137F4"/>
    <w:rsid w:val="6F082DD5"/>
    <w:rsid w:val="6F086931"/>
    <w:rsid w:val="6F0D03EB"/>
    <w:rsid w:val="6F0F7D5C"/>
    <w:rsid w:val="6F1144B0"/>
    <w:rsid w:val="6F126B79"/>
    <w:rsid w:val="6F152DFC"/>
    <w:rsid w:val="6F1C1F3D"/>
    <w:rsid w:val="6F225983"/>
    <w:rsid w:val="6F2319BD"/>
    <w:rsid w:val="6F287F6F"/>
    <w:rsid w:val="6F2D45E9"/>
    <w:rsid w:val="6F2F65B3"/>
    <w:rsid w:val="6F345978"/>
    <w:rsid w:val="6F394D3C"/>
    <w:rsid w:val="6F3C2A7E"/>
    <w:rsid w:val="6F3E67F6"/>
    <w:rsid w:val="6F433E0D"/>
    <w:rsid w:val="6F481423"/>
    <w:rsid w:val="6F490CF7"/>
    <w:rsid w:val="6F4A519B"/>
    <w:rsid w:val="6F4B0F13"/>
    <w:rsid w:val="6F4B2CC1"/>
    <w:rsid w:val="6F4D07E7"/>
    <w:rsid w:val="6F4D4C8B"/>
    <w:rsid w:val="6F4D6F96"/>
    <w:rsid w:val="6F4F630E"/>
    <w:rsid w:val="6F5007E2"/>
    <w:rsid w:val="6F5A4CB2"/>
    <w:rsid w:val="6F5D2C01"/>
    <w:rsid w:val="6F5E0C47"/>
    <w:rsid w:val="6F60676D"/>
    <w:rsid w:val="6F6124E5"/>
    <w:rsid w:val="6F644787"/>
    <w:rsid w:val="6F673B85"/>
    <w:rsid w:val="6F6D0E8A"/>
    <w:rsid w:val="6F6D491A"/>
    <w:rsid w:val="6F72517F"/>
    <w:rsid w:val="6F725BBB"/>
    <w:rsid w:val="6F745D74"/>
    <w:rsid w:val="6F751AEC"/>
    <w:rsid w:val="6F7904EA"/>
    <w:rsid w:val="6F795A80"/>
    <w:rsid w:val="6F7F743C"/>
    <w:rsid w:val="6F885CC3"/>
    <w:rsid w:val="6F8F1B70"/>
    <w:rsid w:val="6F901390"/>
    <w:rsid w:val="6F934682"/>
    <w:rsid w:val="6F9B1553"/>
    <w:rsid w:val="6FA279E0"/>
    <w:rsid w:val="6FA34A20"/>
    <w:rsid w:val="6FA80114"/>
    <w:rsid w:val="6FAA3E8C"/>
    <w:rsid w:val="6FAC19B2"/>
    <w:rsid w:val="6FAD74D8"/>
    <w:rsid w:val="6FB03B79"/>
    <w:rsid w:val="6FB12BB4"/>
    <w:rsid w:val="6FB371D3"/>
    <w:rsid w:val="6FB66A33"/>
    <w:rsid w:val="6FB70357"/>
    <w:rsid w:val="6FC247B9"/>
    <w:rsid w:val="6FC30AAA"/>
    <w:rsid w:val="6FC50CC6"/>
    <w:rsid w:val="6FC82564"/>
    <w:rsid w:val="6FCA62DC"/>
    <w:rsid w:val="6FD11419"/>
    <w:rsid w:val="6FD20CED"/>
    <w:rsid w:val="6FD311BE"/>
    <w:rsid w:val="6FD35191"/>
    <w:rsid w:val="6FD809F9"/>
    <w:rsid w:val="6FDF69AC"/>
    <w:rsid w:val="6FE27A2C"/>
    <w:rsid w:val="6FE3114C"/>
    <w:rsid w:val="6FE50A20"/>
    <w:rsid w:val="6FE543B9"/>
    <w:rsid w:val="6FE7243C"/>
    <w:rsid w:val="6FE85244"/>
    <w:rsid w:val="6FEA072C"/>
    <w:rsid w:val="6FEA4288"/>
    <w:rsid w:val="6FED3D79"/>
    <w:rsid w:val="6FED5B27"/>
    <w:rsid w:val="6FEE1FCA"/>
    <w:rsid w:val="6FEF2BB1"/>
    <w:rsid w:val="6FF5548D"/>
    <w:rsid w:val="6FF70753"/>
    <w:rsid w:val="6FF84BF7"/>
    <w:rsid w:val="6FF869A5"/>
    <w:rsid w:val="6FFA3B3C"/>
    <w:rsid w:val="6FFB0243"/>
    <w:rsid w:val="6FFC5590"/>
    <w:rsid w:val="6FFD3FBC"/>
    <w:rsid w:val="6FFE7D34"/>
    <w:rsid w:val="70003AAC"/>
    <w:rsid w:val="7003534A"/>
    <w:rsid w:val="7003546C"/>
    <w:rsid w:val="70111815"/>
    <w:rsid w:val="701337DF"/>
    <w:rsid w:val="70141305"/>
    <w:rsid w:val="70144C09"/>
    <w:rsid w:val="70175A87"/>
    <w:rsid w:val="70186826"/>
    <w:rsid w:val="701B08E6"/>
    <w:rsid w:val="701B2694"/>
    <w:rsid w:val="701D640C"/>
    <w:rsid w:val="70221C74"/>
    <w:rsid w:val="70231548"/>
    <w:rsid w:val="702459EC"/>
    <w:rsid w:val="702754DC"/>
    <w:rsid w:val="7029639C"/>
    <w:rsid w:val="702C664F"/>
    <w:rsid w:val="702E0844"/>
    <w:rsid w:val="702E3539"/>
    <w:rsid w:val="702E686B"/>
    <w:rsid w:val="702F4391"/>
    <w:rsid w:val="702F4530"/>
    <w:rsid w:val="70301DA3"/>
    <w:rsid w:val="7036571F"/>
    <w:rsid w:val="70383246"/>
    <w:rsid w:val="70384FF4"/>
    <w:rsid w:val="704240C4"/>
    <w:rsid w:val="70473489"/>
    <w:rsid w:val="70497201"/>
    <w:rsid w:val="704C0A9F"/>
    <w:rsid w:val="70531E2E"/>
    <w:rsid w:val="70567B70"/>
    <w:rsid w:val="70585696"/>
    <w:rsid w:val="70593891"/>
    <w:rsid w:val="705F4C76"/>
    <w:rsid w:val="70666005"/>
    <w:rsid w:val="70691651"/>
    <w:rsid w:val="70696F3D"/>
    <w:rsid w:val="706A63CD"/>
    <w:rsid w:val="706D1DD0"/>
    <w:rsid w:val="706D7810"/>
    <w:rsid w:val="706E6C67"/>
    <w:rsid w:val="7075449A"/>
    <w:rsid w:val="70765B1C"/>
    <w:rsid w:val="707A560C"/>
    <w:rsid w:val="707A59BC"/>
    <w:rsid w:val="707B3132"/>
    <w:rsid w:val="708244C1"/>
    <w:rsid w:val="70840239"/>
    <w:rsid w:val="70856B87"/>
    <w:rsid w:val="70877D29"/>
    <w:rsid w:val="70891CF3"/>
    <w:rsid w:val="708C752D"/>
    <w:rsid w:val="708E25E0"/>
    <w:rsid w:val="708E730A"/>
    <w:rsid w:val="708F6BDE"/>
    <w:rsid w:val="70935816"/>
    <w:rsid w:val="70974410"/>
    <w:rsid w:val="70986DE0"/>
    <w:rsid w:val="709A5CAE"/>
    <w:rsid w:val="709B291A"/>
    <w:rsid w:val="709D754D"/>
    <w:rsid w:val="709E4AA2"/>
    <w:rsid w:val="709E5582"/>
    <w:rsid w:val="70A00DEB"/>
    <w:rsid w:val="70A32137"/>
    <w:rsid w:val="70AC7790"/>
    <w:rsid w:val="70B328CC"/>
    <w:rsid w:val="70B34FC2"/>
    <w:rsid w:val="70B442AE"/>
    <w:rsid w:val="70B54896"/>
    <w:rsid w:val="70B623BC"/>
    <w:rsid w:val="70BF74C3"/>
    <w:rsid w:val="70C42D2B"/>
    <w:rsid w:val="70C660AD"/>
    <w:rsid w:val="70C8281B"/>
    <w:rsid w:val="70CC398E"/>
    <w:rsid w:val="70D171F6"/>
    <w:rsid w:val="70D2369A"/>
    <w:rsid w:val="70D527EE"/>
    <w:rsid w:val="70DF5DB7"/>
    <w:rsid w:val="70E1568B"/>
    <w:rsid w:val="70E231B1"/>
    <w:rsid w:val="70E31A4B"/>
    <w:rsid w:val="70E6671E"/>
    <w:rsid w:val="70E7115A"/>
    <w:rsid w:val="70F30C50"/>
    <w:rsid w:val="70F3716D"/>
    <w:rsid w:val="70F80C27"/>
    <w:rsid w:val="70F829D5"/>
    <w:rsid w:val="70F84783"/>
    <w:rsid w:val="70FF5B11"/>
    <w:rsid w:val="71025602"/>
    <w:rsid w:val="7104581E"/>
    <w:rsid w:val="71053EA6"/>
    <w:rsid w:val="710851C5"/>
    <w:rsid w:val="710A276A"/>
    <w:rsid w:val="710E3140"/>
    <w:rsid w:val="71105F71"/>
    <w:rsid w:val="7113780F"/>
    <w:rsid w:val="71186BD3"/>
    <w:rsid w:val="71213CDA"/>
    <w:rsid w:val="71285068"/>
    <w:rsid w:val="71311217"/>
    <w:rsid w:val="71347EB1"/>
    <w:rsid w:val="7137174F"/>
    <w:rsid w:val="713A4D9B"/>
    <w:rsid w:val="713F0604"/>
    <w:rsid w:val="714025F2"/>
    <w:rsid w:val="71410FFA"/>
    <w:rsid w:val="714125CE"/>
    <w:rsid w:val="7141612A"/>
    <w:rsid w:val="714479C8"/>
    <w:rsid w:val="71494FDF"/>
    <w:rsid w:val="714B22D6"/>
    <w:rsid w:val="714E77C7"/>
    <w:rsid w:val="7150636D"/>
    <w:rsid w:val="71542301"/>
    <w:rsid w:val="715A71EC"/>
    <w:rsid w:val="715B3690"/>
    <w:rsid w:val="715B5300"/>
    <w:rsid w:val="715D3781"/>
    <w:rsid w:val="715F4BD7"/>
    <w:rsid w:val="71685DAD"/>
    <w:rsid w:val="71692DEE"/>
    <w:rsid w:val="71695F16"/>
    <w:rsid w:val="716A5681"/>
    <w:rsid w:val="716B764B"/>
    <w:rsid w:val="716C66CF"/>
    <w:rsid w:val="71702252"/>
    <w:rsid w:val="717958C4"/>
    <w:rsid w:val="717C41F3"/>
    <w:rsid w:val="718524BB"/>
    <w:rsid w:val="71864485"/>
    <w:rsid w:val="718E4C5A"/>
    <w:rsid w:val="71946BA2"/>
    <w:rsid w:val="71950224"/>
    <w:rsid w:val="71956476"/>
    <w:rsid w:val="71985ADC"/>
    <w:rsid w:val="71995F66"/>
    <w:rsid w:val="719E357C"/>
    <w:rsid w:val="719E474F"/>
    <w:rsid w:val="71A52274"/>
    <w:rsid w:val="71A67840"/>
    <w:rsid w:val="71A861A9"/>
    <w:rsid w:val="71AB48B1"/>
    <w:rsid w:val="71B132B0"/>
    <w:rsid w:val="71B52674"/>
    <w:rsid w:val="71BC7EA6"/>
    <w:rsid w:val="71BD7E79"/>
    <w:rsid w:val="71BF5462"/>
    <w:rsid w:val="71C56D5B"/>
    <w:rsid w:val="71C578FA"/>
    <w:rsid w:val="71C6373E"/>
    <w:rsid w:val="71C72AD3"/>
    <w:rsid w:val="71CD3E62"/>
    <w:rsid w:val="71CD79BE"/>
    <w:rsid w:val="71D27F8A"/>
    <w:rsid w:val="71E13469"/>
    <w:rsid w:val="71E511AB"/>
    <w:rsid w:val="71EC078C"/>
    <w:rsid w:val="71ED21B3"/>
    <w:rsid w:val="71EF202A"/>
    <w:rsid w:val="71F06452"/>
    <w:rsid w:val="71F413EE"/>
    <w:rsid w:val="71F744C6"/>
    <w:rsid w:val="71F92EA9"/>
    <w:rsid w:val="71F960CF"/>
    <w:rsid w:val="71FE04BF"/>
    <w:rsid w:val="71FE0CFF"/>
    <w:rsid w:val="72037883"/>
    <w:rsid w:val="72084E9A"/>
    <w:rsid w:val="72090091"/>
    <w:rsid w:val="720F4AB6"/>
    <w:rsid w:val="72113D47"/>
    <w:rsid w:val="72135089"/>
    <w:rsid w:val="7214383E"/>
    <w:rsid w:val="72144E11"/>
    <w:rsid w:val="72165809"/>
    <w:rsid w:val="72190E55"/>
    <w:rsid w:val="72203F91"/>
    <w:rsid w:val="72206F55"/>
    <w:rsid w:val="72226347"/>
    <w:rsid w:val="72232B8E"/>
    <w:rsid w:val="722515A8"/>
    <w:rsid w:val="722577FA"/>
    <w:rsid w:val="722717C4"/>
    <w:rsid w:val="722A3062"/>
    <w:rsid w:val="722D2858"/>
    <w:rsid w:val="72330169"/>
    <w:rsid w:val="723B526F"/>
    <w:rsid w:val="7243340D"/>
    <w:rsid w:val="72435ED2"/>
    <w:rsid w:val="72442376"/>
    <w:rsid w:val="72457E9C"/>
    <w:rsid w:val="72483C2E"/>
    <w:rsid w:val="7249040E"/>
    <w:rsid w:val="7249798C"/>
    <w:rsid w:val="724A3704"/>
    <w:rsid w:val="724C2FD8"/>
    <w:rsid w:val="724C4D86"/>
    <w:rsid w:val="724C706C"/>
    <w:rsid w:val="724D0AFE"/>
    <w:rsid w:val="724F7474"/>
    <w:rsid w:val="725132DC"/>
    <w:rsid w:val="72516841"/>
    <w:rsid w:val="72563E57"/>
    <w:rsid w:val="725E2D0C"/>
    <w:rsid w:val="72620A4E"/>
    <w:rsid w:val="7264459B"/>
    <w:rsid w:val="72646574"/>
    <w:rsid w:val="72655E48"/>
    <w:rsid w:val="726B1116"/>
    <w:rsid w:val="726F6CC7"/>
    <w:rsid w:val="7275721E"/>
    <w:rsid w:val="727A5D97"/>
    <w:rsid w:val="72800ED4"/>
    <w:rsid w:val="72842772"/>
    <w:rsid w:val="728564EA"/>
    <w:rsid w:val="72862DE7"/>
    <w:rsid w:val="728E091D"/>
    <w:rsid w:val="72914E8F"/>
    <w:rsid w:val="72930C07"/>
    <w:rsid w:val="729329B5"/>
    <w:rsid w:val="729606F7"/>
    <w:rsid w:val="72966949"/>
    <w:rsid w:val="7297664B"/>
    <w:rsid w:val="7298446F"/>
    <w:rsid w:val="72A03324"/>
    <w:rsid w:val="72A44BC2"/>
    <w:rsid w:val="72A46970"/>
    <w:rsid w:val="72A9418F"/>
    <w:rsid w:val="72A9667D"/>
    <w:rsid w:val="72AF5690"/>
    <w:rsid w:val="72B172DF"/>
    <w:rsid w:val="72B56DCF"/>
    <w:rsid w:val="72BB015E"/>
    <w:rsid w:val="72C131B2"/>
    <w:rsid w:val="72C214EC"/>
    <w:rsid w:val="72C76912"/>
    <w:rsid w:val="72C963D7"/>
    <w:rsid w:val="72CC236B"/>
    <w:rsid w:val="72CC4119"/>
    <w:rsid w:val="72CE60E3"/>
    <w:rsid w:val="72CE7E91"/>
    <w:rsid w:val="72D00517"/>
    <w:rsid w:val="72D644DE"/>
    <w:rsid w:val="72D73968"/>
    <w:rsid w:val="72D80D10"/>
    <w:rsid w:val="72DA3A73"/>
    <w:rsid w:val="72DD00D4"/>
    <w:rsid w:val="72DD5F01"/>
    <w:rsid w:val="72E75119"/>
    <w:rsid w:val="72E94CCB"/>
    <w:rsid w:val="72E96A79"/>
    <w:rsid w:val="72EB27F1"/>
    <w:rsid w:val="72F258C2"/>
    <w:rsid w:val="72F31907"/>
    <w:rsid w:val="72FA0C86"/>
    <w:rsid w:val="72FA74C9"/>
    <w:rsid w:val="72FB055A"/>
    <w:rsid w:val="72FD42D3"/>
    <w:rsid w:val="73027B3B"/>
    <w:rsid w:val="730613D9"/>
    <w:rsid w:val="7306762B"/>
    <w:rsid w:val="73076EFF"/>
    <w:rsid w:val="730833A3"/>
    <w:rsid w:val="73117D7E"/>
    <w:rsid w:val="73142E27"/>
    <w:rsid w:val="7316181C"/>
    <w:rsid w:val="731A30D6"/>
    <w:rsid w:val="731C2459"/>
    <w:rsid w:val="731F5D5E"/>
    <w:rsid w:val="73216213"/>
    <w:rsid w:val="73221F8B"/>
    <w:rsid w:val="73263829"/>
    <w:rsid w:val="7327064F"/>
    <w:rsid w:val="732C5510"/>
    <w:rsid w:val="732E0930"/>
    <w:rsid w:val="733557D3"/>
    <w:rsid w:val="733817AF"/>
    <w:rsid w:val="7338355D"/>
    <w:rsid w:val="73397A01"/>
    <w:rsid w:val="733F2B3D"/>
    <w:rsid w:val="73426189"/>
    <w:rsid w:val="7346211D"/>
    <w:rsid w:val="73465C7A"/>
    <w:rsid w:val="734A7BDE"/>
    <w:rsid w:val="734E2D80"/>
    <w:rsid w:val="734E4B2E"/>
    <w:rsid w:val="73530396"/>
    <w:rsid w:val="735465E8"/>
    <w:rsid w:val="735635E4"/>
    <w:rsid w:val="7359395E"/>
    <w:rsid w:val="735D79A5"/>
    <w:rsid w:val="735E1215"/>
    <w:rsid w:val="735E1E53"/>
    <w:rsid w:val="736305DA"/>
    <w:rsid w:val="736A472D"/>
    <w:rsid w:val="736A5E0C"/>
    <w:rsid w:val="736D76AA"/>
    <w:rsid w:val="73700F48"/>
    <w:rsid w:val="73702CF6"/>
    <w:rsid w:val="737062B6"/>
    <w:rsid w:val="737462E1"/>
    <w:rsid w:val="7379604F"/>
    <w:rsid w:val="737F73DD"/>
    <w:rsid w:val="7382588D"/>
    <w:rsid w:val="7383282E"/>
    <w:rsid w:val="73840550"/>
    <w:rsid w:val="7386076C"/>
    <w:rsid w:val="73886292"/>
    <w:rsid w:val="738F520D"/>
    <w:rsid w:val="7398711B"/>
    <w:rsid w:val="739C1D3D"/>
    <w:rsid w:val="739C3AEB"/>
    <w:rsid w:val="73A115C0"/>
    <w:rsid w:val="73A3131E"/>
    <w:rsid w:val="73A40BF2"/>
    <w:rsid w:val="73AB01D2"/>
    <w:rsid w:val="73AB1F81"/>
    <w:rsid w:val="73B726D3"/>
    <w:rsid w:val="73BB1DFB"/>
    <w:rsid w:val="73BE3A62"/>
    <w:rsid w:val="73BF31E9"/>
    <w:rsid w:val="73C13552"/>
    <w:rsid w:val="73C179F6"/>
    <w:rsid w:val="73C60B68"/>
    <w:rsid w:val="73CC2623"/>
    <w:rsid w:val="73CC79FC"/>
    <w:rsid w:val="73D028F7"/>
    <w:rsid w:val="73D03795"/>
    <w:rsid w:val="73D2575F"/>
    <w:rsid w:val="73D72D76"/>
    <w:rsid w:val="73D74B24"/>
    <w:rsid w:val="73DB2866"/>
    <w:rsid w:val="73DC213A"/>
    <w:rsid w:val="73DC4E36"/>
    <w:rsid w:val="73DE4104"/>
    <w:rsid w:val="73DE5EB2"/>
    <w:rsid w:val="73DF2727"/>
    <w:rsid w:val="73E01C2A"/>
    <w:rsid w:val="73E32748"/>
    <w:rsid w:val="73EA3012"/>
    <w:rsid w:val="73EF4563"/>
    <w:rsid w:val="73F2195D"/>
    <w:rsid w:val="73F27BAF"/>
    <w:rsid w:val="73F61F09"/>
    <w:rsid w:val="73F676A0"/>
    <w:rsid w:val="73F819A5"/>
    <w:rsid w:val="73F97190"/>
    <w:rsid w:val="74017DF2"/>
    <w:rsid w:val="74024296"/>
    <w:rsid w:val="74031DBD"/>
    <w:rsid w:val="740718AD"/>
    <w:rsid w:val="74082FD3"/>
    <w:rsid w:val="740C48D9"/>
    <w:rsid w:val="7416564C"/>
    <w:rsid w:val="741915E0"/>
    <w:rsid w:val="741E793C"/>
    <w:rsid w:val="74213FF1"/>
    <w:rsid w:val="742400E9"/>
    <w:rsid w:val="74275AAB"/>
    <w:rsid w:val="74277E3A"/>
    <w:rsid w:val="742C30C1"/>
    <w:rsid w:val="74324450"/>
    <w:rsid w:val="743326A2"/>
    <w:rsid w:val="74381A66"/>
    <w:rsid w:val="743C0E2B"/>
    <w:rsid w:val="743D707D"/>
    <w:rsid w:val="74410A17"/>
    <w:rsid w:val="744523D5"/>
    <w:rsid w:val="74457850"/>
    <w:rsid w:val="74471CA9"/>
    <w:rsid w:val="7447614D"/>
    <w:rsid w:val="74487DCD"/>
    <w:rsid w:val="744C3764"/>
    <w:rsid w:val="744C5512"/>
    <w:rsid w:val="744C72C0"/>
    <w:rsid w:val="744E128A"/>
    <w:rsid w:val="744F4C3F"/>
    <w:rsid w:val="744F5FE5"/>
    <w:rsid w:val="74566390"/>
    <w:rsid w:val="74575798"/>
    <w:rsid w:val="745B5755"/>
    <w:rsid w:val="74604B19"/>
    <w:rsid w:val="74631ADE"/>
    <w:rsid w:val="74640AAD"/>
    <w:rsid w:val="746565D3"/>
    <w:rsid w:val="746740F9"/>
    <w:rsid w:val="74675EA7"/>
    <w:rsid w:val="746A5998"/>
    <w:rsid w:val="746C7962"/>
    <w:rsid w:val="746D092B"/>
    <w:rsid w:val="74734539"/>
    <w:rsid w:val="74746816"/>
    <w:rsid w:val="7476301D"/>
    <w:rsid w:val="74784559"/>
    <w:rsid w:val="74793E2D"/>
    <w:rsid w:val="747B5DF7"/>
    <w:rsid w:val="747C2324"/>
    <w:rsid w:val="74806E03"/>
    <w:rsid w:val="748527D2"/>
    <w:rsid w:val="748C0004"/>
    <w:rsid w:val="748C2B39"/>
    <w:rsid w:val="748C590E"/>
    <w:rsid w:val="748D49CD"/>
    <w:rsid w:val="748F1AFC"/>
    <w:rsid w:val="74934EEE"/>
    <w:rsid w:val="74980757"/>
    <w:rsid w:val="7499002B"/>
    <w:rsid w:val="749B0247"/>
    <w:rsid w:val="749B1FF5"/>
    <w:rsid w:val="749B5C86"/>
    <w:rsid w:val="749D6880"/>
    <w:rsid w:val="749D7B1B"/>
    <w:rsid w:val="74A4534E"/>
    <w:rsid w:val="74A50BEC"/>
    <w:rsid w:val="74A52E74"/>
    <w:rsid w:val="74AC35B3"/>
    <w:rsid w:val="74AE3AD6"/>
    <w:rsid w:val="74AE4B4E"/>
    <w:rsid w:val="74B135C7"/>
    <w:rsid w:val="74B314A3"/>
    <w:rsid w:val="74B64406"/>
    <w:rsid w:val="74BA31C7"/>
    <w:rsid w:val="74BE7A92"/>
    <w:rsid w:val="74C351B8"/>
    <w:rsid w:val="74C4154C"/>
    <w:rsid w:val="74C432FA"/>
    <w:rsid w:val="74C4779E"/>
    <w:rsid w:val="74CC2B9D"/>
    <w:rsid w:val="74CC7FCC"/>
    <w:rsid w:val="74D86E0C"/>
    <w:rsid w:val="74D97E42"/>
    <w:rsid w:val="74DB6895"/>
    <w:rsid w:val="74DD6779"/>
    <w:rsid w:val="74DE2DFA"/>
    <w:rsid w:val="74E03EAC"/>
    <w:rsid w:val="74E05C5A"/>
    <w:rsid w:val="74E221F2"/>
    <w:rsid w:val="74E25E76"/>
    <w:rsid w:val="74E90AEC"/>
    <w:rsid w:val="74E97204"/>
    <w:rsid w:val="74EC45FF"/>
    <w:rsid w:val="74EF50AE"/>
    <w:rsid w:val="74F87447"/>
    <w:rsid w:val="74FC2045"/>
    <w:rsid w:val="74FD4A5E"/>
    <w:rsid w:val="75022074"/>
    <w:rsid w:val="75022368"/>
    <w:rsid w:val="7503583D"/>
    <w:rsid w:val="75061B64"/>
    <w:rsid w:val="75071439"/>
    <w:rsid w:val="750D643F"/>
    <w:rsid w:val="7513602F"/>
    <w:rsid w:val="7524023C"/>
    <w:rsid w:val="75241FEA"/>
    <w:rsid w:val="75265D63"/>
    <w:rsid w:val="752975C2"/>
    <w:rsid w:val="752C70F1"/>
    <w:rsid w:val="752D5343"/>
    <w:rsid w:val="752D7D55"/>
    <w:rsid w:val="752F1C88"/>
    <w:rsid w:val="7532211D"/>
    <w:rsid w:val="75356204"/>
    <w:rsid w:val="75363ACC"/>
    <w:rsid w:val="75394CD8"/>
    <w:rsid w:val="753B10E2"/>
    <w:rsid w:val="753F0BD2"/>
    <w:rsid w:val="753F6E24"/>
    <w:rsid w:val="75410DEE"/>
    <w:rsid w:val="75412B9C"/>
    <w:rsid w:val="7544268D"/>
    <w:rsid w:val="75461F61"/>
    <w:rsid w:val="75491A51"/>
    <w:rsid w:val="754B7577"/>
    <w:rsid w:val="75530B22"/>
    <w:rsid w:val="7553467E"/>
    <w:rsid w:val="755521A4"/>
    <w:rsid w:val="755A5A0C"/>
    <w:rsid w:val="75616E6D"/>
    <w:rsid w:val="75630D65"/>
    <w:rsid w:val="75662603"/>
    <w:rsid w:val="756B19C7"/>
    <w:rsid w:val="75703448"/>
    <w:rsid w:val="75734D20"/>
    <w:rsid w:val="75752846"/>
    <w:rsid w:val="75792336"/>
    <w:rsid w:val="757B16F4"/>
    <w:rsid w:val="757C3BD5"/>
    <w:rsid w:val="757C5983"/>
    <w:rsid w:val="757F36C5"/>
    <w:rsid w:val="7581743D"/>
    <w:rsid w:val="75874327"/>
    <w:rsid w:val="75894543"/>
    <w:rsid w:val="758D193E"/>
    <w:rsid w:val="758D75E2"/>
    <w:rsid w:val="758F1B5A"/>
    <w:rsid w:val="7590669F"/>
    <w:rsid w:val="75986327"/>
    <w:rsid w:val="75994786"/>
    <w:rsid w:val="759A04FF"/>
    <w:rsid w:val="759C7DD3"/>
    <w:rsid w:val="759F4EC0"/>
    <w:rsid w:val="75AA17D7"/>
    <w:rsid w:val="75AD1FE0"/>
    <w:rsid w:val="75AE7B06"/>
    <w:rsid w:val="75B415C0"/>
    <w:rsid w:val="75BC0475"/>
    <w:rsid w:val="75BE0ADD"/>
    <w:rsid w:val="75C31803"/>
    <w:rsid w:val="75C630A2"/>
    <w:rsid w:val="75C67E24"/>
    <w:rsid w:val="75C8506C"/>
    <w:rsid w:val="75CA04F1"/>
    <w:rsid w:val="75CB4B5C"/>
    <w:rsid w:val="75CF008B"/>
    <w:rsid w:val="75D25EEA"/>
    <w:rsid w:val="75D752AF"/>
    <w:rsid w:val="75DF5F11"/>
    <w:rsid w:val="75E33C54"/>
    <w:rsid w:val="75E8126A"/>
    <w:rsid w:val="75EA6D90"/>
    <w:rsid w:val="75EF0F06"/>
    <w:rsid w:val="75F06371"/>
    <w:rsid w:val="75F25C45"/>
    <w:rsid w:val="75F93477"/>
    <w:rsid w:val="75FE45EA"/>
    <w:rsid w:val="75FE6CDF"/>
    <w:rsid w:val="760140DA"/>
    <w:rsid w:val="76024A7F"/>
    <w:rsid w:val="760C31AA"/>
    <w:rsid w:val="7610431D"/>
    <w:rsid w:val="76120323"/>
    <w:rsid w:val="761262E7"/>
    <w:rsid w:val="7613626B"/>
    <w:rsid w:val="76157B85"/>
    <w:rsid w:val="761734C3"/>
    <w:rsid w:val="761C7166"/>
    <w:rsid w:val="76200A04"/>
    <w:rsid w:val="76206C56"/>
    <w:rsid w:val="762229CE"/>
    <w:rsid w:val="76263B40"/>
    <w:rsid w:val="76312C11"/>
    <w:rsid w:val="76341118"/>
    <w:rsid w:val="7634625D"/>
    <w:rsid w:val="763E532E"/>
    <w:rsid w:val="76465F91"/>
    <w:rsid w:val="76472434"/>
    <w:rsid w:val="764865EB"/>
    <w:rsid w:val="764A5A81"/>
    <w:rsid w:val="764A782F"/>
    <w:rsid w:val="764D19B8"/>
    <w:rsid w:val="765C7562"/>
    <w:rsid w:val="765E777E"/>
    <w:rsid w:val="765F7301"/>
    <w:rsid w:val="76673004"/>
    <w:rsid w:val="766823AB"/>
    <w:rsid w:val="766E5C13"/>
    <w:rsid w:val="76736211"/>
    <w:rsid w:val="76746FA2"/>
    <w:rsid w:val="76760624"/>
    <w:rsid w:val="767945B8"/>
    <w:rsid w:val="767A350B"/>
    <w:rsid w:val="767D197B"/>
    <w:rsid w:val="767E008B"/>
    <w:rsid w:val="767E397C"/>
    <w:rsid w:val="76880357"/>
    <w:rsid w:val="7688510D"/>
    <w:rsid w:val="768C7E47"/>
    <w:rsid w:val="768E0063"/>
    <w:rsid w:val="76927701"/>
    <w:rsid w:val="76937428"/>
    <w:rsid w:val="769413F2"/>
    <w:rsid w:val="76960CC6"/>
    <w:rsid w:val="76984A3E"/>
    <w:rsid w:val="769A6A08"/>
    <w:rsid w:val="769B008A"/>
    <w:rsid w:val="76A258BD"/>
    <w:rsid w:val="76A333E3"/>
    <w:rsid w:val="76A553AD"/>
    <w:rsid w:val="76A71125"/>
    <w:rsid w:val="76AA651F"/>
    <w:rsid w:val="76AB19E8"/>
    <w:rsid w:val="76AE24B4"/>
    <w:rsid w:val="76AE6010"/>
    <w:rsid w:val="76BD44A5"/>
    <w:rsid w:val="76BD6253"/>
    <w:rsid w:val="76C25A56"/>
    <w:rsid w:val="76C269AB"/>
    <w:rsid w:val="76C27D0D"/>
    <w:rsid w:val="76C37C6F"/>
    <w:rsid w:val="76CE1B2D"/>
    <w:rsid w:val="76D206BD"/>
    <w:rsid w:val="76D31F1A"/>
    <w:rsid w:val="76D33CC8"/>
    <w:rsid w:val="76D717A6"/>
    <w:rsid w:val="76D90FCE"/>
    <w:rsid w:val="76DA32A9"/>
    <w:rsid w:val="76DA5057"/>
    <w:rsid w:val="76DB2B7D"/>
    <w:rsid w:val="76DD06A3"/>
    <w:rsid w:val="76DE441B"/>
    <w:rsid w:val="76E131F8"/>
    <w:rsid w:val="76E45ED5"/>
    <w:rsid w:val="76E6765B"/>
    <w:rsid w:val="76E77774"/>
    <w:rsid w:val="76E97048"/>
    <w:rsid w:val="76EA1012"/>
    <w:rsid w:val="76ED1FB3"/>
    <w:rsid w:val="76F61765"/>
    <w:rsid w:val="76F62D49"/>
    <w:rsid w:val="76F65C09"/>
    <w:rsid w:val="76F679B7"/>
    <w:rsid w:val="76FB4FCD"/>
    <w:rsid w:val="76FD2AF3"/>
    <w:rsid w:val="770220A6"/>
    <w:rsid w:val="77043E82"/>
    <w:rsid w:val="77094221"/>
    <w:rsid w:val="77101B8D"/>
    <w:rsid w:val="771542E1"/>
    <w:rsid w:val="771A18F7"/>
    <w:rsid w:val="771C566F"/>
    <w:rsid w:val="771D36E6"/>
    <w:rsid w:val="771F319A"/>
    <w:rsid w:val="77274014"/>
    <w:rsid w:val="77274B25"/>
    <w:rsid w:val="772766B1"/>
    <w:rsid w:val="772938E8"/>
    <w:rsid w:val="77297EB7"/>
    <w:rsid w:val="772C33D8"/>
    <w:rsid w:val="772C5186"/>
    <w:rsid w:val="772D6C40"/>
    <w:rsid w:val="772E7150"/>
    <w:rsid w:val="77324E93"/>
    <w:rsid w:val="773504DF"/>
    <w:rsid w:val="7735567E"/>
    <w:rsid w:val="77364257"/>
    <w:rsid w:val="77387FCF"/>
    <w:rsid w:val="77426B90"/>
    <w:rsid w:val="774271E1"/>
    <w:rsid w:val="774C75D7"/>
    <w:rsid w:val="774D25F6"/>
    <w:rsid w:val="774E334F"/>
    <w:rsid w:val="775947BB"/>
    <w:rsid w:val="77597468"/>
    <w:rsid w:val="775A7F45"/>
    <w:rsid w:val="775D17E4"/>
    <w:rsid w:val="775F555C"/>
    <w:rsid w:val="77613082"/>
    <w:rsid w:val="77652D5E"/>
    <w:rsid w:val="77664B3C"/>
    <w:rsid w:val="776D5ECB"/>
    <w:rsid w:val="77707E71"/>
    <w:rsid w:val="77723F18"/>
    <w:rsid w:val="77735147"/>
    <w:rsid w:val="77762421"/>
    <w:rsid w:val="77784870"/>
    <w:rsid w:val="77796881"/>
    <w:rsid w:val="778154D2"/>
    <w:rsid w:val="7783749C"/>
    <w:rsid w:val="77846CDF"/>
    <w:rsid w:val="77846D70"/>
    <w:rsid w:val="778B00FF"/>
    <w:rsid w:val="778E33FA"/>
    <w:rsid w:val="778E7BEF"/>
    <w:rsid w:val="77901BB9"/>
    <w:rsid w:val="779276DF"/>
    <w:rsid w:val="77935205"/>
    <w:rsid w:val="779571D0"/>
    <w:rsid w:val="779A6594"/>
    <w:rsid w:val="779E0807"/>
    <w:rsid w:val="779F004E"/>
    <w:rsid w:val="779F3B61"/>
    <w:rsid w:val="77A15B74"/>
    <w:rsid w:val="77A45665"/>
    <w:rsid w:val="77AB69F3"/>
    <w:rsid w:val="77AD4519"/>
    <w:rsid w:val="77B6195A"/>
    <w:rsid w:val="77B95E16"/>
    <w:rsid w:val="77BA0F87"/>
    <w:rsid w:val="77BC475C"/>
    <w:rsid w:val="77C27899"/>
    <w:rsid w:val="77CB499F"/>
    <w:rsid w:val="77CC444C"/>
    <w:rsid w:val="77CD6969"/>
    <w:rsid w:val="77CF345E"/>
    <w:rsid w:val="77D53A70"/>
    <w:rsid w:val="77D655BF"/>
    <w:rsid w:val="77D777E8"/>
    <w:rsid w:val="77D96FB3"/>
    <w:rsid w:val="77E048EF"/>
    <w:rsid w:val="77E37AD6"/>
    <w:rsid w:val="77E421DC"/>
    <w:rsid w:val="77E77FA4"/>
    <w:rsid w:val="77EA751B"/>
    <w:rsid w:val="77ED2B68"/>
    <w:rsid w:val="77F32090"/>
    <w:rsid w:val="780103C1"/>
    <w:rsid w:val="78016613"/>
    <w:rsid w:val="780600CD"/>
    <w:rsid w:val="78063C29"/>
    <w:rsid w:val="7808174F"/>
    <w:rsid w:val="78085BF3"/>
    <w:rsid w:val="780B1240"/>
    <w:rsid w:val="780D4FB8"/>
    <w:rsid w:val="780F09F4"/>
    <w:rsid w:val="78153E6C"/>
    <w:rsid w:val="78186399"/>
    <w:rsid w:val="781A1483"/>
    <w:rsid w:val="781C169F"/>
    <w:rsid w:val="782B18E2"/>
    <w:rsid w:val="782D565A"/>
    <w:rsid w:val="782F1C1A"/>
    <w:rsid w:val="7831514A"/>
    <w:rsid w:val="78324A1E"/>
    <w:rsid w:val="78342545"/>
    <w:rsid w:val="78397B5B"/>
    <w:rsid w:val="783C1535"/>
    <w:rsid w:val="78435FB8"/>
    <w:rsid w:val="78454752"/>
    <w:rsid w:val="784F02E1"/>
    <w:rsid w:val="7851759A"/>
    <w:rsid w:val="785229A8"/>
    <w:rsid w:val="785901FD"/>
    <w:rsid w:val="785E75C1"/>
    <w:rsid w:val="785F0F7A"/>
    <w:rsid w:val="7860333A"/>
    <w:rsid w:val="7866354D"/>
    <w:rsid w:val="786B1CDE"/>
    <w:rsid w:val="7875549E"/>
    <w:rsid w:val="78760DAF"/>
    <w:rsid w:val="78793171"/>
    <w:rsid w:val="787943FB"/>
    <w:rsid w:val="787D20B0"/>
    <w:rsid w:val="787E5EB6"/>
    <w:rsid w:val="78810287"/>
    <w:rsid w:val="78824593"/>
    <w:rsid w:val="788860C0"/>
    <w:rsid w:val="788A6608"/>
    <w:rsid w:val="788D434B"/>
    <w:rsid w:val="788F1E71"/>
    <w:rsid w:val="788F3C1F"/>
    <w:rsid w:val="789254BD"/>
    <w:rsid w:val="78964FAD"/>
    <w:rsid w:val="789C4F47"/>
    <w:rsid w:val="789C633C"/>
    <w:rsid w:val="78A11715"/>
    <w:rsid w:val="78A37DFC"/>
    <w:rsid w:val="78A551F0"/>
    <w:rsid w:val="78A90480"/>
    <w:rsid w:val="78AC0BE6"/>
    <w:rsid w:val="78B1554E"/>
    <w:rsid w:val="78B35B5F"/>
    <w:rsid w:val="78B43685"/>
    <w:rsid w:val="78BD69DE"/>
    <w:rsid w:val="78C31B1A"/>
    <w:rsid w:val="78C57641"/>
    <w:rsid w:val="78C7785D"/>
    <w:rsid w:val="78CA0651"/>
    <w:rsid w:val="78CA4586"/>
    <w:rsid w:val="78CC351E"/>
    <w:rsid w:val="78D35BBD"/>
    <w:rsid w:val="78D36201"/>
    <w:rsid w:val="78D37FAF"/>
    <w:rsid w:val="78D646F6"/>
    <w:rsid w:val="78D67AA0"/>
    <w:rsid w:val="78DA7590"/>
    <w:rsid w:val="78E0447A"/>
    <w:rsid w:val="78E163DA"/>
    <w:rsid w:val="78E20A03"/>
    <w:rsid w:val="78E26444"/>
    <w:rsid w:val="78E30EC4"/>
    <w:rsid w:val="78E8315E"/>
    <w:rsid w:val="78F10436"/>
    <w:rsid w:val="78F36279"/>
    <w:rsid w:val="78F65A4C"/>
    <w:rsid w:val="78F817C4"/>
    <w:rsid w:val="78F9201C"/>
    <w:rsid w:val="78F92F18"/>
    <w:rsid w:val="78FD0B56"/>
    <w:rsid w:val="7904104F"/>
    <w:rsid w:val="790463BB"/>
    <w:rsid w:val="7906211F"/>
    <w:rsid w:val="790939D1"/>
    <w:rsid w:val="790A14F7"/>
    <w:rsid w:val="790D1571"/>
    <w:rsid w:val="79122B54"/>
    <w:rsid w:val="791650FE"/>
    <w:rsid w:val="791660EE"/>
    <w:rsid w:val="79175833"/>
    <w:rsid w:val="7919798C"/>
    <w:rsid w:val="791B3704"/>
    <w:rsid w:val="791B4D50"/>
    <w:rsid w:val="791D747D"/>
    <w:rsid w:val="791F1447"/>
    <w:rsid w:val="79246A5D"/>
    <w:rsid w:val="79297BCF"/>
    <w:rsid w:val="792A1B99"/>
    <w:rsid w:val="792C4CC9"/>
    <w:rsid w:val="792F0F5E"/>
    <w:rsid w:val="79312F28"/>
    <w:rsid w:val="79330A4E"/>
    <w:rsid w:val="79350C82"/>
    <w:rsid w:val="79352A18"/>
    <w:rsid w:val="7936053E"/>
    <w:rsid w:val="79394A97"/>
    <w:rsid w:val="793B7903"/>
    <w:rsid w:val="7940316B"/>
    <w:rsid w:val="79404F19"/>
    <w:rsid w:val="79426EE3"/>
    <w:rsid w:val="79442C5B"/>
    <w:rsid w:val="79490AB5"/>
    <w:rsid w:val="794C38BE"/>
    <w:rsid w:val="794E7636"/>
    <w:rsid w:val="79507900"/>
    <w:rsid w:val="79594081"/>
    <w:rsid w:val="7967694A"/>
    <w:rsid w:val="796B49DC"/>
    <w:rsid w:val="796D289A"/>
    <w:rsid w:val="796E46DA"/>
    <w:rsid w:val="797057FE"/>
    <w:rsid w:val="79717E77"/>
    <w:rsid w:val="7973484F"/>
    <w:rsid w:val="7973709D"/>
    <w:rsid w:val="79752E15"/>
    <w:rsid w:val="79761652"/>
    <w:rsid w:val="79780B57"/>
    <w:rsid w:val="797A042B"/>
    <w:rsid w:val="797C0647"/>
    <w:rsid w:val="797C23F5"/>
    <w:rsid w:val="79811327"/>
    <w:rsid w:val="798219D5"/>
    <w:rsid w:val="79863274"/>
    <w:rsid w:val="79876FEC"/>
    <w:rsid w:val="798C63B0"/>
    <w:rsid w:val="798D4602"/>
    <w:rsid w:val="798E3ED6"/>
    <w:rsid w:val="798E437D"/>
    <w:rsid w:val="79905EA0"/>
    <w:rsid w:val="799314ED"/>
    <w:rsid w:val="79935991"/>
    <w:rsid w:val="79951709"/>
    <w:rsid w:val="79974728"/>
    <w:rsid w:val="79983E20"/>
    <w:rsid w:val="799D236B"/>
    <w:rsid w:val="79A11E5C"/>
    <w:rsid w:val="79A74F98"/>
    <w:rsid w:val="79A8143C"/>
    <w:rsid w:val="79A90CAB"/>
    <w:rsid w:val="79AC0800"/>
    <w:rsid w:val="79B0209F"/>
    <w:rsid w:val="79B43D9D"/>
    <w:rsid w:val="79B74AA6"/>
    <w:rsid w:val="79B778D1"/>
    <w:rsid w:val="79B86634"/>
    <w:rsid w:val="79BE0C60"/>
    <w:rsid w:val="79C03F87"/>
    <w:rsid w:val="79C124FE"/>
    <w:rsid w:val="79C7027F"/>
    <w:rsid w:val="79CE69C9"/>
    <w:rsid w:val="79D02741"/>
    <w:rsid w:val="79D33FDF"/>
    <w:rsid w:val="79D42231"/>
    <w:rsid w:val="79D45972"/>
    <w:rsid w:val="79D7587D"/>
    <w:rsid w:val="79DB76E8"/>
    <w:rsid w:val="79DC2E94"/>
    <w:rsid w:val="79DE4E5E"/>
    <w:rsid w:val="79DF4732"/>
    <w:rsid w:val="79E104AA"/>
    <w:rsid w:val="79E24222"/>
    <w:rsid w:val="79E838CA"/>
    <w:rsid w:val="79E93803"/>
    <w:rsid w:val="79ED50A1"/>
    <w:rsid w:val="79EE0E19"/>
    <w:rsid w:val="79F24465"/>
    <w:rsid w:val="79F62EF9"/>
    <w:rsid w:val="79F703FC"/>
    <w:rsid w:val="79F71A7C"/>
    <w:rsid w:val="79FC52E4"/>
    <w:rsid w:val="79FE72AE"/>
    <w:rsid w:val="7A0A5C53"/>
    <w:rsid w:val="7A137FC7"/>
    <w:rsid w:val="7A1C7734"/>
    <w:rsid w:val="7A1E16FE"/>
    <w:rsid w:val="7A1F0FD2"/>
    <w:rsid w:val="7A22231A"/>
    <w:rsid w:val="7A24780B"/>
    <w:rsid w:val="7A252A8D"/>
    <w:rsid w:val="7A274CFC"/>
    <w:rsid w:val="7A2A3180"/>
    <w:rsid w:val="7A2B5BC9"/>
    <w:rsid w:val="7A2D7B93"/>
    <w:rsid w:val="7A2F56B9"/>
    <w:rsid w:val="7A316DFD"/>
    <w:rsid w:val="7A364017"/>
    <w:rsid w:val="7A3A5144"/>
    <w:rsid w:val="7A3B22B0"/>
    <w:rsid w:val="7A3E3B4E"/>
    <w:rsid w:val="7A4078C7"/>
    <w:rsid w:val="7A41719B"/>
    <w:rsid w:val="7A432F13"/>
    <w:rsid w:val="7A4647B1"/>
    <w:rsid w:val="7A4656A2"/>
    <w:rsid w:val="7A48677B"/>
    <w:rsid w:val="7A4B626B"/>
    <w:rsid w:val="7A4E0C93"/>
    <w:rsid w:val="7A505630"/>
    <w:rsid w:val="7A5E1AFB"/>
    <w:rsid w:val="7A665F33"/>
    <w:rsid w:val="7A6660F8"/>
    <w:rsid w:val="7A680BCB"/>
    <w:rsid w:val="7A6A426A"/>
    <w:rsid w:val="7A6B1967"/>
    <w:rsid w:val="7A6D48C0"/>
    <w:rsid w:val="7A6F3D08"/>
    <w:rsid w:val="7A70182E"/>
    <w:rsid w:val="7A715CD2"/>
    <w:rsid w:val="7A7C3632"/>
    <w:rsid w:val="7A7C6425"/>
    <w:rsid w:val="7A8265E1"/>
    <w:rsid w:val="7A886347"/>
    <w:rsid w:val="7A903C7E"/>
    <w:rsid w:val="7A9574D4"/>
    <w:rsid w:val="7A9B4AFD"/>
    <w:rsid w:val="7AA240DD"/>
    <w:rsid w:val="7AAA2F92"/>
    <w:rsid w:val="7AAC11BF"/>
    <w:rsid w:val="7AB07CD4"/>
    <w:rsid w:val="7AB21E46"/>
    <w:rsid w:val="7AB94F83"/>
    <w:rsid w:val="7ABE0549"/>
    <w:rsid w:val="7AC04563"/>
    <w:rsid w:val="7AC314BE"/>
    <w:rsid w:val="7AC322A6"/>
    <w:rsid w:val="7AC57DCC"/>
    <w:rsid w:val="7ACF0C4A"/>
    <w:rsid w:val="7AD65B35"/>
    <w:rsid w:val="7AD7365B"/>
    <w:rsid w:val="7AD86316"/>
    <w:rsid w:val="7ADB75EF"/>
    <w:rsid w:val="7ADF6323"/>
    <w:rsid w:val="7AE475C4"/>
    <w:rsid w:val="7AE9497B"/>
    <w:rsid w:val="7AF10BC1"/>
    <w:rsid w:val="7AF4245F"/>
    <w:rsid w:val="7AF91C89"/>
    <w:rsid w:val="7AFA2D33"/>
    <w:rsid w:val="7B002BB2"/>
    <w:rsid w:val="7B007056"/>
    <w:rsid w:val="7B0613DB"/>
    <w:rsid w:val="7B09415C"/>
    <w:rsid w:val="7B0A57DF"/>
    <w:rsid w:val="7B14665D"/>
    <w:rsid w:val="7B1B3E90"/>
    <w:rsid w:val="7B1B5C3E"/>
    <w:rsid w:val="7B1D5512"/>
    <w:rsid w:val="7B1E49F7"/>
    <w:rsid w:val="7B1F572E"/>
    <w:rsid w:val="7B205002"/>
    <w:rsid w:val="7B222BFA"/>
    <w:rsid w:val="7B29035B"/>
    <w:rsid w:val="7B2A7C2F"/>
    <w:rsid w:val="7B2C3224"/>
    <w:rsid w:val="7B3650A3"/>
    <w:rsid w:val="7B3B410F"/>
    <w:rsid w:val="7B42766E"/>
    <w:rsid w:val="7B43689E"/>
    <w:rsid w:val="7B4738E3"/>
    <w:rsid w:val="7B486307"/>
    <w:rsid w:val="7B4E1B6F"/>
    <w:rsid w:val="7B4E6013"/>
    <w:rsid w:val="7B537186"/>
    <w:rsid w:val="7B5770BD"/>
    <w:rsid w:val="7B5829EE"/>
    <w:rsid w:val="7B58479C"/>
    <w:rsid w:val="7B5E1E17"/>
    <w:rsid w:val="7B5E43AD"/>
    <w:rsid w:val="7B6018A2"/>
    <w:rsid w:val="7B6249F8"/>
    <w:rsid w:val="7B6479E6"/>
    <w:rsid w:val="7B686D42"/>
    <w:rsid w:val="7B6969A9"/>
    <w:rsid w:val="7B6A54D9"/>
    <w:rsid w:val="7B6C0247"/>
    <w:rsid w:val="7B727A53"/>
    <w:rsid w:val="7B74267B"/>
    <w:rsid w:val="7B7470FC"/>
    <w:rsid w:val="7B7A0FC8"/>
    <w:rsid w:val="7B7A2A36"/>
    <w:rsid w:val="7B7D06A6"/>
    <w:rsid w:val="7B7D1600"/>
    <w:rsid w:val="7B7F61CD"/>
    <w:rsid w:val="7B811F45"/>
    <w:rsid w:val="7B841746"/>
    <w:rsid w:val="7B86755B"/>
    <w:rsid w:val="7B8B207E"/>
    <w:rsid w:val="7B8B4B71"/>
    <w:rsid w:val="7B8D7AD7"/>
    <w:rsid w:val="7B901128"/>
    <w:rsid w:val="7B917878"/>
    <w:rsid w:val="7B925FE7"/>
    <w:rsid w:val="7B98103C"/>
    <w:rsid w:val="7B9A3A6E"/>
    <w:rsid w:val="7B9A4DB4"/>
    <w:rsid w:val="7B9A4F9A"/>
    <w:rsid w:val="7B9D6653"/>
    <w:rsid w:val="7BA14395"/>
    <w:rsid w:val="7BA53E28"/>
    <w:rsid w:val="7BA63759"/>
    <w:rsid w:val="7BA93249"/>
    <w:rsid w:val="7BA94FF8"/>
    <w:rsid w:val="7BAE0225"/>
    <w:rsid w:val="7BB16806"/>
    <w:rsid w:val="7BBD0AA3"/>
    <w:rsid w:val="7BBD7749"/>
    <w:rsid w:val="7BC72716"/>
    <w:rsid w:val="7BCE0F02"/>
    <w:rsid w:val="7BD3786A"/>
    <w:rsid w:val="7BD37981"/>
    <w:rsid w:val="7BD5403F"/>
    <w:rsid w:val="7BD55DED"/>
    <w:rsid w:val="7BD61B65"/>
    <w:rsid w:val="7BD8369B"/>
    <w:rsid w:val="7BD858DD"/>
    <w:rsid w:val="7BDA78A7"/>
    <w:rsid w:val="7BDC717B"/>
    <w:rsid w:val="7BDE5DCC"/>
    <w:rsid w:val="7BE01E2D"/>
    <w:rsid w:val="7BE55C9F"/>
    <w:rsid w:val="7BE6624C"/>
    <w:rsid w:val="7BEB1AB4"/>
    <w:rsid w:val="7BF6580F"/>
    <w:rsid w:val="7BFA3C79"/>
    <w:rsid w:val="7C00348C"/>
    <w:rsid w:val="7C0045FA"/>
    <w:rsid w:val="7C013085"/>
    <w:rsid w:val="7C04545E"/>
    <w:rsid w:val="7C0473F0"/>
    <w:rsid w:val="7C06069C"/>
    <w:rsid w:val="7C075F3B"/>
    <w:rsid w:val="7C1032C9"/>
    <w:rsid w:val="7C120DEF"/>
    <w:rsid w:val="7C1508DF"/>
    <w:rsid w:val="7C1B0ED7"/>
    <w:rsid w:val="7C1C3A1B"/>
    <w:rsid w:val="7C1F350C"/>
    <w:rsid w:val="7C2154D6"/>
    <w:rsid w:val="7C246915"/>
    <w:rsid w:val="7C2823C0"/>
    <w:rsid w:val="7C2B1EB0"/>
    <w:rsid w:val="7C31692C"/>
    <w:rsid w:val="7C330D65"/>
    <w:rsid w:val="7C3F3BAE"/>
    <w:rsid w:val="7C464F3C"/>
    <w:rsid w:val="7C484810"/>
    <w:rsid w:val="7C4A67DB"/>
    <w:rsid w:val="7C4B4301"/>
    <w:rsid w:val="7C4B60AF"/>
    <w:rsid w:val="7C4C69A8"/>
    <w:rsid w:val="7C4F3DF1"/>
    <w:rsid w:val="7C5076B5"/>
    <w:rsid w:val="7C5A2FCC"/>
    <w:rsid w:val="7C5E5DE2"/>
    <w:rsid w:val="7C611D76"/>
    <w:rsid w:val="7C63789C"/>
    <w:rsid w:val="7C644183"/>
    <w:rsid w:val="7C644564"/>
    <w:rsid w:val="7C653614"/>
    <w:rsid w:val="7C6D071B"/>
    <w:rsid w:val="7C6F6241"/>
    <w:rsid w:val="7C701FB9"/>
    <w:rsid w:val="7C730E76"/>
    <w:rsid w:val="7C743857"/>
    <w:rsid w:val="7C773348"/>
    <w:rsid w:val="7C7F3FAA"/>
    <w:rsid w:val="7C857813"/>
    <w:rsid w:val="7C896BD7"/>
    <w:rsid w:val="7C8D3F98"/>
    <w:rsid w:val="7C943EFA"/>
    <w:rsid w:val="7C950E2A"/>
    <w:rsid w:val="7C952014"/>
    <w:rsid w:val="7C961A20"/>
    <w:rsid w:val="7C9663A3"/>
    <w:rsid w:val="7C9712F4"/>
    <w:rsid w:val="7C98391B"/>
    <w:rsid w:val="7C9C6796"/>
    <w:rsid w:val="7C9E6B26"/>
    <w:rsid w:val="7CA103C5"/>
    <w:rsid w:val="7CA52E86"/>
    <w:rsid w:val="7CA67789"/>
    <w:rsid w:val="7CA83501"/>
    <w:rsid w:val="7CAA1027"/>
    <w:rsid w:val="7CB00608"/>
    <w:rsid w:val="7CB579CC"/>
    <w:rsid w:val="7CB9570E"/>
    <w:rsid w:val="7CBC0D5A"/>
    <w:rsid w:val="7CBC51FE"/>
    <w:rsid w:val="7CCA3477"/>
    <w:rsid w:val="7CCC5441"/>
    <w:rsid w:val="7CCF0A8E"/>
    <w:rsid w:val="7CCF4C6B"/>
    <w:rsid w:val="7CD10CAA"/>
    <w:rsid w:val="7CD2057E"/>
    <w:rsid w:val="7CD20D82"/>
    <w:rsid w:val="7CDE5175"/>
    <w:rsid w:val="7CE00EED"/>
    <w:rsid w:val="7CE26411"/>
    <w:rsid w:val="7CE309DD"/>
    <w:rsid w:val="7CE34539"/>
    <w:rsid w:val="7CE502B1"/>
    <w:rsid w:val="7CE7227B"/>
    <w:rsid w:val="7CEA3B1A"/>
    <w:rsid w:val="7CEC561B"/>
    <w:rsid w:val="7CED7B72"/>
    <w:rsid w:val="7CF36423"/>
    <w:rsid w:val="7CF46746"/>
    <w:rsid w:val="7CF93D5D"/>
    <w:rsid w:val="7CFB7AD5"/>
    <w:rsid w:val="7D0239FF"/>
    <w:rsid w:val="7D027841"/>
    <w:rsid w:val="7D034BDB"/>
    <w:rsid w:val="7D0428EB"/>
    <w:rsid w:val="7D0467C0"/>
    <w:rsid w:val="7D0A41BC"/>
    <w:rsid w:val="7D0A66E9"/>
    <w:rsid w:val="7D0D15B6"/>
    <w:rsid w:val="7D0E1EA7"/>
    <w:rsid w:val="7D11554A"/>
    <w:rsid w:val="7D115EA6"/>
    <w:rsid w:val="7D142945"/>
    <w:rsid w:val="7D146DE8"/>
    <w:rsid w:val="7D180687"/>
    <w:rsid w:val="7D1F7C67"/>
    <w:rsid w:val="7D21405B"/>
    <w:rsid w:val="7D225061"/>
    <w:rsid w:val="7D23702C"/>
    <w:rsid w:val="7D252DA4"/>
    <w:rsid w:val="7D284642"/>
    <w:rsid w:val="7D311CF4"/>
    <w:rsid w:val="7D33726F"/>
    <w:rsid w:val="7D342FE7"/>
    <w:rsid w:val="7D344D95"/>
    <w:rsid w:val="7D37575A"/>
    <w:rsid w:val="7D3905FD"/>
    <w:rsid w:val="7D3D2AA8"/>
    <w:rsid w:val="7D3F0F24"/>
    <w:rsid w:val="7D4274B2"/>
    <w:rsid w:val="7D450D50"/>
    <w:rsid w:val="7D472D1A"/>
    <w:rsid w:val="7D513B99"/>
    <w:rsid w:val="7D515947"/>
    <w:rsid w:val="7D52346D"/>
    <w:rsid w:val="7D580A83"/>
    <w:rsid w:val="7D5B67C5"/>
    <w:rsid w:val="7D5E40CD"/>
    <w:rsid w:val="7D605B8A"/>
    <w:rsid w:val="7D637428"/>
    <w:rsid w:val="7D6438CC"/>
    <w:rsid w:val="7D645601"/>
    <w:rsid w:val="7D6500F5"/>
    <w:rsid w:val="7D6531A0"/>
    <w:rsid w:val="7D693BED"/>
    <w:rsid w:val="7D694C7C"/>
    <w:rsid w:val="7D6C2781"/>
    <w:rsid w:val="7D7004C3"/>
    <w:rsid w:val="7D705BFF"/>
    <w:rsid w:val="7D711B45"/>
    <w:rsid w:val="7D761851"/>
    <w:rsid w:val="7D781125"/>
    <w:rsid w:val="7D7D04EA"/>
    <w:rsid w:val="7D824B7F"/>
    <w:rsid w:val="7D8950E1"/>
    <w:rsid w:val="7D8E7BDF"/>
    <w:rsid w:val="7D8F0799"/>
    <w:rsid w:val="7D944F65"/>
    <w:rsid w:val="7D9558DE"/>
    <w:rsid w:val="7D957F29"/>
    <w:rsid w:val="7D983576"/>
    <w:rsid w:val="7D9B2E98"/>
    <w:rsid w:val="7D9B3066"/>
    <w:rsid w:val="7D9D6DDE"/>
    <w:rsid w:val="7D9F0BCB"/>
    <w:rsid w:val="7DA0067C"/>
    <w:rsid w:val="7DA61F6B"/>
    <w:rsid w:val="7DAC3C93"/>
    <w:rsid w:val="7DB06B11"/>
    <w:rsid w:val="7DB3215D"/>
    <w:rsid w:val="7DB859C6"/>
    <w:rsid w:val="7DB92447"/>
    <w:rsid w:val="7DBA7990"/>
    <w:rsid w:val="7DC10D1E"/>
    <w:rsid w:val="7DC51888"/>
    <w:rsid w:val="7DC600E3"/>
    <w:rsid w:val="7DC92BE0"/>
    <w:rsid w:val="7DCB394B"/>
    <w:rsid w:val="7DCE51E9"/>
    <w:rsid w:val="7DD37B87"/>
    <w:rsid w:val="7DD44EEC"/>
    <w:rsid w:val="7DD722F0"/>
    <w:rsid w:val="7DD81BC4"/>
    <w:rsid w:val="7DD86068"/>
    <w:rsid w:val="7DDE34B5"/>
    <w:rsid w:val="7DDF2F52"/>
    <w:rsid w:val="7DEB7B49"/>
    <w:rsid w:val="7DF10ED8"/>
    <w:rsid w:val="7DF12C86"/>
    <w:rsid w:val="7DF34C50"/>
    <w:rsid w:val="7DFA5FDE"/>
    <w:rsid w:val="7E024E93"/>
    <w:rsid w:val="7E040C0B"/>
    <w:rsid w:val="7E052BDE"/>
    <w:rsid w:val="7E057D7A"/>
    <w:rsid w:val="7E094473"/>
    <w:rsid w:val="7E0B440B"/>
    <w:rsid w:val="7E0D5D12"/>
    <w:rsid w:val="7E0E55E6"/>
    <w:rsid w:val="7E132BFC"/>
    <w:rsid w:val="7E1532BF"/>
    <w:rsid w:val="7E156974"/>
    <w:rsid w:val="7E1846B6"/>
    <w:rsid w:val="7E186CB2"/>
    <w:rsid w:val="7E1A042F"/>
    <w:rsid w:val="7E1A6BBD"/>
    <w:rsid w:val="7E1B52D0"/>
    <w:rsid w:val="7E1D118B"/>
    <w:rsid w:val="7E1D624C"/>
    <w:rsid w:val="7E2117BD"/>
    <w:rsid w:val="7E24305B"/>
    <w:rsid w:val="7E246BF6"/>
    <w:rsid w:val="7E2E3EDA"/>
    <w:rsid w:val="7E2E5C88"/>
    <w:rsid w:val="7E301A00"/>
    <w:rsid w:val="7E3111DC"/>
    <w:rsid w:val="7E371D41"/>
    <w:rsid w:val="7E3C666E"/>
    <w:rsid w:val="7E3D5ECB"/>
    <w:rsid w:val="7E3E411D"/>
    <w:rsid w:val="7E462FD2"/>
    <w:rsid w:val="7E480F82"/>
    <w:rsid w:val="7E4D6024"/>
    <w:rsid w:val="7E4E04C2"/>
    <w:rsid w:val="7E50377C"/>
    <w:rsid w:val="7E5356EF"/>
    <w:rsid w:val="7E5637D7"/>
    <w:rsid w:val="7E58122B"/>
    <w:rsid w:val="7E5A4CCF"/>
    <w:rsid w:val="7E5D031B"/>
    <w:rsid w:val="7E5F4093"/>
    <w:rsid w:val="7E5F7640"/>
    <w:rsid w:val="7E6873EC"/>
    <w:rsid w:val="7E6D1E3F"/>
    <w:rsid w:val="7E6D67B0"/>
    <w:rsid w:val="7E722019"/>
    <w:rsid w:val="7E7358D0"/>
    <w:rsid w:val="7E762DB4"/>
    <w:rsid w:val="7E7A0ECD"/>
    <w:rsid w:val="7E7B3C1E"/>
    <w:rsid w:val="7E7C69F3"/>
    <w:rsid w:val="7E7F64E4"/>
    <w:rsid w:val="7E8104AE"/>
    <w:rsid w:val="7E81225C"/>
    <w:rsid w:val="7E8458A8"/>
    <w:rsid w:val="7E865AC4"/>
    <w:rsid w:val="7E891110"/>
    <w:rsid w:val="7E8A1149"/>
    <w:rsid w:val="7E8A55B4"/>
    <w:rsid w:val="7E8B30DA"/>
    <w:rsid w:val="7E8D6E52"/>
    <w:rsid w:val="7E8E4F55"/>
    <w:rsid w:val="7E9401E1"/>
    <w:rsid w:val="7E97382D"/>
    <w:rsid w:val="7E99373B"/>
    <w:rsid w:val="7EA30424"/>
    <w:rsid w:val="7EA33FDE"/>
    <w:rsid w:val="7EA40AE0"/>
    <w:rsid w:val="7EA45F4A"/>
    <w:rsid w:val="7EA5419C"/>
    <w:rsid w:val="7EAB552B"/>
    <w:rsid w:val="7EB264E4"/>
    <w:rsid w:val="7EB27693"/>
    <w:rsid w:val="7EB42631"/>
    <w:rsid w:val="7EB56F67"/>
    <w:rsid w:val="7EB837A6"/>
    <w:rsid w:val="7EBB6578"/>
    <w:rsid w:val="7EC02D84"/>
    <w:rsid w:val="7EC31FF2"/>
    <w:rsid w:val="7EC64112"/>
    <w:rsid w:val="7EC65EC0"/>
    <w:rsid w:val="7EC860DC"/>
    <w:rsid w:val="7ECD36F3"/>
    <w:rsid w:val="7ECD54A1"/>
    <w:rsid w:val="7ED455CC"/>
    <w:rsid w:val="7ED4682F"/>
    <w:rsid w:val="7ED71E7C"/>
    <w:rsid w:val="7ED92098"/>
    <w:rsid w:val="7ED92904"/>
    <w:rsid w:val="7EE527EB"/>
    <w:rsid w:val="7EEF18BB"/>
    <w:rsid w:val="7EF42A2E"/>
    <w:rsid w:val="7EF961DF"/>
    <w:rsid w:val="7EFE1AFE"/>
    <w:rsid w:val="7F0215EE"/>
    <w:rsid w:val="7F0709B3"/>
    <w:rsid w:val="7F076C05"/>
    <w:rsid w:val="7F0A6D29"/>
    <w:rsid w:val="7F0B7D77"/>
    <w:rsid w:val="7F10538E"/>
    <w:rsid w:val="7F1135E0"/>
    <w:rsid w:val="7F1429AC"/>
    <w:rsid w:val="7F1629A4"/>
    <w:rsid w:val="7F1950C0"/>
    <w:rsid w:val="7F196938"/>
    <w:rsid w:val="7F231565"/>
    <w:rsid w:val="7F236931"/>
    <w:rsid w:val="7F250E39"/>
    <w:rsid w:val="7F264BB1"/>
    <w:rsid w:val="7F2A28F3"/>
    <w:rsid w:val="7F2D4191"/>
    <w:rsid w:val="7F2D7CEE"/>
    <w:rsid w:val="7F3124A9"/>
    <w:rsid w:val="7F3217A8"/>
    <w:rsid w:val="7F364DF4"/>
    <w:rsid w:val="7F3E639F"/>
    <w:rsid w:val="7F405C73"/>
    <w:rsid w:val="7F4219EB"/>
    <w:rsid w:val="7F435763"/>
    <w:rsid w:val="7F437511"/>
    <w:rsid w:val="7F4A08A0"/>
    <w:rsid w:val="7F4C0ABC"/>
    <w:rsid w:val="7F4C4618"/>
    <w:rsid w:val="7F57023D"/>
    <w:rsid w:val="7F597551"/>
    <w:rsid w:val="7F5C7D12"/>
    <w:rsid w:val="7F604567"/>
    <w:rsid w:val="7F607B23"/>
    <w:rsid w:val="7F625BE9"/>
    <w:rsid w:val="7F686F78"/>
    <w:rsid w:val="7F6A7224"/>
    <w:rsid w:val="7F6C6A68"/>
    <w:rsid w:val="7F6F0306"/>
    <w:rsid w:val="7F7A0869"/>
    <w:rsid w:val="7F7D0C75"/>
    <w:rsid w:val="7F7D2A23"/>
    <w:rsid w:val="7F7E49ED"/>
    <w:rsid w:val="7F7F7177"/>
    <w:rsid w:val="7F800765"/>
    <w:rsid w:val="7F89586C"/>
    <w:rsid w:val="7F916650"/>
    <w:rsid w:val="7F9D1317"/>
    <w:rsid w:val="7F9F508F"/>
    <w:rsid w:val="7F9F6E3D"/>
    <w:rsid w:val="7FA12C09"/>
    <w:rsid w:val="7FA1658D"/>
    <w:rsid w:val="7FA206DC"/>
    <w:rsid w:val="7FA2692E"/>
    <w:rsid w:val="7FA44454"/>
    <w:rsid w:val="7FA44DC6"/>
    <w:rsid w:val="7FA53D28"/>
    <w:rsid w:val="7FA7216F"/>
    <w:rsid w:val="7FA91A6A"/>
    <w:rsid w:val="7FA96067"/>
    <w:rsid w:val="7FB34697"/>
    <w:rsid w:val="7FB421BD"/>
    <w:rsid w:val="7FB83A5B"/>
    <w:rsid w:val="7FB87EFF"/>
    <w:rsid w:val="7FBA05E0"/>
    <w:rsid w:val="7FBB179D"/>
    <w:rsid w:val="7FBD3767"/>
    <w:rsid w:val="7FBE40A5"/>
    <w:rsid w:val="7FBE43E0"/>
    <w:rsid w:val="7FC37379"/>
    <w:rsid w:val="7FC44AF6"/>
    <w:rsid w:val="7FC66CD0"/>
    <w:rsid w:val="7FCC39AA"/>
    <w:rsid w:val="7FD5285F"/>
    <w:rsid w:val="7FD64829"/>
    <w:rsid w:val="7FD85EAB"/>
    <w:rsid w:val="7FDB04BF"/>
    <w:rsid w:val="7FDC1E3F"/>
    <w:rsid w:val="7FDF527F"/>
    <w:rsid w:val="7FE24F7C"/>
    <w:rsid w:val="7FE42AA2"/>
    <w:rsid w:val="7FE47E50"/>
    <w:rsid w:val="7FE76BED"/>
    <w:rsid w:val="7FE80AE4"/>
    <w:rsid w:val="7FE9630A"/>
    <w:rsid w:val="7FEE3921"/>
    <w:rsid w:val="7FF57F11"/>
    <w:rsid w:val="7FF75AFE"/>
    <w:rsid w:val="7FFE74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38"/>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39"/>
    <w:autoRedefine/>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autoRedefine/>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autoRedefine/>
    <w:qFormat/>
    <w:locked/>
    <w:uiPriority w:val="99"/>
    <w:pPr>
      <w:keepNext/>
      <w:keepLines/>
      <w:numPr>
        <w:ilvl w:val="3"/>
        <w:numId w:val="1"/>
      </w:numPr>
      <w:ind w:left="0" w:firstLine="0"/>
      <w:jc w:val="left"/>
      <w:outlineLvl w:val="3"/>
    </w:pPr>
    <w:rPr>
      <w:b/>
      <w:bCs/>
      <w:szCs w:val="28"/>
    </w:rPr>
  </w:style>
  <w:style w:type="character" w:default="1" w:styleId="36">
    <w:name w:val="Default Paragraph Font"/>
    <w:autoRedefine/>
    <w:semiHidden/>
    <w:unhideWhenUsed/>
    <w:qFormat/>
    <w:uiPriority w:val="1"/>
  </w:style>
  <w:style w:type="table" w:default="1" w:styleId="34">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52"/>
    <w:autoRedefine/>
    <w:qFormat/>
    <w:uiPriority w:val="0"/>
    <w:pPr>
      <w:widowControl/>
      <w:snapToGrid w:val="0"/>
      <w:spacing w:before="60" w:after="160" w:line="259" w:lineRule="auto"/>
      <w:ind w:right="113"/>
    </w:pPr>
    <w:rPr>
      <w:kern w:val="0"/>
      <w:sz w:val="18"/>
      <w:szCs w:val="18"/>
    </w:rPr>
  </w:style>
  <w:style w:type="paragraph" w:customStyle="1" w:styleId="3">
    <w:name w:val="Normal (Web)1"/>
    <w:basedOn w:val="1"/>
    <w:next w:val="4"/>
    <w:autoRedefine/>
    <w:qFormat/>
    <w:uiPriority w:val="0"/>
    <w:pPr>
      <w:widowControl/>
    </w:pPr>
    <w:rPr>
      <w:rFonts w:ascii="宋体"/>
      <w:sz w:val="24"/>
      <w:szCs w:val="21"/>
    </w:rPr>
  </w:style>
  <w:style w:type="paragraph" w:customStyle="1" w:styleId="4">
    <w:name w:val="Date1"/>
    <w:basedOn w:val="1"/>
    <w:next w:val="1"/>
    <w:autoRedefine/>
    <w:qFormat/>
    <w:uiPriority w:val="0"/>
    <w:pPr>
      <w:ind w:left="2500" w:leftChars="2500"/>
    </w:pPr>
  </w:style>
  <w:style w:type="paragraph" w:styleId="9">
    <w:name w:val="Normal Indent"/>
    <w:basedOn w:val="1"/>
    <w:next w:val="2"/>
    <w:autoRedefine/>
    <w:qFormat/>
    <w:uiPriority w:val="0"/>
    <w:pPr>
      <w:spacing w:line="460" w:lineRule="atLeast"/>
      <w:ind w:firstLine="420"/>
    </w:pPr>
    <w:rPr>
      <w:szCs w:val="20"/>
    </w:rPr>
  </w:style>
  <w:style w:type="paragraph" w:styleId="10">
    <w:name w:val="caption"/>
    <w:basedOn w:val="1"/>
    <w:next w:val="1"/>
    <w:autoRedefine/>
    <w:qFormat/>
    <w:locked/>
    <w:uiPriority w:val="0"/>
    <w:rPr>
      <w:rFonts w:ascii="Arial" w:hAnsi="Arial" w:eastAsia="黑体"/>
      <w:sz w:val="20"/>
      <w:szCs w:val="20"/>
    </w:rPr>
  </w:style>
  <w:style w:type="paragraph" w:styleId="11">
    <w:name w:val="annotation text"/>
    <w:basedOn w:val="1"/>
    <w:link w:val="51"/>
    <w:autoRedefine/>
    <w:semiHidden/>
    <w:qFormat/>
    <w:uiPriority w:val="0"/>
    <w:pPr>
      <w:jc w:val="left"/>
    </w:pPr>
    <w:rPr>
      <w:kern w:val="0"/>
      <w:sz w:val="20"/>
    </w:rPr>
  </w:style>
  <w:style w:type="paragraph" w:styleId="12">
    <w:name w:val="Body Text Indent"/>
    <w:basedOn w:val="1"/>
    <w:link w:val="53"/>
    <w:autoRedefine/>
    <w:semiHidden/>
    <w:qFormat/>
    <w:uiPriority w:val="0"/>
    <w:pPr>
      <w:spacing w:after="120"/>
      <w:ind w:left="420" w:leftChars="200"/>
    </w:pPr>
  </w:style>
  <w:style w:type="paragraph" w:styleId="13">
    <w:name w:val="Block Text"/>
    <w:basedOn w:val="1"/>
    <w:next w:val="1"/>
    <w:autoRedefine/>
    <w:qFormat/>
    <w:uiPriority w:val="0"/>
    <w:pPr>
      <w:spacing w:line="240" w:lineRule="auto"/>
      <w:ind w:left="113" w:right="113" w:firstLine="3584"/>
      <w:jc w:val="center"/>
    </w:pPr>
  </w:style>
  <w:style w:type="paragraph" w:styleId="14">
    <w:name w:val="Plain Text"/>
    <w:basedOn w:val="1"/>
    <w:next w:val="15"/>
    <w:autoRedefine/>
    <w:qFormat/>
    <w:uiPriority w:val="0"/>
    <w:rPr>
      <w:rFonts w:ascii="宋体" w:hAnsi="Courier New" w:cs="Courier New"/>
      <w:szCs w:val="21"/>
    </w:rPr>
  </w:style>
  <w:style w:type="paragraph" w:styleId="15">
    <w:name w:val="toc 1"/>
    <w:basedOn w:val="1"/>
    <w:next w:val="1"/>
    <w:autoRedefine/>
    <w:qFormat/>
    <w:locked/>
    <w:uiPriority w:val="0"/>
    <w:pPr>
      <w:spacing w:line="360" w:lineRule="auto"/>
    </w:pPr>
    <w:rPr>
      <w:b/>
      <w:sz w:val="24"/>
    </w:rPr>
  </w:style>
  <w:style w:type="paragraph" w:styleId="16">
    <w:name w:val="Date"/>
    <w:basedOn w:val="1"/>
    <w:next w:val="1"/>
    <w:link w:val="54"/>
    <w:autoRedefine/>
    <w:qFormat/>
    <w:uiPriority w:val="0"/>
    <w:pPr>
      <w:ind w:left="100" w:leftChars="2500"/>
    </w:pPr>
    <w:rPr>
      <w:kern w:val="0"/>
      <w:sz w:val="20"/>
    </w:rPr>
  </w:style>
  <w:style w:type="paragraph" w:styleId="17">
    <w:name w:val="Body Text Indent 2"/>
    <w:basedOn w:val="1"/>
    <w:next w:val="1"/>
    <w:autoRedefine/>
    <w:qFormat/>
    <w:uiPriority w:val="0"/>
    <w:pPr>
      <w:spacing w:after="120" w:line="480" w:lineRule="auto"/>
      <w:ind w:left="420" w:leftChars="200"/>
    </w:pPr>
  </w:style>
  <w:style w:type="paragraph" w:styleId="18">
    <w:name w:val="Balloon Text"/>
    <w:basedOn w:val="1"/>
    <w:next w:val="13"/>
    <w:link w:val="55"/>
    <w:autoRedefine/>
    <w:semiHidden/>
    <w:qFormat/>
    <w:uiPriority w:val="0"/>
    <w:rPr>
      <w:sz w:val="18"/>
      <w:szCs w:val="18"/>
    </w:rPr>
  </w:style>
  <w:style w:type="paragraph" w:styleId="19">
    <w:name w:val="footer"/>
    <w:basedOn w:val="1"/>
    <w:link w:val="56"/>
    <w:autoRedefine/>
    <w:qFormat/>
    <w:uiPriority w:val="0"/>
    <w:pPr>
      <w:tabs>
        <w:tab w:val="center" w:pos="4153"/>
        <w:tab w:val="right" w:pos="8306"/>
      </w:tabs>
      <w:snapToGrid w:val="0"/>
      <w:jc w:val="left"/>
    </w:pPr>
    <w:rPr>
      <w:sz w:val="18"/>
      <w:szCs w:val="18"/>
    </w:rPr>
  </w:style>
  <w:style w:type="paragraph" w:styleId="20">
    <w:name w:val="header"/>
    <w:basedOn w:val="1"/>
    <w:next w:val="21"/>
    <w:link w:val="5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1">
    <w:name w:val="样式5"/>
    <w:basedOn w:val="1"/>
    <w:autoRedefine/>
    <w:qFormat/>
    <w:uiPriority w:val="0"/>
    <w:pPr>
      <w:spacing w:line="380" w:lineRule="exact"/>
      <w:ind w:firstLine="566" w:firstLineChars="202"/>
    </w:pPr>
    <w:rPr>
      <w:rFonts w:eastAsia="华文行楷"/>
    </w:rPr>
  </w:style>
  <w:style w:type="paragraph" w:styleId="22">
    <w:name w:val="List"/>
    <w:basedOn w:val="1"/>
    <w:autoRedefine/>
    <w:qFormat/>
    <w:uiPriority w:val="0"/>
    <w:pPr>
      <w:ind w:left="200" w:hanging="200" w:hangingChars="200"/>
    </w:pPr>
  </w:style>
  <w:style w:type="paragraph" w:styleId="23">
    <w:name w:val="toc 6"/>
    <w:basedOn w:val="1"/>
    <w:next w:val="1"/>
    <w:autoRedefine/>
    <w:qFormat/>
    <w:locked/>
    <w:uiPriority w:val="0"/>
    <w:pPr>
      <w:ind w:left="2100" w:leftChars="1000"/>
    </w:pPr>
  </w:style>
  <w:style w:type="paragraph" w:styleId="24">
    <w:name w:val="Body Text Indent 3"/>
    <w:basedOn w:val="1"/>
    <w:next w:val="18"/>
    <w:autoRedefine/>
    <w:qFormat/>
    <w:uiPriority w:val="0"/>
    <w:pPr>
      <w:spacing w:after="120"/>
      <w:ind w:left="420" w:leftChars="200"/>
    </w:pPr>
    <w:rPr>
      <w:sz w:val="16"/>
      <w:szCs w:val="16"/>
    </w:rPr>
  </w:style>
  <w:style w:type="paragraph" w:styleId="25">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6">
    <w:name w:val="toc 2"/>
    <w:basedOn w:val="1"/>
    <w:next w:val="1"/>
    <w:autoRedefine/>
    <w:unhideWhenUsed/>
    <w:qFormat/>
    <w:locked/>
    <w:uiPriority w:val="39"/>
    <w:pPr>
      <w:ind w:left="420" w:leftChars="200"/>
    </w:pPr>
    <w:rPr>
      <w:rFonts w:ascii="Calibri" w:hAnsi="Calibri"/>
    </w:rPr>
  </w:style>
  <w:style w:type="paragraph" w:styleId="27">
    <w:name w:val="Body Text 2"/>
    <w:basedOn w:val="1"/>
    <w:qFormat/>
    <w:uiPriority w:val="0"/>
    <w:rPr>
      <w:sz w:val="28"/>
    </w:rPr>
  </w:style>
  <w:style w:type="paragraph" w:styleId="28">
    <w:name w:val="Message Header"/>
    <w:basedOn w:val="1"/>
    <w:autoRedefine/>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29">
    <w:name w:val="Normal (Web)"/>
    <w:basedOn w:val="1"/>
    <w:link w:val="58"/>
    <w:autoRedefine/>
    <w:qFormat/>
    <w:uiPriority w:val="0"/>
    <w:pPr>
      <w:widowControl/>
      <w:spacing w:before="100" w:beforeAutospacing="1" w:after="100" w:afterAutospacing="1"/>
      <w:jc w:val="left"/>
    </w:pPr>
    <w:rPr>
      <w:rFonts w:ascii="宋体" w:hAnsi="宋体"/>
      <w:kern w:val="0"/>
      <w:sz w:val="24"/>
    </w:rPr>
  </w:style>
  <w:style w:type="paragraph" w:styleId="30">
    <w:name w:val="Title"/>
    <w:basedOn w:val="1"/>
    <w:next w:val="1"/>
    <w:qFormat/>
    <w:locked/>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31">
    <w:name w:val="annotation subject"/>
    <w:basedOn w:val="11"/>
    <w:next w:val="11"/>
    <w:link w:val="59"/>
    <w:autoRedefine/>
    <w:semiHidden/>
    <w:qFormat/>
    <w:uiPriority w:val="0"/>
    <w:rPr>
      <w:b/>
      <w:bCs/>
    </w:rPr>
  </w:style>
  <w:style w:type="paragraph" w:styleId="32">
    <w:name w:val="Body Text First Indent"/>
    <w:basedOn w:val="1"/>
    <w:next w:val="1"/>
    <w:autoRedefine/>
    <w:qFormat/>
    <w:uiPriority w:val="0"/>
    <w:pPr>
      <w:ind w:firstLine="420" w:firstLineChars="100"/>
    </w:pPr>
  </w:style>
  <w:style w:type="paragraph" w:styleId="33">
    <w:name w:val="Body Text First Indent 2"/>
    <w:basedOn w:val="12"/>
    <w:next w:val="1"/>
    <w:autoRedefine/>
    <w:qFormat/>
    <w:uiPriority w:val="0"/>
    <w:pPr>
      <w:adjustRightInd/>
      <w:spacing w:after="120" w:line="240" w:lineRule="auto"/>
      <w:ind w:left="420" w:leftChars="200" w:firstLine="420" w:firstLineChars="200"/>
    </w:pPr>
    <w:rPr>
      <w:rFonts w:ascii="Times New Roman" w:hAnsi="Times New Roman" w:eastAsia="宋体" w:cs="Times New Roman"/>
      <w:color w:val="auto"/>
      <w:sz w:val="21"/>
      <w:szCs w:val="21"/>
    </w:rPr>
  </w:style>
  <w:style w:type="table" w:styleId="35">
    <w:name w:val="Table Grid"/>
    <w:basedOn w:val="3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autoRedefine/>
    <w:qFormat/>
    <w:locked/>
    <w:uiPriority w:val="0"/>
    <w:rPr>
      <w:b/>
    </w:rPr>
  </w:style>
  <w:style w:type="character" w:styleId="38">
    <w:name w:val="page number"/>
    <w:basedOn w:val="36"/>
    <w:autoRedefine/>
    <w:qFormat/>
    <w:uiPriority w:val="0"/>
    <w:rPr>
      <w:rFonts w:hint="default" w:ascii="Times New Roman" w:hAnsi="Times New Roman" w:cs="Times New Roman"/>
    </w:rPr>
  </w:style>
  <w:style w:type="character" w:styleId="39">
    <w:name w:val="FollowedHyperlink"/>
    <w:basedOn w:val="36"/>
    <w:autoRedefine/>
    <w:qFormat/>
    <w:uiPriority w:val="0"/>
    <w:rPr>
      <w:color w:val="185ECF"/>
      <w:u w:val="none"/>
    </w:rPr>
  </w:style>
  <w:style w:type="character" w:styleId="40">
    <w:name w:val="Emphasis"/>
    <w:autoRedefine/>
    <w:qFormat/>
    <w:locked/>
    <w:uiPriority w:val="0"/>
    <w:rPr>
      <w:i/>
    </w:rPr>
  </w:style>
  <w:style w:type="character" w:styleId="41">
    <w:name w:val="Hyperlink"/>
    <w:autoRedefine/>
    <w:qFormat/>
    <w:uiPriority w:val="0"/>
    <w:rPr>
      <w:color w:val="0000FF"/>
      <w:u w:val="single"/>
    </w:rPr>
  </w:style>
  <w:style w:type="character" w:styleId="42">
    <w:name w:val="annotation reference"/>
    <w:autoRedefine/>
    <w:semiHidden/>
    <w:qFormat/>
    <w:uiPriority w:val="0"/>
    <w:rPr>
      <w:sz w:val="21"/>
    </w:rPr>
  </w:style>
  <w:style w:type="paragraph" w:customStyle="1" w:styleId="43">
    <w:name w:val="BodyText"/>
    <w:basedOn w:val="1"/>
    <w:autoRedefine/>
    <w:qFormat/>
    <w:uiPriority w:val="0"/>
    <w:pPr>
      <w:textAlignment w:val="baseline"/>
    </w:pPr>
    <w:rPr>
      <w:rFonts w:ascii="宋体" w:hAnsi="宋体"/>
      <w:szCs w:val="21"/>
    </w:rPr>
  </w:style>
  <w:style w:type="paragraph" w:customStyle="1" w:styleId="44">
    <w:name w:val="样式 正文首行缩进 + 首行缩进:  2 字符1"/>
    <w:basedOn w:val="32"/>
    <w:next w:val="15"/>
    <w:autoRedefine/>
    <w:qFormat/>
    <w:uiPriority w:val="0"/>
    <w:pPr>
      <w:spacing w:line="360" w:lineRule="auto"/>
      <w:ind w:firstLine="480" w:firstLineChars="200"/>
    </w:pPr>
    <w:rPr>
      <w:sz w:val="24"/>
    </w:rPr>
  </w:style>
  <w:style w:type="paragraph" w:customStyle="1" w:styleId="45">
    <w:name w:val="表头"/>
    <w:basedOn w:val="22"/>
    <w:next w:val="1"/>
    <w:autoRedefine/>
    <w:qFormat/>
    <w:uiPriority w:val="0"/>
    <w:rPr>
      <w:rFonts w:eastAsia="黑体"/>
    </w:rPr>
  </w:style>
  <w:style w:type="paragraph" w:customStyle="1" w:styleId="46">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7">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8">
    <w:name w:val="内容"/>
    <w:basedOn w:val="1"/>
    <w:autoRedefine/>
    <w:qFormat/>
    <w:uiPriority w:val="0"/>
    <w:pPr>
      <w:spacing w:beforeLines="50" w:afterLines="50"/>
      <w:ind w:firstLine="200" w:firstLineChars="200"/>
    </w:pPr>
    <w:rPr>
      <w:color w:val="000000"/>
      <w:sz w:val="24"/>
    </w:rPr>
  </w:style>
  <w:style w:type="paragraph" w:customStyle="1" w:styleId="49">
    <w:name w:val="Default"/>
    <w:basedOn w:val="50"/>
    <w:next w:val="1"/>
    <w:autoRedefine/>
    <w:qFormat/>
    <w:uiPriority w:val="0"/>
    <w:pPr>
      <w:widowControl w:val="0"/>
      <w:autoSpaceDE w:val="0"/>
      <w:autoSpaceDN w:val="0"/>
    </w:pPr>
    <w:rPr>
      <w:color w:val="000000"/>
    </w:rPr>
  </w:style>
  <w:style w:type="paragraph" w:customStyle="1" w:styleId="50">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51">
    <w:name w:val="批注文字 字符"/>
    <w:link w:val="11"/>
    <w:autoRedefine/>
    <w:qFormat/>
    <w:locked/>
    <w:uiPriority w:val="0"/>
    <w:rPr>
      <w:rFonts w:ascii="Times New Roman" w:hAnsi="Times New Roman" w:eastAsia="宋体"/>
      <w:sz w:val="24"/>
    </w:rPr>
  </w:style>
  <w:style w:type="character" w:customStyle="1" w:styleId="52">
    <w:name w:val="正文文本 字符"/>
    <w:link w:val="2"/>
    <w:autoRedefine/>
    <w:qFormat/>
    <w:locked/>
    <w:uiPriority w:val="0"/>
    <w:rPr>
      <w:sz w:val="18"/>
    </w:rPr>
  </w:style>
  <w:style w:type="character" w:customStyle="1" w:styleId="53">
    <w:name w:val="正文文本缩进 字符"/>
    <w:link w:val="12"/>
    <w:autoRedefine/>
    <w:semiHidden/>
    <w:qFormat/>
    <w:locked/>
    <w:uiPriority w:val="0"/>
    <w:rPr>
      <w:rFonts w:ascii="Times New Roman" w:hAnsi="Times New Roman" w:eastAsia="宋体" w:cs="Times New Roman"/>
      <w:sz w:val="24"/>
      <w:szCs w:val="24"/>
    </w:rPr>
  </w:style>
  <w:style w:type="character" w:customStyle="1" w:styleId="54">
    <w:name w:val="日期 字符1"/>
    <w:link w:val="16"/>
    <w:autoRedefine/>
    <w:qFormat/>
    <w:locked/>
    <w:uiPriority w:val="0"/>
    <w:rPr>
      <w:rFonts w:ascii="Times New Roman" w:hAnsi="Times New Roman" w:eastAsia="宋体"/>
      <w:sz w:val="24"/>
    </w:rPr>
  </w:style>
  <w:style w:type="character" w:customStyle="1" w:styleId="55">
    <w:name w:val="批注框文本 字符"/>
    <w:link w:val="18"/>
    <w:autoRedefine/>
    <w:semiHidden/>
    <w:qFormat/>
    <w:locked/>
    <w:uiPriority w:val="0"/>
    <w:rPr>
      <w:rFonts w:ascii="Times New Roman" w:hAnsi="Times New Roman" w:eastAsia="宋体" w:cs="Times New Roman"/>
      <w:sz w:val="18"/>
      <w:szCs w:val="18"/>
    </w:rPr>
  </w:style>
  <w:style w:type="character" w:customStyle="1" w:styleId="56">
    <w:name w:val="页脚 字符"/>
    <w:link w:val="19"/>
    <w:autoRedefine/>
    <w:qFormat/>
    <w:locked/>
    <w:uiPriority w:val="0"/>
    <w:rPr>
      <w:rFonts w:cs="Times New Roman"/>
      <w:sz w:val="18"/>
      <w:szCs w:val="18"/>
    </w:rPr>
  </w:style>
  <w:style w:type="character" w:customStyle="1" w:styleId="57">
    <w:name w:val="页眉 字符1"/>
    <w:link w:val="20"/>
    <w:autoRedefine/>
    <w:qFormat/>
    <w:locked/>
    <w:uiPriority w:val="0"/>
    <w:rPr>
      <w:rFonts w:cs="Times New Roman"/>
      <w:sz w:val="18"/>
      <w:szCs w:val="18"/>
    </w:rPr>
  </w:style>
  <w:style w:type="character" w:customStyle="1" w:styleId="58">
    <w:name w:val="普通(网站) 字符"/>
    <w:link w:val="29"/>
    <w:autoRedefine/>
    <w:qFormat/>
    <w:locked/>
    <w:uiPriority w:val="0"/>
    <w:rPr>
      <w:rFonts w:ascii="宋体" w:hAnsi="宋体" w:eastAsia="宋体"/>
      <w:sz w:val="24"/>
    </w:rPr>
  </w:style>
  <w:style w:type="character" w:customStyle="1" w:styleId="59">
    <w:name w:val="批注主题 字符"/>
    <w:link w:val="31"/>
    <w:autoRedefine/>
    <w:semiHidden/>
    <w:qFormat/>
    <w:locked/>
    <w:uiPriority w:val="0"/>
    <w:rPr>
      <w:rFonts w:cs="Times New Roman"/>
      <w:b/>
      <w:bCs/>
      <w:kern w:val="2"/>
      <w:szCs w:val="24"/>
    </w:rPr>
  </w:style>
  <w:style w:type="character" w:customStyle="1" w:styleId="60">
    <w:name w:val="页眉 字符"/>
    <w:autoRedefine/>
    <w:qFormat/>
    <w:uiPriority w:val="0"/>
    <w:rPr>
      <w:rFonts w:hint="default" w:ascii="Calibri" w:hAnsi="Calibri" w:cs="Calibri"/>
    </w:rPr>
  </w:style>
  <w:style w:type="character" w:customStyle="1" w:styleId="61">
    <w:name w:val="普通(网站) Char"/>
    <w:autoRedefine/>
    <w:qFormat/>
    <w:locked/>
    <w:uiPriority w:val="0"/>
    <w:rPr>
      <w:rFonts w:ascii="宋体" w:hAnsi="宋体" w:eastAsia="宋体"/>
      <w:sz w:val="24"/>
    </w:rPr>
  </w:style>
  <w:style w:type="character" w:customStyle="1" w:styleId="62">
    <w:name w:val="日期 字符"/>
    <w:autoRedefine/>
    <w:semiHidden/>
    <w:qFormat/>
    <w:uiPriority w:val="0"/>
    <w:rPr>
      <w:rFonts w:ascii="Times New Roman" w:hAnsi="Times New Roman" w:eastAsia="宋体" w:cs="Times New Roman"/>
      <w:sz w:val="24"/>
      <w:szCs w:val="24"/>
    </w:rPr>
  </w:style>
  <w:style w:type="character" w:customStyle="1" w:styleId="63">
    <w:name w:val="批注文字 字符1"/>
    <w:autoRedefine/>
    <w:semiHidden/>
    <w:qFormat/>
    <w:uiPriority w:val="0"/>
    <w:rPr>
      <w:rFonts w:ascii="Times New Roman" w:hAnsi="Times New Roman" w:eastAsia="宋体" w:cs="Times New Roman"/>
      <w:sz w:val="24"/>
      <w:szCs w:val="24"/>
    </w:rPr>
  </w:style>
  <w:style w:type="character" w:customStyle="1" w:styleId="64">
    <w:name w:val="正文文本 字符1"/>
    <w:autoRedefine/>
    <w:semiHidden/>
    <w:qFormat/>
    <w:uiPriority w:val="0"/>
    <w:rPr>
      <w:rFonts w:ascii="Times New Roman" w:hAnsi="Times New Roman" w:eastAsia="宋体" w:cs="Times New Roman"/>
      <w:sz w:val="24"/>
      <w:szCs w:val="24"/>
    </w:rPr>
  </w:style>
  <w:style w:type="character" w:customStyle="1" w:styleId="65">
    <w:name w:val="表格 Char"/>
    <w:link w:val="66"/>
    <w:autoRedefine/>
    <w:qFormat/>
    <w:locked/>
    <w:uiPriority w:val="0"/>
    <w:rPr>
      <w:rFonts w:ascii="宋体"/>
      <w:sz w:val="21"/>
    </w:rPr>
  </w:style>
  <w:style w:type="paragraph" w:customStyle="1" w:styleId="66">
    <w:name w:val="表格"/>
    <w:basedOn w:val="9"/>
    <w:next w:val="1"/>
    <w:link w:val="65"/>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67">
    <w:name w:val="apple-converted-space"/>
    <w:autoRedefine/>
    <w:qFormat/>
    <w:uiPriority w:val="0"/>
    <w:rPr>
      <w:rFonts w:hint="default" w:ascii="Times New Roman" w:hAnsi="Times New Roman" w:cs="Times New Roman"/>
    </w:rPr>
  </w:style>
  <w:style w:type="paragraph" w:customStyle="1" w:styleId="68">
    <w:name w:val="样式 标题 1 + 首行缩进:  2 字符"/>
    <w:basedOn w:val="5"/>
    <w:autoRedefine/>
    <w:qFormat/>
    <w:uiPriority w:val="0"/>
    <w:pPr>
      <w:spacing w:before="0" w:after="0" w:line="720" w:lineRule="auto"/>
      <w:ind w:firstLine="200" w:firstLineChars="200"/>
      <w:jc w:val="center"/>
    </w:pPr>
    <w:rPr>
      <w:rFonts w:ascii="黑体" w:cs="宋体"/>
      <w:kern w:val="2"/>
      <w:sz w:val="36"/>
      <w:szCs w:val="20"/>
    </w:rPr>
  </w:style>
  <w:style w:type="paragraph" w:customStyle="1" w:styleId="69">
    <w:name w:val="报告表正文"/>
    <w:basedOn w:val="70"/>
    <w:next w:val="1"/>
    <w:autoRedefine/>
    <w:qFormat/>
    <w:uiPriority w:val="0"/>
    <w:pPr>
      <w:adjustRightInd w:val="0"/>
      <w:spacing w:line="312" w:lineRule="auto"/>
      <w:ind w:left="113" w:right="113" w:firstLine="482"/>
      <w:jc w:val="left"/>
      <w:textAlignment w:val="baseline"/>
    </w:pPr>
    <w:rPr>
      <w:kern w:val="0"/>
      <w:sz w:val="24"/>
    </w:rPr>
  </w:style>
  <w:style w:type="paragraph" w:customStyle="1" w:styleId="70">
    <w:name w:val="CM4"/>
    <w:basedOn w:val="1"/>
    <w:next w:val="1"/>
    <w:autoRedefine/>
    <w:qFormat/>
    <w:uiPriority w:val="0"/>
    <w:pPr>
      <w:keepNext/>
      <w:spacing w:line="520" w:lineRule="exact"/>
      <w:jc w:val="center"/>
    </w:pPr>
    <w:rPr>
      <w:b/>
      <w:kern w:val="0"/>
      <w:szCs w:val="21"/>
    </w:rPr>
  </w:style>
  <w:style w:type="paragraph" w:customStyle="1" w:styleId="71">
    <w:name w:val="表格标题"/>
    <w:basedOn w:val="1"/>
    <w:next w:val="1"/>
    <w:autoRedefine/>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2">
    <w:name w:val="【表头】"/>
    <w:basedOn w:val="73"/>
    <w:next w:val="1"/>
    <w:autoRedefine/>
    <w:qFormat/>
    <w:uiPriority w:val="0"/>
    <w:pPr>
      <w:spacing w:line="460" w:lineRule="exact"/>
      <w:jc w:val="center"/>
    </w:pPr>
    <w:rPr>
      <w:rFonts w:eastAsia="黑体"/>
      <w:sz w:val="24"/>
    </w:rPr>
  </w:style>
  <w:style w:type="paragraph" w:customStyle="1" w:styleId="73">
    <w:name w:val="0"/>
    <w:basedOn w:val="1"/>
    <w:autoRedefine/>
    <w:qFormat/>
    <w:uiPriority w:val="99"/>
    <w:pPr>
      <w:widowControl/>
      <w:snapToGrid w:val="0"/>
      <w:jc w:val="left"/>
    </w:pPr>
    <w:rPr>
      <w:rFonts w:ascii="宋体"/>
      <w:kern w:val="0"/>
      <w:sz w:val="20"/>
      <w:szCs w:val="20"/>
    </w:rPr>
  </w:style>
  <w:style w:type="paragraph" w:customStyle="1" w:styleId="74">
    <w:name w:val="【正文】"/>
    <w:basedOn w:val="1"/>
    <w:next w:val="1"/>
    <w:autoRedefine/>
    <w:qFormat/>
    <w:uiPriority w:val="0"/>
    <w:pPr>
      <w:spacing w:line="440" w:lineRule="exact"/>
      <w:ind w:firstLine="544"/>
    </w:pPr>
    <w:rPr>
      <w:rFonts w:cs="宋体"/>
      <w:szCs w:val="20"/>
    </w:rPr>
  </w:style>
  <w:style w:type="paragraph" w:customStyle="1" w:styleId="75">
    <w:name w:val="正文00"/>
    <w:basedOn w:val="1"/>
    <w:autoRedefine/>
    <w:qFormat/>
    <w:uiPriority w:val="0"/>
    <w:pPr>
      <w:widowControl/>
      <w:spacing w:line="425" w:lineRule="atLeast"/>
      <w:ind w:left="107" w:leftChars="51" w:right="124" w:rightChars="59" w:firstLine="480"/>
      <w:textAlignment w:val="baseline"/>
    </w:pPr>
    <w:rPr>
      <w:rFonts w:ascii="Calibri"/>
      <w:sz w:val="28"/>
    </w:rPr>
  </w:style>
  <w:style w:type="paragraph" w:customStyle="1" w:styleId="76">
    <w:name w:val="样式4"/>
    <w:basedOn w:val="2"/>
    <w:autoRedefine/>
    <w:qFormat/>
    <w:uiPriority w:val="0"/>
    <w:pPr>
      <w:adjustRightInd w:val="0"/>
      <w:jc w:val="center"/>
    </w:pPr>
    <w:rPr>
      <w:sz w:val="24"/>
    </w:rPr>
  </w:style>
  <w:style w:type="paragraph" w:customStyle="1" w:styleId="77">
    <w:name w:val="Table Paragraph"/>
    <w:basedOn w:val="1"/>
    <w:autoRedefine/>
    <w:unhideWhenUsed/>
    <w:qFormat/>
    <w:uiPriority w:val="1"/>
    <w:rPr>
      <w:sz w:val="24"/>
    </w:rPr>
  </w:style>
  <w:style w:type="paragraph" w:customStyle="1" w:styleId="78">
    <w:name w:val="煤炭资源普查报告格式"/>
    <w:basedOn w:val="1"/>
    <w:autoRedefine/>
    <w:qFormat/>
    <w:uiPriority w:val="0"/>
    <w:pPr>
      <w:spacing w:line="500" w:lineRule="exact"/>
    </w:pPr>
  </w:style>
  <w:style w:type="paragraph" w:customStyle="1" w:styleId="79">
    <w:name w:val="表头文字"/>
    <w:basedOn w:val="1"/>
    <w:autoRedefine/>
    <w:qFormat/>
    <w:uiPriority w:val="0"/>
    <w:pPr>
      <w:adjustRightInd w:val="0"/>
      <w:jc w:val="center"/>
    </w:pPr>
    <w:rPr>
      <w:sz w:val="28"/>
      <w:szCs w:val="20"/>
    </w:rPr>
  </w:style>
  <w:style w:type="paragraph" w:customStyle="1" w:styleId="80">
    <w:name w:val="标题4"/>
    <w:basedOn w:val="75"/>
    <w:autoRedefine/>
    <w:qFormat/>
    <w:uiPriority w:val="0"/>
    <w:pPr>
      <w:ind w:left="51" w:right="59" w:firstLine="100" w:firstLineChars="100"/>
    </w:pPr>
    <w:rPr>
      <w:b/>
    </w:rPr>
  </w:style>
  <w:style w:type="paragraph" w:customStyle="1" w:styleId="81">
    <w:name w:val="正文----------------"/>
    <w:basedOn w:val="1"/>
    <w:autoRedefine/>
    <w:qFormat/>
    <w:uiPriority w:val="0"/>
    <w:pPr>
      <w:spacing w:line="440" w:lineRule="exact"/>
      <w:ind w:firstLine="544" w:firstLineChars="200"/>
    </w:pPr>
    <w:rPr>
      <w:rFonts w:ascii="Calibri" w:cs="宋体"/>
      <w:spacing w:val="16"/>
      <w:szCs w:val="20"/>
    </w:rPr>
  </w:style>
  <w:style w:type="paragraph" w:customStyle="1" w:styleId="82">
    <w:name w:val="表文"/>
    <w:basedOn w:val="1"/>
    <w:autoRedefine/>
    <w:qFormat/>
    <w:uiPriority w:val="0"/>
    <w:pPr>
      <w:tabs>
        <w:tab w:val="left" w:pos="6480"/>
      </w:tabs>
      <w:spacing w:line="360" w:lineRule="exact"/>
    </w:pPr>
    <w:rPr>
      <w:rFonts w:ascii="宋体" w:hAnsi="宋体"/>
      <w:sz w:val="24"/>
    </w:rPr>
  </w:style>
  <w:style w:type="paragraph" w:customStyle="1" w:styleId="83">
    <w:name w:val="表格文字"/>
    <w:basedOn w:val="1"/>
    <w:link w:val="151"/>
    <w:autoRedefine/>
    <w:qFormat/>
    <w:uiPriority w:val="0"/>
    <w:pPr>
      <w:jc w:val="center"/>
    </w:pPr>
    <w:rPr>
      <w:rFonts w:ascii="new times roma" w:hAnsi="new times roma"/>
    </w:rPr>
  </w:style>
  <w:style w:type="paragraph" w:styleId="84">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5">
    <w:name w:val="表格内容"/>
    <w:basedOn w:val="86"/>
    <w:next w:val="1"/>
    <w:autoRedefine/>
    <w:qFormat/>
    <w:uiPriority w:val="0"/>
    <w:pPr>
      <w:spacing w:line="240" w:lineRule="exact"/>
    </w:pPr>
    <w:rPr>
      <w:snapToGrid w:val="0"/>
      <w:color w:val="FF0000"/>
      <w:kern w:val="0"/>
      <w:sz w:val="21"/>
      <w:szCs w:val="21"/>
    </w:rPr>
  </w:style>
  <w:style w:type="paragraph" w:customStyle="1" w:styleId="86">
    <w:name w:val="封皮-证书编号"/>
    <w:basedOn w:val="1"/>
    <w:autoRedefine/>
    <w:qFormat/>
    <w:uiPriority w:val="0"/>
    <w:pPr>
      <w:jc w:val="center"/>
    </w:pPr>
    <w:rPr>
      <w:rFonts w:eastAsia="黑体"/>
      <w:sz w:val="28"/>
    </w:rPr>
  </w:style>
  <w:style w:type="paragraph" w:customStyle="1" w:styleId="87">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8">
    <w:name w:val="表头-------------"/>
    <w:basedOn w:val="1"/>
    <w:autoRedefine/>
    <w:qFormat/>
    <w:uiPriority w:val="0"/>
    <w:pPr>
      <w:spacing w:line="460" w:lineRule="exact"/>
      <w:jc w:val="center"/>
    </w:pPr>
    <w:rPr>
      <w:rFonts w:ascii="Calibri" w:eastAsia="黑体" w:cs="宋体"/>
      <w:szCs w:val="20"/>
    </w:rPr>
  </w:style>
  <w:style w:type="paragraph" w:customStyle="1" w:styleId="89">
    <w:name w:val="正文01"/>
    <w:basedOn w:val="1"/>
    <w:autoRedefine/>
    <w:qFormat/>
    <w:uiPriority w:val="0"/>
    <w:pPr>
      <w:spacing w:before="60" w:line="460" w:lineRule="exact"/>
      <w:ind w:firstLine="200" w:firstLineChars="200"/>
    </w:pPr>
    <w:rPr>
      <w:snapToGrid w:val="0"/>
      <w:kern w:val="0"/>
      <w:sz w:val="24"/>
    </w:rPr>
  </w:style>
  <w:style w:type="paragraph" w:customStyle="1" w:styleId="90">
    <w:name w:val="样式 正文文字-1 + 首行缩进:  2.1 字符1"/>
    <w:basedOn w:val="91"/>
    <w:autoRedefine/>
    <w:qFormat/>
    <w:uiPriority w:val="0"/>
    <w:pPr>
      <w:spacing w:line="440" w:lineRule="exact"/>
      <w:ind w:firstLine="210"/>
    </w:pPr>
    <w:rPr>
      <w:rFonts w:cs="宋体"/>
      <w:szCs w:val="20"/>
    </w:rPr>
  </w:style>
  <w:style w:type="paragraph" w:customStyle="1" w:styleId="91">
    <w:name w:val="正文文字-1 Char"/>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2">
    <w:name w:val="表格正文"/>
    <w:basedOn w:val="1"/>
    <w:autoRedefine/>
    <w:qFormat/>
    <w:uiPriority w:val="0"/>
    <w:pPr>
      <w:spacing w:line="360" w:lineRule="exact"/>
      <w:ind w:firstLine="640" w:firstLineChars="200"/>
      <w:jc w:val="center"/>
    </w:pPr>
    <w:rPr>
      <w:sz w:val="28"/>
      <w:szCs w:val="28"/>
    </w:rPr>
  </w:style>
  <w:style w:type="paragraph" w:customStyle="1" w:styleId="93">
    <w:name w:val="Table caption|1"/>
    <w:basedOn w:val="1"/>
    <w:autoRedefine/>
    <w:qFormat/>
    <w:uiPriority w:val="0"/>
    <w:rPr>
      <w:rFonts w:ascii="宋体" w:hAnsi="宋体" w:cs="宋体"/>
      <w:sz w:val="13"/>
      <w:szCs w:val="13"/>
      <w:lang w:val="zh-TW" w:eastAsia="zh-TW" w:bidi="zh-TW"/>
    </w:rPr>
  </w:style>
  <w:style w:type="paragraph" w:customStyle="1" w:styleId="94">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5">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6">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7">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98">
    <w:name w:val="List Paragraph"/>
    <w:basedOn w:val="1"/>
    <w:autoRedefine/>
    <w:qFormat/>
    <w:uiPriority w:val="34"/>
    <w:pPr>
      <w:ind w:firstLine="420" w:firstLineChars="200"/>
    </w:pPr>
    <w:rPr>
      <w:szCs w:val="22"/>
    </w:rPr>
  </w:style>
  <w:style w:type="paragraph" w:customStyle="1" w:styleId="99">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0">
    <w:name w:val="样式 Times New Roman 五号 居中1"/>
    <w:basedOn w:val="1"/>
    <w:autoRedefine/>
    <w:qFormat/>
    <w:uiPriority w:val="0"/>
    <w:pPr>
      <w:jc w:val="center"/>
    </w:pPr>
    <w:rPr>
      <w:rFonts w:cs="宋体"/>
      <w:szCs w:val="20"/>
    </w:rPr>
  </w:style>
  <w:style w:type="paragraph" w:customStyle="1" w:styleId="101">
    <w:name w:val="_Style 3"/>
    <w:basedOn w:val="1"/>
    <w:autoRedefine/>
    <w:qFormat/>
    <w:uiPriority w:val="34"/>
    <w:pPr>
      <w:ind w:firstLine="420" w:firstLineChars="200"/>
    </w:pPr>
    <w:rPr>
      <w:rFonts w:ascii="Calibri" w:hAnsi="Calibri"/>
      <w:szCs w:val="22"/>
    </w:rPr>
  </w:style>
  <w:style w:type="paragraph" w:customStyle="1" w:styleId="102">
    <w:name w:val="表1"/>
    <w:next w:val="1"/>
    <w:autoRedefine/>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3">
    <w:name w:val="Body text|4"/>
    <w:basedOn w:val="1"/>
    <w:autoRedefine/>
    <w:qFormat/>
    <w:uiPriority w:val="0"/>
    <w:pPr>
      <w:spacing w:line="434" w:lineRule="auto"/>
      <w:ind w:firstLine="500"/>
    </w:pPr>
    <w:rPr>
      <w:color w:val="FF0000"/>
    </w:rPr>
  </w:style>
  <w:style w:type="paragraph" w:customStyle="1" w:styleId="104">
    <w:name w:val="Body text|1"/>
    <w:basedOn w:val="1"/>
    <w:autoRedefine/>
    <w:qFormat/>
    <w:uiPriority w:val="0"/>
    <w:pPr>
      <w:spacing w:line="480" w:lineRule="auto"/>
      <w:ind w:firstLine="400"/>
    </w:pPr>
    <w:rPr>
      <w:rFonts w:ascii="宋体" w:hAnsi="宋体" w:cs="宋体"/>
      <w:sz w:val="22"/>
      <w:szCs w:val="22"/>
      <w:lang w:val="zh-TW" w:eastAsia="zh-TW" w:bidi="zh-TW"/>
    </w:rPr>
  </w:style>
  <w:style w:type="paragraph" w:customStyle="1" w:styleId="105">
    <w:name w:val="Other|1"/>
    <w:basedOn w:val="1"/>
    <w:autoRedefine/>
    <w:qFormat/>
    <w:uiPriority w:val="0"/>
    <w:pPr>
      <w:jc w:val="center"/>
    </w:pPr>
    <w:rPr>
      <w:rFonts w:ascii="宋体" w:hAnsi="宋体" w:cs="宋体"/>
      <w:sz w:val="20"/>
      <w:szCs w:val="20"/>
      <w:lang w:val="zh-TW" w:eastAsia="zh-TW" w:bidi="zh-TW"/>
    </w:rPr>
  </w:style>
  <w:style w:type="paragraph" w:customStyle="1" w:styleId="106">
    <w:name w:val="首行缩进表格正文"/>
    <w:basedOn w:val="1"/>
    <w:autoRedefine/>
    <w:qFormat/>
    <w:uiPriority w:val="0"/>
    <w:pPr>
      <w:spacing w:line="360" w:lineRule="auto"/>
      <w:ind w:firstLine="720" w:firstLineChars="200"/>
      <w:jc w:val="left"/>
    </w:pPr>
  </w:style>
  <w:style w:type="paragraph" w:customStyle="1" w:styleId="107">
    <w:name w:val="C首行缩进正文"/>
    <w:basedOn w:val="74"/>
    <w:autoRedefine/>
    <w:qFormat/>
    <w:uiPriority w:val="0"/>
    <w:pPr>
      <w:spacing w:line="360" w:lineRule="auto"/>
      <w:ind w:firstLine="200"/>
    </w:pPr>
    <w:rPr>
      <w:color w:val="000000"/>
    </w:rPr>
  </w:style>
  <w:style w:type="paragraph" w:customStyle="1" w:styleId="108">
    <w:name w:val="C【表中文字】-"/>
    <w:basedOn w:val="1"/>
    <w:autoRedefine/>
    <w:qFormat/>
    <w:uiPriority w:val="0"/>
    <w:pPr>
      <w:adjustRightInd w:val="0"/>
      <w:snapToGrid w:val="0"/>
      <w:jc w:val="center"/>
    </w:pPr>
    <w:rPr>
      <w:kern w:val="0"/>
      <w:szCs w:val="20"/>
    </w:rPr>
  </w:style>
  <w:style w:type="paragraph" w:customStyle="1" w:styleId="109">
    <w:name w:val="正文_6"/>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0">
    <w:name w:val="11111"/>
    <w:basedOn w:val="1"/>
    <w:next w:val="1"/>
    <w:autoRedefine/>
    <w:qFormat/>
    <w:uiPriority w:val="0"/>
    <w:pPr>
      <w:spacing w:line="360" w:lineRule="auto"/>
      <w:ind w:firstLine="200" w:firstLineChars="200"/>
    </w:pPr>
    <w:rPr>
      <w:rFonts w:hAnsi="宋体" w:cs="宋体"/>
    </w:rPr>
  </w:style>
  <w:style w:type="character" w:customStyle="1" w:styleId="111">
    <w:name w:val="chakan"/>
    <w:basedOn w:val="36"/>
    <w:autoRedefine/>
    <w:qFormat/>
    <w:uiPriority w:val="0"/>
    <w:rPr>
      <w:color w:val="0064EA"/>
    </w:rPr>
  </w:style>
  <w:style w:type="character" w:customStyle="1" w:styleId="112">
    <w:name w:val="checkbox2"/>
    <w:basedOn w:val="36"/>
    <w:autoRedefine/>
    <w:qFormat/>
    <w:uiPriority w:val="0"/>
  </w:style>
  <w:style w:type="character" w:customStyle="1" w:styleId="113">
    <w:name w:val="shenbao"/>
    <w:basedOn w:val="36"/>
    <w:autoRedefine/>
    <w:qFormat/>
    <w:uiPriority w:val="0"/>
    <w:rPr>
      <w:color w:val="EF6334"/>
    </w:rPr>
  </w:style>
  <w:style w:type="character" w:customStyle="1" w:styleId="114">
    <w:name w:val="checkbox"/>
    <w:basedOn w:val="36"/>
    <w:autoRedefine/>
    <w:qFormat/>
    <w:uiPriority w:val="0"/>
  </w:style>
  <w:style w:type="paragraph" w:customStyle="1" w:styleId="115">
    <w:name w:val="表中"/>
    <w:basedOn w:val="1"/>
    <w:autoRedefine/>
    <w:qFormat/>
    <w:uiPriority w:val="0"/>
    <w:pPr>
      <w:spacing w:line="240" w:lineRule="exact"/>
    </w:pPr>
    <w:rPr>
      <w:szCs w:val="21"/>
    </w:rPr>
  </w:style>
  <w:style w:type="paragraph" w:customStyle="1" w:styleId="116">
    <w:name w:val="TOC2"/>
    <w:basedOn w:val="1"/>
    <w:next w:val="1"/>
    <w:autoRedefine/>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7">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118">
    <w:name w:val="UserStyle_0"/>
    <w:basedOn w:val="119"/>
    <w:next w:val="120"/>
    <w:autoRedefine/>
    <w:qFormat/>
    <w:uiPriority w:val="0"/>
    <w:pPr>
      <w:spacing w:line="360" w:lineRule="auto"/>
      <w:ind w:firstLine="480" w:firstLineChars="200"/>
    </w:pPr>
    <w:rPr>
      <w:rFonts w:ascii="Calibri" w:hAnsi="Calibri"/>
      <w:sz w:val="24"/>
      <w:szCs w:val="22"/>
    </w:rPr>
  </w:style>
  <w:style w:type="paragraph" w:customStyle="1" w:styleId="119">
    <w:name w:val="UserStyle_1"/>
    <w:basedOn w:val="1"/>
    <w:next w:val="1"/>
    <w:autoRedefine/>
    <w:qFormat/>
    <w:uiPriority w:val="0"/>
    <w:pPr>
      <w:spacing w:after="120"/>
      <w:textAlignment w:val="baseline"/>
    </w:pPr>
  </w:style>
  <w:style w:type="paragraph" w:customStyle="1" w:styleId="120">
    <w:name w:val="TOC1"/>
    <w:basedOn w:val="1"/>
    <w:next w:val="1"/>
    <w:autoRedefine/>
    <w:qFormat/>
    <w:uiPriority w:val="0"/>
    <w:pPr>
      <w:spacing w:line="360" w:lineRule="auto"/>
      <w:textAlignment w:val="baseline"/>
    </w:pPr>
    <w:rPr>
      <w:rFonts w:ascii="Calibri" w:hAnsi="Calibri"/>
      <w:b/>
      <w:sz w:val="24"/>
      <w:szCs w:val="22"/>
    </w:rPr>
  </w:style>
  <w:style w:type="character" w:customStyle="1" w:styleId="121">
    <w:name w:val="NormalCharacter"/>
    <w:autoRedefine/>
    <w:qFormat/>
    <w:uiPriority w:val="0"/>
    <w:rPr>
      <w:kern w:val="2"/>
      <w:sz w:val="21"/>
      <w:szCs w:val="24"/>
      <w:lang w:val="en-US" w:eastAsia="zh-CN" w:bidi="ar-SA"/>
    </w:rPr>
  </w:style>
  <w:style w:type="paragraph" w:customStyle="1" w:styleId="122">
    <w:name w:val="表头1"/>
    <w:basedOn w:val="123"/>
    <w:next w:val="1"/>
    <w:autoRedefine/>
    <w:qFormat/>
    <w:uiPriority w:val="0"/>
    <w:pPr>
      <w:spacing w:before="120" w:beforeLines="50"/>
    </w:pPr>
  </w:style>
  <w:style w:type="paragraph" w:customStyle="1" w:styleId="123">
    <w:name w:val="文华表标题"/>
    <w:basedOn w:val="124"/>
    <w:autoRedefine/>
    <w:qFormat/>
    <w:uiPriority w:val="0"/>
    <w:pPr>
      <w:spacing w:line="240" w:lineRule="auto"/>
      <w:ind w:firstLine="0"/>
      <w:jc w:val="center"/>
    </w:pPr>
    <w:rPr>
      <w:rFonts w:eastAsia="黑体"/>
    </w:rPr>
  </w:style>
  <w:style w:type="paragraph" w:customStyle="1" w:styleId="124">
    <w:name w:val="文华表正文"/>
    <w:basedOn w:val="69"/>
    <w:autoRedefine/>
    <w:qFormat/>
    <w:uiPriority w:val="0"/>
  </w:style>
  <w:style w:type="paragraph" w:customStyle="1" w:styleId="125">
    <w:name w:val="xl25"/>
    <w:basedOn w:val="1"/>
    <w:autoRedefine/>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6">
    <w:name w:val="xl36"/>
    <w:basedOn w:val="1"/>
    <w:autoRedefine/>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7">
    <w:name w:val="文华表1级标题1"/>
    <w:basedOn w:val="5"/>
    <w:next w:val="128"/>
    <w:autoRedefine/>
    <w:qFormat/>
    <w:uiPriority w:val="0"/>
    <w:pPr>
      <w:keepNext w:val="0"/>
    </w:pPr>
    <w:rPr>
      <w:kern w:val="4"/>
      <w:sz w:val="28"/>
    </w:rPr>
  </w:style>
  <w:style w:type="paragraph" w:customStyle="1" w:styleId="128">
    <w:name w:val="文本正文"/>
    <w:basedOn w:val="1"/>
    <w:autoRedefine/>
    <w:qFormat/>
    <w:uiPriority w:val="0"/>
    <w:pPr>
      <w:spacing w:line="360" w:lineRule="auto"/>
      <w:ind w:firstLine="480" w:firstLineChars="200"/>
    </w:pPr>
    <w:rPr>
      <w:rFonts w:ascii="Calibri" w:hAnsi="Calibri"/>
      <w:sz w:val="24"/>
    </w:rPr>
  </w:style>
  <w:style w:type="paragraph" w:customStyle="1" w:styleId="129">
    <w:name w:val="zxzx书正文"/>
    <w:basedOn w:val="1"/>
    <w:autoRedefine/>
    <w:qFormat/>
    <w:uiPriority w:val="0"/>
    <w:pPr>
      <w:widowControl/>
      <w:spacing w:line="440" w:lineRule="exact"/>
      <w:ind w:firstLine="880" w:firstLineChars="200"/>
      <w:jc w:val="left"/>
    </w:pPr>
    <w:rPr>
      <w:sz w:val="24"/>
    </w:rPr>
  </w:style>
  <w:style w:type="paragraph" w:customStyle="1" w:styleId="130">
    <w:name w:val="正文--环评"/>
    <w:basedOn w:val="1"/>
    <w:autoRedefine/>
    <w:qFormat/>
    <w:uiPriority w:val="0"/>
    <w:pPr>
      <w:spacing w:line="360" w:lineRule="auto"/>
      <w:ind w:firstLine="480" w:firstLineChars="200"/>
    </w:pPr>
    <w:rPr>
      <w:rFonts w:cs="宋体"/>
      <w:color w:val="000000"/>
      <w:spacing w:val="0"/>
      <w:sz w:val="24"/>
    </w:rPr>
  </w:style>
  <w:style w:type="paragraph" w:customStyle="1" w:styleId="131">
    <w:name w:val="表中文字（工大）"/>
    <w:basedOn w:val="1"/>
    <w:autoRedefine/>
    <w:qFormat/>
    <w:uiPriority w:val="0"/>
    <w:pPr>
      <w:spacing w:line="440" w:lineRule="exact"/>
      <w:jc w:val="center"/>
    </w:pPr>
    <w:rPr>
      <w:sz w:val="21"/>
      <w:szCs w:val="20"/>
    </w:rPr>
  </w:style>
  <w:style w:type="character" w:customStyle="1" w:styleId="132">
    <w:name w:val="font11"/>
    <w:basedOn w:val="36"/>
    <w:autoRedefine/>
    <w:qFormat/>
    <w:uiPriority w:val="0"/>
    <w:rPr>
      <w:rFonts w:hint="default" w:ascii="Times New Roman" w:hAnsi="Times New Roman" w:cs="Times New Roman"/>
      <w:color w:val="000000"/>
      <w:sz w:val="18"/>
      <w:szCs w:val="18"/>
      <w:u w:val="none"/>
    </w:rPr>
  </w:style>
  <w:style w:type="character" w:customStyle="1" w:styleId="133">
    <w:name w:val="font21"/>
    <w:basedOn w:val="36"/>
    <w:autoRedefine/>
    <w:qFormat/>
    <w:uiPriority w:val="0"/>
    <w:rPr>
      <w:rFonts w:hint="eastAsia" w:ascii="宋体" w:hAnsi="宋体" w:eastAsia="宋体" w:cs="宋体"/>
      <w:color w:val="000000"/>
      <w:sz w:val="18"/>
      <w:szCs w:val="18"/>
      <w:u w:val="none"/>
    </w:rPr>
  </w:style>
  <w:style w:type="paragraph" w:customStyle="1" w:styleId="134">
    <w:name w:val="文本框样式"/>
    <w:basedOn w:val="1"/>
    <w:autoRedefine/>
    <w:qFormat/>
    <w:uiPriority w:val="0"/>
    <w:pPr>
      <w:spacing w:line="240" w:lineRule="auto"/>
      <w:ind w:firstLine="0" w:firstLineChars="0"/>
      <w:jc w:val="center"/>
    </w:pPr>
    <w:rPr>
      <w:sz w:val="21"/>
    </w:rPr>
  </w:style>
  <w:style w:type="paragraph" w:customStyle="1" w:styleId="135">
    <w:name w:val="表"/>
    <w:autoRedefine/>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6">
    <w:name w:val="cucd-0"/>
    <w:autoRedefine/>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7">
    <w:name w:val="段落正文"/>
    <w:basedOn w:val="1"/>
    <w:autoRedefine/>
    <w:qFormat/>
    <w:uiPriority w:val="0"/>
    <w:pPr>
      <w:widowControl w:val="0"/>
      <w:spacing w:line="500" w:lineRule="atLeast"/>
    </w:pPr>
    <w:rPr>
      <w:rFonts w:eastAsia="仿宋_GB2312"/>
      <w:szCs w:val="28"/>
    </w:rPr>
  </w:style>
  <w:style w:type="character" w:customStyle="1" w:styleId="138">
    <w:name w:val="标题 1 Char1"/>
    <w:link w:val="5"/>
    <w:autoRedefine/>
    <w:qFormat/>
    <w:uiPriority w:val="0"/>
    <w:rPr>
      <w:rFonts w:eastAsia="黑体"/>
      <w:b/>
      <w:bCs/>
      <w:color w:val="000000"/>
      <w:kern w:val="44"/>
      <w:sz w:val="30"/>
      <w:szCs w:val="30"/>
    </w:rPr>
  </w:style>
  <w:style w:type="character" w:customStyle="1" w:styleId="139">
    <w:name w:val="标题 2 Char"/>
    <w:link w:val="6"/>
    <w:autoRedefine/>
    <w:qFormat/>
    <w:uiPriority w:val="0"/>
    <w:rPr>
      <w:rFonts w:ascii="Arial" w:hAnsi="Arial" w:eastAsia="黑体"/>
      <w:b/>
      <w:bCs/>
      <w:sz w:val="32"/>
      <w:szCs w:val="32"/>
    </w:rPr>
  </w:style>
  <w:style w:type="paragraph" w:customStyle="1" w:styleId="140">
    <w:name w:val="表体"/>
    <w:basedOn w:val="1"/>
    <w:autoRedefine/>
    <w:qFormat/>
    <w:uiPriority w:val="0"/>
    <w:pPr>
      <w:spacing w:line="240" w:lineRule="auto"/>
    </w:pPr>
    <w:rPr>
      <w:sz w:val="21"/>
      <w:szCs w:val="21"/>
    </w:rPr>
  </w:style>
  <w:style w:type="paragraph" w:customStyle="1" w:styleId="141">
    <w:name w:val="Char Char Char Char Char Char Char2"/>
    <w:basedOn w:val="1"/>
    <w:autoRedefine/>
    <w:qFormat/>
    <w:uiPriority w:val="0"/>
    <w:pPr>
      <w:snapToGrid w:val="0"/>
      <w:spacing w:line="360" w:lineRule="auto"/>
      <w:ind w:firstLine="529" w:firstLineChars="200"/>
    </w:pPr>
  </w:style>
  <w:style w:type="paragraph" w:customStyle="1" w:styleId="142">
    <w:name w:val="表格题目"/>
    <w:basedOn w:val="1"/>
    <w:autoRedefine/>
    <w:qFormat/>
    <w:uiPriority w:val="0"/>
    <w:pPr>
      <w:spacing w:line="240" w:lineRule="atLeast"/>
      <w:jc w:val="center"/>
    </w:pPr>
    <w:rPr>
      <w:rFonts w:ascii="黑体" w:hAnsi="宋体" w:eastAsia="黑体"/>
      <w:sz w:val="24"/>
    </w:rPr>
  </w:style>
  <w:style w:type="table" w:customStyle="1" w:styleId="143">
    <w:name w:val="Table Normal"/>
    <w:autoRedefine/>
    <w:semiHidden/>
    <w:unhideWhenUsed/>
    <w:qFormat/>
    <w:uiPriority w:val="0"/>
    <w:tblPr>
      <w:tblCellMar>
        <w:top w:w="0" w:type="dxa"/>
        <w:left w:w="0" w:type="dxa"/>
        <w:bottom w:w="0" w:type="dxa"/>
        <w:right w:w="0" w:type="dxa"/>
      </w:tblCellMar>
    </w:tblPr>
  </w:style>
  <w:style w:type="character" w:customStyle="1" w:styleId="144">
    <w:name w:val="正文（首行缩进两字） Char"/>
    <w:autoRedefine/>
    <w:qFormat/>
    <w:uiPriority w:val="0"/>
    <w:rPr>
      <w:rFonts w:eastAsia="宋体"/>
      <w:kern w:val="2"/>
      <w:sz w:val="24"/>
      <w:lang w:val="en-US" w:eastAsia="zh-CN"/>
    </w:rPr>
  </w:style>
  <w:style w:type="paragraph" w:customStyle="1" w:styleId="145">
    <w:name w:val="表中文字"/>
    <w:basedOn w:val="1"/>
    <w:autoRedefine/>
    <w:qFormat/>
    <w:uiPriority w:val="0"/>
    <w:pPr>
      <w:jc w:val="center"/>
    </w:pPr>
    <w:rPr>
      <w:szCs w:val="20"/>
    </w:rPr>
  </w:style>
  <w:style w:type="paragraph" w:customStyle="1" w:styleId="146">
    <w:name w:val="正文格式"/>
    <w:basedOn w:val="1"/>
    <w:autoRedefine/>
    <w:qFormat/>
    <w:uiPriority w:val="0"/>
    <w:pPr>
      <w:spacing w:line="360" w:lineRule="auto"/>
      <w:ind w:firstLine="482"/>
    </w:pPr>
  </w:style>
  <w:style w:type="paragraph" w:customStyle="1" w:styleId="147">
    <w:name w:val="Table Text"/>
    <w:basedOn w:val="1"/>
    <w:autoRedefine/>
    <w:semiHidden/>
    <w:qFormat/>
    <w:uiPriority w:val="0"/>
    <w:rPr>
      <w:rFonts w:ascii="宋体" w:hAnsi="宋体" w:eastAsia="宋体" w:cs="宋体"/>
      <w:sz w:val="24"/>
      <w:szCs w:val="24"/>
      <w:lang w:val="en-US" w:eastAsia="en-US" w:bidi="ar-SA"/>
    </w:rPr>
  </w:style>
  <w:style w:type="paragraph" w:customStyle="1" w:styleId="148">
    <w:name w:val="【表中文字】"/>
    <w:basedOn w:val="149"/>
    <w:autoRedefine/>
    <w:qFormat/>
    <w:uiPriority w:val="0"/>
    <w:pPr>
      <w:jc w:val="center"/>
    </w:pPr>
    <w:rPr>
      <w:kern w:val="0"/>
      <w:szCs w:val="20"/>
    </w:rPr>
  </w:style>
  <w:style w:type="paragraph" w:customStyle="1" w:styleId="149">
    <w:name w:val=".表1-1-1内容"/>
    <w:basedOn w:val="1"/>
    <w:autoRedefine/>
    <w:qFormat/>
    <w:uiPriority w:val="0"/>
    <w:pPr>
      <w:spacing w:line="300" w:lineRule="exact"/>
      <w:jc w:val="center"/>
    </w:pPr>
    <w:rPr>
      <w:kern w:val="0"/>
      <w:szCs w:val="21"/>
    </w:rPr>
  </w:style>
  <w:style w:type="paragraph" w:customStyle="1" w:styleId="150">
    <w:name w:val="a正文"/>
    <w:basedOn w:val="146"/>
    <w:autoRedefine/>
    <w:qFormat/>
    <w:uiPriority w:val="0"/>
    <w:pPr>
      <w:spacing w:line="520" w:lineRule="exact"/>
      <w:ind w:firstLine="200" w:firstLineChars="200"/>
    </w:pPr>
    <w:rPr>
      <w:kern w:val="0"/>
      <w:szCs w:val="21"/>
    </w:rPr>
  </w:style>
  <w:style w:type="character" w:customStyle="1" w:styleId="151">
    <w:name w:val="表格文字 Char"/>
    <w:link w:val="83"/>
    <w:autoRedefine/>
    <w:qFormat/>
    <w:uiPriority w:val="0"/>
    <w:rPr>
      <w:rFonts w:ascii="new times roma" w:hAnsi="new times roma"/>
    </w:rPr>
  </w:style>
  <w:style w:type="paragraph" w:customStyle="1" w:styleId="152">
    <w:name w:val="表表头"/>
    <w:basedOn w:val="1"/>
    <w:autoRedefine/>
    <w:qFormat/>
    <w:uiPriority w:val="0"/>
    <w:pPr>
      <w:jc w:val="center"/>
    </w:pPr>
    <w:rPr>
      <w:rFonts w:ascii="Calibri" w:hAnsi="Calibri" w:eastAsia="黑体"/>
    </w:rPr>
  </w:style>
  <w:style w:type="character" w:customStyle="1" w:styleId="153">
    <w:name w:val="【正文】 Char1"/>
    <w:autoRedefine/>
    <w:qFormat/>
    <w:locked/>
    <w:uiPriority w:val="0"/>
    <w:rPr>
      <w:rFonts w:ascii="Times New Roman" w:hAnsi="Times New Roman" w:eastAsia="宋体" w:cs="Times New Roman"/>
      <w:sz w:val="24"/>
      <w:szCs w:val="24"/>
    </w:rPr>
  </w:style>
  <w:style w:type="paragraph" w:customStyle="1" w:styleId="154">
    <w:name w:val="正文首行缩进1"/>
    <w:basedOn w:val="1"/>
    <w:autoRedefine/>
    <w:qFormat/>
    <w:uiPriority w:val="0"/>
    <w:pPr>
      <w:widowControl w:val="0"/>
      <w:snapToGrid/>
      <w:spacing w:before="0" w:after="120" w:line="240" w:lineRule="auto"/>
      <w:ind w:right="0" w:firstLine="420" w:firstLineChars="100"/>
    </w:pPr>
    <w:rPr>
      <w:kern w:val="2"/>
      <w:sz w:val="21"/>
      <w:szCs w:val="24"/>
    </w:rPr>
  </w:style>
  <w:style w:type="paragraph" w:customStyle="1" w:styleId="155">
    <w:name w:val="正文缩进1"/>
    <w:basedOn w:val="1"/>
    <w:autoRedefine/>
    <w:qFormat/>
    <w:uiPriority w:val="0"/>
    <w:pPr>
      <w:ind w:firstLine="420"/>
    </w:pPr>
    <w:rPr>
      <w:rFonts w:eastAsia="宋体"/>
      <w:sz w:val="28"/>
    </w:rPr>
  </w:style>
  <w:style w:type="paragraph" w:customStyle="1" w:styleId="156">
    <w:name w:val="专篇正文"/>
    <w:basedOn w:val="74"/>
    <w:autoRedefine/>
    <w:qFormat/>
    <w:uiPriority w:val="0"/>
  </w:style>
  <w:style w:type="paragraph" w:customStyle="1" w:styleId="157">
    <w:name w:val="a表格标题"/>
    <w:basedOn w:val="1"/>
    <w:autoRedefine/>
    <w:qFormat/>
    <w:uiPriority w:val="0"/>
    <w:pPr>
      <w:widowControl/>
      <w:spacing w:line="360" w:lineRule="auto"/>
      <w:jc w:val="center"/>
    </w:pPr>
    <w:rPr>
      <w:b/>
      <w:kern w:val="0"/>
      <w:szCs w:val="21"/>
    </w:rPr>
  </w:style>
  <w:style w:type="paragraph" w:customStyle="1" w:styleId="158">
    <w:name w:val="盂县"/>
    <w:basedOn w:val="1"/>
    <w:autoRedefine/>
    <w:qFormat/>
    <w:uiPriority w:val="0"/>
    <w:pPr>
      <w:adjustRightInd w:val="0"/>
      <w:snapToGrid w:val="0"/>
      <w:spacing w:line="312" w:lineRule="auto"/>
      <w:ind w:firstLine="560" w:firstLineChars="200"/>
    </w:pPr>
    <w:rPr>
      <w:sz w:val="28"/>
    </w:rPr>
  </w:style>
  <w:style w:type="paragraph" w:customStyle="1" w:styleId="159">
    <w:name w:val="填表样式"/>
    <w:autoRedefine/>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1"/>
      <w:szCs w:val="24"/>
      <w:lang w:val="en-US" w:eastAsia="zh-CN" w:bidi="ar-SA"/>
    </w:rPr>
  </w:style>
  <w:style w:type="paragraph" w:customStyle="1" w:styleId="160">
    <w:name w:val="C【表头】"/>
    <w:basedOn w:val="1"/>
    <w:autoRedefine/>
    <w:qFormat/>
    <w:uiPriority w:val="0"/>
    <w:pPr>
      <w:widowControl/>
      <w:adjustRightInd w:val="0"/>
      <w:snapToGrid w:val="0"/>
      <w:jc w:val="center"/>
    </w:pPr>
    <w:rPr>
      <w:rFonts w:eastAsia="黑体" w:cs="宋体"/>
      <w:kern w:val="0"/>
      <w:sz w:val="24"/>
      <w:szCs w:val="20"/>
    </w:rPr>
  </w:style>
  <w:style w:type="paragraph" w:customStyle="1" w:styleId="161">
    <w:name w:val="C表两端"/>
    <w:basedOn w:val="1"/>
    <w:autoRedefine/>
    <w:qFormat/>
    <w:uiPriority w:val="0"/>
    <w:pPr>
      <w:adjustRightInd w:val="0"/>
      <w:snapToGrid w:val="0"/>
    </w:pPr>
    <w:rPr>
      <w:kern w:val="0"/>
      <w:szCs w:val="20"/>
    </w:rPr>
  </w:style>
  <w:style w:type="paragraph" w:customStyle="1" w:styleId="162">
    <w:name w:val="图注"/>
    <w:basedOn w:val="1"/>
    <w:autoRedefine/>
    <w:qFormat/>
    <w:uiPriority w:val="0"/>
    <w:pPr>
      <w:ind w:firstLine="0" w:firstLineChars="0"/>
      <w:jc w:val="center"/>
    </w:pPr>
    <w:rPr>
      <w:rFonts w:eastAsia="黑体"/>
    </w:rPr>
  </w:style>
  <w:style w:type="character" w:customStyle="1" w:styleId="163">
    <w:name w:val="[正文] 字符"/>
    <w:link w:val="164"/>
    <w:qFormat/>
    <w:uiPriority w:val="0"/>
    <w:rPr>
      <w:rFonts w:ascii="Times New Roman" w:hAnsi="Times New Roman"/>
      <w:sz w:val="24"/>
    </w:rPr>
  </w:style>
  <w:style w:type="paragraph" w:customStyle="1" w:styleId="164">
    <w:name w:val="[正文]"/>
    <w:basedOn w:val="146"/>
    <w:link w:val="163"/>
    <w:qFormat/>
    <w:uiPriority w:val="0"/>
    <w:pPr>
      <w:spacing w:line="520" w:lineRule="exact"/>
      <w:ind w:firstLine="200"/>
    </w:pPr>
    <w:rPr>
      <w:rFonts w:ascii="Times New Roman" w:hAnsi="Times New Roman"/>
      <w:sz w:val="24"/>
    </w:rPr>
  </w:style>
  <w:style w:type="paragraph" w:customStyle="1" w:styleId="165">
    <w:name w:val="..正文"/>
    <w:basedOn w:val="1"/>
    <w:qFormat/>
    <w:uiPriority w:val="0"/>
    <w:pPr>
      <w:spacing w:line="520" w:lineRule="exact"/>
      <w:ind w:firstLine="200" w:firstLineChars="200"/>
    </w:pPr>
    <w:rPr>
      <w:kern w:val="0"/>
      <w:sz w:val="24"/>
    </w:rPr>
  </w:style>
  <w:style w:type="paragraph" w:customStyle="1" w:styleId="166">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67">
    <w:name w:val="首行缩进正文"/>
    <w:basedOn w:val="74"/>
    <w:qFormat/>
    <w:uiPriority w:val="0"/>
    <w:pPr>
      <w:spacing w:line="240" w:lineRule="auto"/>
    </w:pPr>
    <w:rPr>
      <w:sz w:val="21"/>
    </w:rPr>
  </w:style>
  <w:style w:type="paragraph" w:customStyle="1" w:styleId="168">
    <w:name w:val="【表中的文字】"/>
    <w:basedOn w:val="30"/>
    <w:qFormat/>
    <w:uiPriority w:val="0"/>
    <w:pPr>
      <w:spacing w:before="0" w:after="0"/>
      <w:outlineLvl w:val="9"/>
    </w:pPr>
    <w:rPr>
      <w:rFonts w:ascii="Times New Roman" w:hAnsi="Times New Roman" w:eastAsia="宋体"/>
      <w:b w:val="0"/>
      <w:sz w:val="21"/>
      <w:szCs w:val="21"/>
    </w:rPr>
  </w:style>
  <w:style w:type="paragraph" w:customStyle="1" w:styleId="169">
    <w:name w:val="【华瑞正文】"/>
    <w:basedOn w:val="1"/>
    <w:qFormat/>
    <w:uiPriority w:val="0"/>
    <w:pPr>
      <w:spacing w:line="520" w:lineRule="exact"/>
      <w:ind w:firstLine="200" w:firstLineChars="200"/>
    </w:pPr>
    <w:rPr>
      <w:rFonts w:ascii="宋体" w:hAnsi="宋体" w:cs="宋体"/>
      <w:sz w:val="24"/>
      <w:szCs w:val="20"/>
    </w:rPr>
  </w:style>
  <w:style w:type="character" w:customStyle="1" w:styleId="170">
    <w:name w:val="【表中文字】 Char"/>
    <w:qFormat/>
    <w:uiPriority w:val="0"/>
    <w:rPr>
      <w:rFonts w:hint="default" w:ascii="Times New Roman" w:hAnsi="Times New Roman" w:cs="Times New Roman"/>
      <w:kern w:val="2"/>
      <w:sz w:val="21"/>
    </w:rPr>
  </w:style>
  <w:style w:type="paragraph" w:customStyle="1" w:styleId="171">
    <w:name w:val="样式 黑体 居中 行距: 1.5 倍行距"/>
    <w:basedOn w:val="1"/>
    <w:qFormat/>
    <w:uiPriority w:val="0"/>
    <w:pPr>
      <w:spacing w:line="360" w:lineRule="auto"/>
      <w:jc w:val="center"/>
    </w:pPr>
    <w:rPr>
      <w:rFonts w:ascii="黑体" w:hAnsi="黑体" w:eastAsia="黑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theme" Target="theme/theme1.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jpe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4.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jpeg"/><Relationship Id="rId53" Type="http://schemas.openxmlformats.org/officeDocument/2006/relationships/image" Target="media/image38.png"/><Relationship Id="rId52" Type="http://schemas.openxmlformats.org/officeDocument/2006/relationships/image" Target="media/image37.jpe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3.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jpeg"/><Relationship Id="rId36" Type="http://schemas.openxmlformats.org/officeDocument/2006/relationships/image" Target="media/image21.wmf"/><Relationship Id="rId35" Type="http://schemas.openxmlformats.org/officeDocument/2006/relationships/oleObject" Target="embeddings/oleObject8.bin"/><Relationship Id="rId34" Type="http://schemas.openxmlformats.org/officeDocument/2006/relationships/image" Target="media/image20.wmf"/><Relationship Id="rId33" Type="http://schemas.openxmlformats.org/officeDocument/2006/relationships/oleObject" Target="embeddings/oleObject7.bin"/><Relationship Id="rId32" Type="http://schemas.openxmlformats.org/officeDocument/2006/relationships/image" Target="media/image19.wmf"/><Relationship Id="rId31" Type="http://schemas.openxmlformats.org/officeDocument/2006/relationships/oleObject" Target="embeddings/oleObject6.bin"/><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wmf"/><Relationship Id="rId26" Type="http://schemas.openxmlformats.org/officeDocument/2006/relationships/oleObject" Target="embeddings/oleObject5.bin"/><Relationship Id="rId25" Type="http://schemas.openxmlformats.org/officeDocument/2006/relationships/image" Target="media/image14.wmf"/><Relationship Id="rId24" Type="http://schemas.openxmlformats.org/officeDocument/2006/relationships/oleObject" Target="embeddings/oleObject4.bin"/><Relationship Id="rId23" Type="http://schemas.openxmlformats.org/officeDocument/2006/relationships/image" Target="media/image13.wmf"/><Relationship Id="rId22" Type="http://schemas.openxmlformats.org/officeDocument/2006/relationships/oleObject" Target="embeddings/oleObject3.bin"/><Relationship Id="rId21" Type="http://schemas.openxmlformats.org/officeDocument/2006/relationships/image" Target="media/image12.jpeg"/><Relationship Id="rId20" Type="http://schemas.openxmlformats.org/officeDocument/2006/relationships/image" Target="media/image11.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0.wmf"/><Relationship Id="rId17" Type="http://schemas.openxmlformats.org/officeDocument/2006/relationships/oleObject" Target="embeddings/oleObject1.bin"/><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88</Pages>
  <Words>16589</Words>
  <Characters>18174</Characters>
  <Lines>1</Lines>
  <Paragraphs>1</Paragraphs>
  <TotalTime>0</TotalTime>
  <ScaleCrop>false</ScaleCrop>
  <LinksUpToDate>false</LinksUpToDate>
  <CharactersWithSpaces>18305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Fly</cp:lastModifiedBy>
  <cp:lastPrinted>2021-09-16T08:57:00Z</cp:lastPrinted>
  <dcterms:modified xsi:type="dcterms:W3CDTF">2025-03-17T02:38:10Z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EAA16D609BEA45DBBF05BEE37CF1ABFD_13</vt:lpwstr>
  </property>
  <property fmtid="{D5CDD505-2E9C-101B-9397-08002B2CF9AE}" pid="4" name="KSOTemplateDocerSaveRecord">
    <vt:lpwstr>eyJoZGlkIjoiNDA3ZDEzYTcyZWRiOGYyNzJkZjRjYTAzZDg0ODNmY2UiLCJ1c2VySWQiOiI3MzgwMTgwNTAifQ==</vt:lpwstr>
  </property>
</Properties>
</file>