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CE06865">
      <w:pPr>
        <w:rPr>
          <w:rFonts w:hint="default" w:ascii="Times New Roman" w:hAnsi="Times New Roman" w:eastAsia="仿宋_GB2312" w:cs="Times New Roman"/>
          <w:color w:val="auto"/>
          <w:sz w:val="36"/>
          <w:szCs w:val="36"/>
          <w:highlight w:val="none"/>
        </w:rPr>
      </w:pPr>
      <w:bookmarkStart w:id="0" w:name="_Hlk57883707"/>
    </w:p>
    <w:p w14:paraId="2A7A156F">
      <w:pPr>
        <w:rPr>
          <w:rFonts w:hint="default" w:ascii="Times New Roman" w:hAnsi="Times New Roman" w:eastAsia="仿宋_GB2312" w:cs="Times New Roman"/>
          <w:b/>
          <w:bCs/>
          <w:color w:val="auto"/>
          <w:sz w:val="36"/>
          <w:szCs w:val="36"/>
          <w:highlight w:val="none"/>
        </w:rPr>
      </w:pPr>
    </w:p>
    <w:p w14:paraId="7E9E97B3">
      <w:pPr>
        <w:rPr>
          <w:rFonts w:hint="default" w:ascii="Times New Roman" w:hAnsi="Times New Roman" w:eastAsia="仿宋_GB2312" w:cs="Times New Roman"/>
          <w:color w:val="auto"/>
          <w:sz w:val="36"/>
          <w:szCs w:val="36"/>
          <w:highlight w:val="none"/>
        </w:rPr>
      </w:pPr>
    </w:p>
    <w:bookmarkEnd w:id="0"/>
    <w:p w14:paraId="46FE1ECE">
      <w:pPr>
        <w:adjustRightInd w:val="0"/>
        <w:snapToGrid w:val="0"/>
        <w:jc w:val="center"/>
        <w:rPr>
          <w:rFonts w:hint="default" w:ascii="Times New Roman" w:hAnsi="Times New Roman" w:eastAsia="宋体" w:cs="Times New Roman"/>
          <w:bCs/>
          <w:color w:val="auto"/>
          <w:sz w:val="72"/>
          <w:szCs w:val="72"/>
          <w:highlight w:val="none"/>
        </w:rPr>
      </w:pPr>
      <w:r>
        <w:rPr>
          <w:rFonts w:hint="default" w:ascii="Times New Roman" w:hAnsi="Times New Roman" w:eastAsia="宋体" w:cs="Times New Roman"/>
          <w:bCs/>
          <w:color w:val="auto"/>
          <w:sz w:val="72"/>
          <w:szCs w:val="72"/>
          <w:highlight w:val="none"/>
        </w:rPr>
        <w:t>建设项目环境影响报告表</w:t>
      </w:r>
    </w:p>
    <w:p w14:paraId="2F4C8B57">
      <w:pPr>
        <w:adjustRightInd w:val="0"/>
        <w:snapToGrid w:val="0"/>
        <w:spacing w:before="249" w:beforeLines="80"/>
        <w:jc w:val="center"/>
        <w:rPr>
          <w:rFonts w:hint="default" w:ascii="Times New Roman" w:hAnsi="Times New Roman" w:eastAsia="宋体" w:cs="Times New Roman"/>
          <w:bCs/>
          <w:color w:val="auto"/>
          <w:sz w:val="48"/>
          <w:szCs w:val="48"/>
          <w:highlight w:val="none"/>
        </w:rPr>
      </w:pPr>
      <w:r>
        <w:rPr>
          <w:rFonts w:hint="default" w:ascii="Times New Roman" w:hAnsi="Times New Roman" w:eastAsia="宋体" w:cs="Times New Roman"/>
          <w:bCs/>
          <w:color w:val="auto"/>
          <w:sz w:val="48"/>
          <w:szCs w:val="48"/>
          <w:highlight w:val="none"/>
        </w:rPr>
        <w:t>（污染影响类）</w:t>
      </w:r>
    </w:p>
    <w:p w14:paraId="7F065E42">
      <w:pPr>
        <w:adjustRightInd w:val="0"/>
        <w:snapToGrid w:val="0"/>
        <w:spacing w:line="288" w:lineRule="auto"/>
        <w:jc w:val="center"/>
        <w:rPr>
          <w:rFonts w:hint="default" w:ascii="Times New Roman" w:hAnsi="Times New Roman" w:eastAsia="宋体" w:cs="Times New Roman"/>
          <w:color w:val="auto"/>
          <w:kern w:val="44"/>
          <w:sz w:val="44"/>
          <w:szCs w:val="44"/>
          <w:highlight w:val="none"/>
        </w:rPr>
      </w:pPr>
      <w:bookmarkStart w:id="1" w:name="_Hlk57883728"/>
    </w:p>
    <w:p w14:paraId="1ACC4219">
      <w:pPr>
        <w:jc w:val="center"/>
        <w:rPr>
          <w:rFonts w:hint="default" w:ascii="Times New Roman" w:hAnsi="Times New Roman" w:eastAsia="宋体" w:cs="Times New Roman"/>
          <w:color w:val="auto"/>
          <w:sz w:val="52"/>
          <w:szCs w:val="52"/>
          <w:highlight w:val="none"/>
        </w:rPr>
      </w:pPr>
    </w:p>
    <w:p w14:paraId="66BAE08C">
      <w:pPr>
        <w:ind w:firstLine="1040"/>
        <w:rPr>
          <w:rFonts w:hint="default" w:ascii="Times New Roman" w:hAnsi="Times New Roman" w:eastAsia="宋体" w:cs="Times New Roman"/>
          <w:color w:val="auto"/>
          <w:sz w:val="44"/>
          <w:szCs w:val="44"/>
          <w:highlight w:val="none"/>
        </w:rPr>
      </w:pPr>
    </w:p>
    <w:p w14:paraId="0916AA0E">
      <w:pPr>
        <w:pStyle w:val="15"/>
        <w:rPr>
          <w:rFonts w:hint="default" w:ascii="Times New Roman" w:hAnsi="Times New Roman" w:eastAsia="宋体" w:cs="Times New Roman"/>
          <w:color w:val="auto"/>
          <w:sz w:val="44"/>
          <w:szCs w:val="44"/>
          <w:highlight w:val="none"/>
        </w:rPr>
      </w:pPr>
    </w:p>
    <w:p w14:paraId="4BD7EA6E">
      <w:pPr>
        <w:pStyle w:val="43"/>
        <w:rPr>
          <w:rFonts w:hint="default" w:ascii="Times New Roman" w:hAnsi="Times New Roman" w:eastAsia="宋体" w:cs="Times New Roman"/>
          <w:color w:val="auto"/>
          <w:sz w:val="44"/>
          <w:szCs w:val="44"/>
          <w:highlight w:val="none"/>
        </w:rPr>
      </w:pPr>
    </w:p>
    <w:p w14:paraId="5A5FBB7E">
      <w:pPr>
        <w:pStyle w:val="44"/>
        <w:rPr>
          <w:rFonts w:hint="default" w:ascii="Times New Roman" w:hAnsi="Times New Roman" w:eastAsia="宋体" w:cs="Times New Roman"/>
          <w:color w:val="auto"/>
          <w:highlight w:val="none"/>
        </w:rPr>
      </w:pPr>
    </w:p>
    <w:p w14:paraId="132B8DD1">
      <w:pPr>
        <w:rPr>
          <w:rFonts w:hint="default" w:ascii="Times New Roman" w:hAnsi="Times New Roman" w:eastAsia="宋体" w:cs="Times New Roman"/>
          <w:color w:val="auto"/>
          <w:sz w:val="44"/>
          <w:szCs w:val="44"/>
          <w:highlight w:val="none"/>
        </w:rPr>
      </w:pPr>
    </w:p>
    <w:bookmarkEnd w:id="1"/>
    <w:p w14:paraId="4F3AAFF6">
      <w:pPr>
        <w:adjustRightInd w:val="0"/>
        <w:snapToGrid w:val="0"/>
        <w:spacing w:line="288" w:lineRule="auto"/>
        <w:ind w:left="1630" w:hanging="1630" w:hangingChars="500"/>
        <w:jc w:val="left"/>
        <w:rPr>
          <w:rFonts w:hint="default" w:ascii="Times New Roman" w:hAnsi="Times New Roman" w:eastAsia="宋体" w:cs="Times New Roman"/>
          <w:color w:val="auto"/>
          <w:spacing w:val="-17"/>
          <w:sz w:val="36"/>
          <w:szCs w:val="36"/>
          <w:highlight w:val="none"/>
          <w:u w:val="single"/>
          <w:lang w:val="en-US"/>
        </w:rPr>
      </w:pPr>
      <w:r>
        <w:rPr>
          <w:rFonts w:hint="default" w:ascii="Times New Roman" w:hAnsi="Times New Roman" w:eastAsia="宋体" w:cs="Times New Roman"/>
          <w:color w:val="auto"/>
          <w:spacing w:val="-17"/>
          <w:sz w:val="36"/>
          <w:szCs w:val="36"/>
          <w:highlight w:val="none"/>
        </w:rPr>
        <w:t>项目名称：</w:t>
      </w:r>
      <w:r>
        <w:rPr>
          <w:rFonts w:hint="default" w:ascii="Times New Roman" w:hAnsi="Times New Roman" w:eastAsia="宋体" w:cs="Times New Roman"/>
          <w:color w:val="auto"/>
          <w:spacing w:val="-17"/>
          <w:sz w:val="36"/>
          <w:szCs w:val="36"/>
          <w:highlight w:val="none"/>
          <w:lang w:val="en-US" w:eastAsia="zh-CN"/>
        </w:rPr>
        <w:t xml:space="preserve"> </w:t>
      </w:r>
      <w:r>
        <w:rPr>
          <w:rFonts w:hint="default" w:ascii="Times New Roman" w:hAnsi="Times New Roman" w:eastAsia="宋体" w:cs="Times New Roman"/>
          <w:color w:val="auto"/>
          <w:spacing w:val="-17"/>
          <w:sz w:val="36"/>
          <w:szCs w:val="36"/>
          <w:highlight w:val="none"/>
          <w:u w:val="single"/>
          <w:lang w:val="en-US" w:eastAsia="zh-CN"/>
        </w:rPr>
        <w:t>黑龙江省万龙生物质有限责任公司建设</w:t>
      </w:r>
      <w:r>
        <w:rPr>
          <w:rFonts w:hint="default" w:ascii="Times New Roman" w:hAnsi="Times New Roman" w:eastAsia="宋体" w:cs="Times New Roman"/>
          <w:color w:val="auto"/>
          <w:sz w:val="36"/>
          <w:szCs w:val="36"/>
          <w:highlight w:val="none"/>
          <w:u w:val="single"/>
          <w:lang w:val="en-US" w:eastAsia="zh-CN"/>
        </w:rPr>
        <w:t xml:space="preserve">项目             </w:t>
      </w:r>
    </w:p>
    <w:p w14:paraId="1B844E05">
      <w:pPr>
        <w:adjustRightInd w:val="0"/>
        <w:snapToGrid w:val="0"/>
        <w:spacing w:line="288" w:lineRule="auto"/>
        <w:ind w:left="1800" w:hanging="1800" w:hangingChars="500"/>
        <w:rPr>
          <w:rFonts w:hint="default" w:ascii="Times New Roman" w:hAnsi="Times New Roman" w:eastAsia="宋体" w:cs="Times New Roman"/>
          <w:color w:val="auto"/>
          <w:sz w:val="36"/>
          <w:szCs w:val="36"/>
          <w:highlight w:val="none"/>
          <w:u w:val="single"/>
          <w:lang w:val="en-US" w:eastAsia="zh-CN"/>
        </w:rPr>
      </w:pPr>
      <w:r>
        <w:rPr>
          <w:rFonts w:hint="default" w:ascii="Times New Roman" w:hAnsi="Times New Roman" w:eastAsia="宋体" w:cs="Times New Roman"/>
          <w:color w:val="auto"/>
          <w:sz w:val="36"/>
          <w:szCs w:val="36"/>
          <w:highlight w:val="none"/>
        </w:rPr>
        <w:t>建设单位：</w:t>
      </w:r>
      <w:r>
        <w:rPr>
          <w:rFonts w:hint="default" w:ascii="Times New Roman" w:hAnsi="Times New Roman" w:eastAsia="宋体" w:cs="Times New Roman"/>
          <w:color w:val="auto"/>
          <w:spacing w:val="-17"/>
          <w:sz w:val="36"/>
          <w:szCs w:val="36"/>
          <w:highlight w:val="none"/>
          <w:u w:val="single"/>
          <w:lang w:val="en-US" w:eastAsia="zh-CN"/>
        </w:rPr>
        <w:t>黑龙江省万龙生物质有限责任公司</w:t>
      </w:r>
      <w:r>
        <w:rPr>
          <w:rFonts w:hint="default" w:ascii="Times New Roman" w:hAnsi="Times New Roman" w:eastAsia="宋体" w:cs="Times New Roman"/>
          <w:color w:val="auto"/>
          <w:sz w:val="36"/>
          <w:szCs w:val="36"/>
          <w:highlight w:val="none"/>
          <w:u w:val="single"/>
          <w:lang w:val="en-US" w:eastAsia="zh-CN"/>
        </w:rPr>
        <w:t xml:space="preserve">             </w:t>
      </w:r>
    </w:p>
    <w:p w14:paraId="1FF5F38B">
      <w:pPr>
        <w:adjustRightInd w:val="0"/>
        <w:snapToGrid w:val="0"/>
        <w:spacing w:line="288" w:lineRule="auto"/>
        <w:rPr>
          <w:rFonts w:hint="default" w:ascii="Times New Roman" w:hAnsi="Times New Roman" w:eastAsia="宋体" w:cs="Times New Roman"/>
          <w:color w:val="auto"/>
          <w:sz w:val="36"/>
          <w:szCs w:val="36"/>
          <w:highlight w:val="none"/>
          <w:u w:val="single"/>
          <w:lang w:val="en-US" w:eastAsia="zh-CN"/>
        </w:rPr>
      </w:pPr>
      <w:r>
        <w:rPr>
          <w:rFonts w:hint="default" w:ascii="Times New Roman" w:hAnsi="Times New Roman" w:eastAsia="宋体" w:cs="Times New Roman"/>
          <w:color w:val="auto"/>
          <w:sz w:val="36"/>
          <w:szCs w:val="36"/>
          <w:highlight w:val="none"/>
        </w:rPr>
        <w:t>编制日期：</w:t>
      </w:r>
      <w:r>
        <w:rPr>
          <w:rFonts w:hint="default" w:ascii="Times New Roman" w:hAnsi="Times New Roman" w:eastAsia="宋体" w:cs="Times New Roman"/>
          <w:color w:val="auto"/>
          <w:sz w:val="36"/>
          <w:szCs w:val="36"/>
          <w:highlight w:val="none"/>
          <w:u w:val="single"/>
          <w:lang w:val="en-US" w:eastAsia="zh-CN"/>
        </w:rPr>
        <w:t xml:space="preserve">             </w:t>
      </w:r>
      <w:r>
        <w:rPr>
          <w:rFonts w:hint="default" w:ascii="Times New Roman" w:hAnsi="Times New Roman" w:eastAsia="宋体" w:cs="Times New Roman"/>
          <w:color w:val="auto"/>
          <w:sz w:val="36"/>
          <w:szCs w:val="36"/>
          <w:highlight w:val="none"/>
          <w:u w:val="single"/>
        </w:rPr>
        <w:t>202</w:t>
      </w:r>
      <w:r>
        <w:rPr>
          <w:rFonts w:hint="default" w:ascii="Times New Roman" w:hAnsi="Times New Roman" w:eastAsia="宋体" w:cs="Times New Roman"/>
          <w:color w:val="auto"/>
          <w:sz w:val="36"/>
          <w:szCs w:val="36"/>
          <w:highlight w:val="none"/>
          <w:u w:val="single"/>
          <w:lang w:val="en-US" w:eastAsia="zh-CN"/>
        </w:rPr>
        <w:t>5</w:t>
      </w:r>
      <w:r>
        <w:rPr>
          <w:rFonts w:hint="default" w:ascii="Times New Roman" w:hAnsi="Times New Roman" w:eastAsia="宋体" w:cs="Times New Roman"/>
          <w:color w:val="auto"/>
          <w:sz w:val="36"/>
          <w:szCs w:val="36"/>
          <w:highlight w:val="none"/>
          <w:u w:val="single"/>
        </w:rPr>
        <w:t>年</w:t>
      </w:r>
      <w:r>
        <w:rPr>
          <w:rFonts w:hint="default" w:ascii="Times New Roman" w:hAnsi="Times New Roman" w:eastAsia="宋体" w:cs="Times New Roman"/>
          <w:color w:val="auto"/>
          <w:sz w:val="36"/>
          <w:szCs w:val="36"/>
          <w:highlight w:val="none"/>
          <w:u w:val="single"/>
          <w:lang w:val="en-US" w:eastAsia="zh-CN"/>
        </w:rPr>
        <w:t>7</w:t>
      </w:r>
      <w:r>
        <w:rPr>
          <w:rFonts w:hint="default" w:ascii="Times New Roman" w:hAnsi="Times New Roman" w:eastAsia="宋体" w:cs="Times New Roman"/>
          <w:color w:val="auto"/>
          <w:sz w:val="36"/>
          <w:szCs w:val="36"/>
          <w:highlight w:val="none"/>
          <w:u w:val="single"/>
        </w:rPr>
        <w:t xml:space="preserve">月     </w:t>
      </w:r>
      <w:r>
        <w:rPr>
          <w:rFonts w:hint="default" w:ascii="Times New Roman" w:hAnsi="Times New Roman" w:eastAsia="宋体" w:cs="Times New Roman"/>
          <w:color w:val="auto"/>
          <w:sz w:val="36"/>
          <w:szCs w:val="36"/>
          <w:highlight w:val="none"/>
          <w:u w:val="single"/>
          <w:lang w:val="en-US" w:eastAsia="zh-CN"/>
        </w:rPr>
        <w:t xml:space="preserve">     </w:t>
      </w:r>
      <w:r>
        <w:rPr>
          <w:rFonts w:hint="default" w:ascii="Times New Roman" w:hAnsi="Times New Roman" w:eastAsia="宋体" w:cs="Times New Roman"/>
          <w:color w:val="auto"/>
          <w:sz w:val="36"/>
          <w:szCs w:val="36"/>
          <w:highlight w:val="none"/>
          <w:u w:val="single"/>
        </w:rPr>
        <w:t xml:space="preserve">  </w:t>
      </w:r>
      <w:r>
        <w:rPr>
          <w:rFonts w:hint="default" w:ascii="Times New Roman" w:hAnsi="Times New Roman" w:eastAsia="宋体" w:cs="Times New Roman"/>
          <w:color w:val="auto"/>
          <w:sz w:val="36"/>
          <w:szCs w:val="36"/>
          <w:highlight w:val="none"/>
          <w:u w:val="single"/>
          <w:lang w:val="en-US" w:eastAsia="zh-CN"/>
        </w:rPr>
        <w:t xml:space="preserve"> </w:t>
      </w:r>
      <w:r>
        <w:rPr>
          <w:rFonts w:hint="default" w:ascii="Times New Roman" w:hAnsi="Times New Roman" w:eastAsia="宋体" w:cs="Times New Roman"/>
          <w:color w:val="auto"/>
          <w:sz w:val="36"/>
          <w:szCs w:val="36"/>
          <w:highlight w:val="none"/>
          <w:u w:val="single"/>
        </w:rPr>
        <w:t xml:space="preserve">  </w:t>
      </w:r>
    </w:p>
    <w:p w14:paraId="2967778D">
      <w:pPr>
        <w:adjustRightInd w:val="0"/>
        <w:snapToGrid w:val="0"/>
        <w:spacing w:line="288" w:lineRule="auto"/>
        <w:ind w:firstLine="1040"/>
        <w:rPr>
          <w:rFonts w:hint="default" w:ascii="Times New Roman" w:hAnsi="Times New Roman" w:eastAsia="宋体" w:cs="Times New Roman"/>
          <w:color w:val="auto"/>
          <w:sz w:val="36"/>
          <w:szCs w:val="36"/>
          <w:highlight w:val="none"/>
          <w:u w:val="single"/>
        </w:rPr>
      </w:pPr>
    </w:p>
    <w:p w14:paraId="123C418F">
      <w:pPr>
        <w:adjustRightInd w:val="0"/>
        <w:snapToGrid w:val="0"/>
        <w:spacing w:line="288" w:lineRule="auto"/>
        <w:ind w:firstLine="1040"/>
        <w:rPr>
          <w:rFonts w:hint="default" w:ascii="Times New Roman" w:hAnsi="Times New Roman" w:eastAsia="宋体" w:cs="Times New Roman"/>
          <w:color w:val="auto"/>
          <w:sz w:val="36"/>
          <w:szCs w:val="36"/>
          <w:highlight w:val="none"/>
        </w:rPr>
      </w:pPr>
    </w:p>
    <w:p w14:paraId="4149DC05">
      <w:pPr>
        <w:adjustRightInd w:val="0"/>
        <w:snapToGrid w:val="0"/>
        <w:spacing w:line="288" w:lineRule="auto"/>
        <w:rPr>
          <w:rFonts w:hint="default" w:ascii="Times New Roman" w:hAnsi="Times New Roman" w:eastAsia="宋体" w:cs="Times New Roman"/>
          <w:color w:val="auto"/>
          <w:sz w:val="36"/>
          <w:szCs w:val="36"/>
          <w:highlight w:val="none"/>
        </w:rPr>
      </w:pPr>
    </w:p>
    <w:p w14:paraId="593886D2">
      <w:pPr>
        <w:adjustRightInd w:val="0"/>
        <w:snapToGrid w:val="0"/>
        <w:spacing w:line="288" w:lineRule="auto"/>
        <w:ind w:firstLine="1040"/>
        <w:rPr>
          <w:rFonts w:hint="default" w:ascii="Times New Roman" w:hAnsi="Times New Roman" w:eastAsia="宋体" w:cs="Times New Roman"/>
          <w:color w:val="auto"/>
          <w:sz w:val="36"/>
          <w:szCs w:val="36"/>
          <w:highlight w:val="none"/>
        </w:rPr>
      </w:pPr>
    </w:p>
    <w:p w14:paraId="42837B84">
      <w:pPr>
        <w:adjustRightInd w:val="0"/>
        <w:snapToGrid w:val="0"/>
        <w:spacing w:line="288" w:lineRule="auto"/>
        <w:jc w:val="center"/>
        <w:rPr>
          <w:rFonts w:hint="default" w:ascii="Times New Roman" w:hAnsi="Times New Roman" w:eastAsia="宋体" w:cs="Times New Roman"/>
          <w:color w:val="auto"/>
          <w:sz w:val="36"/>
          <w:szCs w:val="36"/>
          <w:highlight w:val="none"/>
        </w:rPr>
        <w:sectPr>
          <w:footerReference r:id="rId3" w:type="default"/>
          <w:pgSz w:w="11850" w:h="16783"/>
          <w:pgMar w:top="1701" w:right="1531" w:bottom="1701" w:left="1531" w:header="851" w:footer="1077" w:gutter="0"/>
          <w:pgBorders>
            <w:top w:val="none" w:sz="0" w:space="0"/>
            <w:left w:val="none" w:sz="0" w:space="0"/>
            <w:bottom w:val="none" w:sz="0" w:space="0"/>
            <w:right w:val="none" w:sz="0" w:space="0"/>
          </w:pgBorders>
          <w:pgNumType w:start="1"/>
          <w:cols w:space="0" w:num="1"/>
          <w:docGrid w:type="lines" w:linePitch="312" w:charSpace="0"/>
        </w:sectPr>
      </w:pPr>
      <w:r>
        <w:rPr>
          <w:rFonts w:hint="default" w:ascii="Times New Roman" w:hAnsi="Times New Roman" w:eastAsia="宋体" w:cs="Times New Roman"/>
          <w:color w:val="auto"/>
          <w:sz w:val="36"/>
          <w:szCs w:val="36"/>
          <w:highlight w:val="none"/>
        </w:rPr>
        <w:t>中华人民共和国生态环境部</w:t>
      </w:r>
    </w:p>
    <w:p w14:paraId="53895BAA">
      <w:pPr>
        <w:pStyle w:val="30"/>
        <w:spacing w:before="0" w:beforeAutospacing="0" w:after="156" w:afterLines="50" w:afterAutospacing="0"/>
        <w:jc w:val="center"/>
        <w:outlineLvl w:val="0"/>
        <w:rPr>
          <w:color w:val="auto"/>
        </w:rPr>
      </w:pPr>
      <w:bookmarkStart w:id="16" w:name="_GoBack"/>
      <w:bookmarkStart w:id="2" w:name="_Toc16950"/>
      <w:r>
        <w:rPr>
          <w:color w:val="auto"/>
        </w:rPr>
        <w:drawing>
          <wp:inline distT="0" distB="0" distL="114300" distR="114300">
            <wp:extent cx="5504815" cy="8086725"/>
            <wp:effectExtent l="0" t="0" r="635" b="9525"/>
            <wp:docPr id="14" name="图片 6"/>
            <wp:cNvGraphicFramePr/>
            <a:graphic xmlns:a="http://schemas.openxmlformats.org/drawingml/2006/main">
              <a:graphicData uri="http://schemas.openxmlformats.org/drawingml/2006/picture">
                <pic:pic xmlns:pic="http://schemas.openxmlformats.org/drawingml/2006/picture">
                  <pic:nvPicPr>
                    <pic:cNvPr id="14" name="图片 6"/>
                    <pic:cNvPicPr/>
                  </pic:nvPicPr>
                  <pic:blipFill>
                    <a:blip r:embed="rId8"/>
                    <a:stretch>
                      <a:fillRect/>
                    </a:stretch>
                  </pic:blipFill>
                  <pic:spPr>
                    <a:xfrm>
                      <a:off x="0" y="0"/>
                      <a:ext cx="5504815" cy="8086725"/>
                    </a:xfrm>
                    <a:prstGeom prst="rect">
                      <a:avLst/>
                    </a:prstGeom>
                    <a:noFill/>
                    <a:ln>
                      <a:noFill/>
                    </a:ln>
                  </pic:spPr>
                </pic:pic>
              </a:graphicData>
            </a:graphic>
          </wp:inline>
        </w:drawing>
      </w:r>
      <w:bookmarkEnd w:id="16"/>
    </w:p>
    <w:p w14:paraId="78E0D1B5">
      <w:pPr>
        <w:pStyle w:val="30"/>
        <w:spacing w:before="0" w:beforeAutospacing="0" w:after="156" w:afterLines="50" w:afterAutospacing="0"/>
        <w:jc w:val="center"/>
        <w:outlineLvl w:val="0"/>
        <w:rPr>
          <w:rFonts w:hint="eastAsia" w:ascii="宋体" w:hAnsi="宋体" w:eastAsia="宋体" w:cs="宋体"/>
          <w:snapToGrid w:val="0"/>
          <w:color w:val="auto"/>
          <w:kern w:val="21"/>
          <w:sz w:val="30"/>
          <w:szCs w:val="30"/>
          <w:highlight w:val="none"/>
        </w:rPr>
      </w:pPr>
      <w:r>
        <w:rPr>
          <w:rFonts w:hint="eastAsia" w:ascii="宋体" w:hAnsi="宋体" w:eastAsia="宋体" w:cs="宋体"/>
          <w:snapToGrid w:val="0"/>
          <w:color w:val="auto"/>
          <w:kern w:val="21"/>
          <w:sz w:val="30"/>
          <w:szCs w:val="30"/>
          <w:highlight w:val="none"/>
        </w:rPr>
        <w:t>一、建设项目基本情况</w:t>
      </w:r>
      <w:bookmarkEnd w:id="2"/>
    </w:p>
    <w:tbl>
      <w:tblPr>
        <w:tblStyle w:val="34"/>
        <w:tblW w:w="515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626"/>
        <w:gridCol w:w="2141"/>
        <w:gridCol w:w="2146"/>
        <w:gridCol w:w="3165"/>
      </w:tblGrid>
      <w:tr w14:paraId="1C462C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2D428100">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建设项目名称</w:t>
            </w:r>
          </w:p>
        </w:tc>
        <w:tc>
          <w:tcPr>
            <w:tcW w:w="4104" w:type="pct"/>
            <w:gridSpan w:val="3"/>
            <w:vAlign w:val="center"/>
          </w:tcPr>
          <w:p w14:paraId="22EE7A5F">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eastAsia="zh-CN"/>
              </w:rPr>
            </w:pPr>
            <w:r>
              <w:rPr>
                <w:rFonts w:hint="eastAsia"/>
                <w:color w:val="auto"/>
                <w:sz w:val="21"/>
                <w:szCs w:val="21"/>
                <w:highlight w:val="none"/>
                <w:lang w:val="en-US" w:eastAsia="zh-CN"/>
              </w:rPr>
              <w:t>黑龙江省万龙生物质有限责任公司建设项目</w:t>
            </w:r>
          </w:p>
        </w:tc>
      </w:tr>
      <w:tr w14:paraId="2D363B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49F0F47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项目代码</w:t>
            </w:r>
          </w:p>
        </w:tc>
        <w:tc>
          <w:tcPr>
            <w:tcW w:w="4104" w:type="pct"/>
            <w:gridSpan w:val="3"/>
            <w:vAlign w:val="center"/>
          </w:tcPr>
          <w:p w14:paraId="3B9DCFE9">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spacing w:val="4"/>
                <w:sz w:val="21"/>
                <w:szCs w:val="21"/>
                <w:highlight w:val="none"/>
                <w:lang w:val="en-US" w:eastAsia="zh-CN"/>
              </w:rPr>
              <w:t>无</w:t>
            </w:r>
          </w:p>
        </w:tc>
      </w:tr>
      <w:tr w14:paraId="152AA8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5BAB8D05">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建设单位联系人</w:t>
            </w:r>
          </w:p>
        </w:tc>
        <w:tc>
          <w:tcPr>
            <w:tcW w:w="1179" w:type="pct"/>
            <w:vAlign w:val="center"/>
          </w:tcPr>
          <w:p w14:paraId="02BD524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 w:val="21"/>
                <w:szCs w:val="21"/>
                <w:highlight w:val="none"/>
                <w:lang w:eastAsia="zh-CN"/>
              </w:rPr>
            </w:pPr>
            <w:r>
              <w:rPr>
                <w:rFonts w:hint="eastAsia" w:cs="Times New Roman"/>
                <w:color w:val="auto"/>
                <w:kern w:val="21"/>
                <w:sz w:val="21"/>
                <w:szCs w:val="21"/>
                <w:highlight w:val="none"/>
                <w:lang w:eastAsia="zh-CN"/>
              </w:rPr>
              <w:t>徐晗舒</w:t>
            </w:r>
          </w:p>
        </w:tc>
        <w:tc>
          <w:tcPr>
            <w:tcW w:w="1182" w:type="pct"/>
            <w:vAlign w:val="center"/>
          </w:tcPr>
          <w:p w14:paraId="44E9E9A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联系方式</w:t>
            </w:r>
          </w:p>
        </w:tc>
        <w:tc>
          <w:tcPr>
            <w:tcW w:w="1743" w:type="pct"/>
            <w:vAlign w:val="center"/>
          </w:tcPr>
          <w:p w14:paraId="06E766E5">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lang w:val="en-US"/>
              </w:rPr>
            </w:pPr>
            <w:r>
              <w:rPr>
                <w:rFonts w:hint="eastAsia"/>
                <w:color w:val="auto"/>
                <w:sz w:val="21"/>
                <w:szCs w:val="21"/>
                <w:highlight w:val="none"/>
                <w:lang w:val="en-US" w:eastAsia="zh-CN"/>
              </w:rPr>
              <w:t>15774673333</w:t>
            </w:r>
          </w:p>
        </w:tc>
      </w:tr>
      <w:tr w14:paraId="5FEDDC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42C527B2">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建设地点</w:t>
            </w:r>
          </w:p>
        </w:tc>
        <w:tc>
          <w:tcPr>
            <w:tcW w:w="4104" w:type="pct"/>
            <w:gridSpan w:val="3"/>
            <w:vAlign w:val="center"/>
          </w:tcPr>
          <w:p w14:paraId="7C7BFC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21"/>
                <w:szCs w:val="21"/>
                <w:highlight w:val="none"/>
                <w:lang w:val="en-US" w:eastAsia="zh-CN"/>
              </w:rPr>
            </w:pPr>
            <w:r>
              <w:rPr>
                <w:rFonts w:hint="eastAsia"/>
                <w:color w:val="auto"/>
                <w:sz w:val="21"/>
                <w:szCs w:val="21"/>
                <w:highlight w:val="none"/>
                <w:lang w:eastAsia="zh-CN"/>
              </w:rPr>
              <w:t>黑龙江省鸡西市梨树区穆棱矿</w:t>
            </w:r>
          </w:p>
        </w:tc>
      </w:tr>
      <w:tr w14:paraId="23625F2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895" w:type="pct"/>
            <w:tcMar>
              <w:top w:w="16" w:type="dxa"/>
              <w:left w:w="16" w:type="dxa"/>
              <w:right w:w="16" w:type="dxa"/>
            </w:tcMar>
            <w:vAlign w:val="center"/>
          </w:tcPr>
          <w:p w14:paraId="67D6C564">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地理坐标</w:t>
            </w:r>
          </w:p>
        </w:tc>
        <w:tc>
          <w:tcPr>
            <w:tcW w:w="4104" w:type="pct"/>
            <w:gridSpan w:val="3"/>
            <w:vAlign w:val="center"/>
          </w:tcPr>
          <w:p w14:paraId="1DB7920E">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color w:val="auto"/>
                <w:szCs w:val="21"/>
                <w:highlight w:val="none"/>
              </w:rPr>
              <w:t>（</w:t>
            </w:r>
            <w:r>
              <w:rPr>
                <w:rFonts w:hint="default"/>
                <w:color w:val="auto"/>
                <w:szCs w:val="21"/>
                <w:highlight w:val="none"/>
                <w:u w:val="single"/>
              </w:rPr>
              <w:t>1</w:t>
            </w:r>
            <w:r>
              <w:rPr>
                <w:rFonts w:hint="eastAsia"/>
                <w:color w:val="auto"/>
                <w:szCs w:val="21"/>
                <w:highlight w:val="none"/>
                <w:u w:val="single"/>
                <w:lang w:val="en-US" w:eastAsia="zh-CN"/>
              </w:rPr>
              <w:t>30</w:t>
            </w:r>
            <w:r>
              <w:rPr>
                <w:rFonts w:hint="default"/>
                <w:color w:val="auto"/>
                <w:szCs w:val="21"/>
                <w:highlight w:val="none"/>
              </w:rPr>
              <w:t>度</w:t>
            </w:r>
            <w:r>
              <w:rPr>
                <w:rFonts w:hint="eastAsia"/>
                <w:color w:val="auto"/>
                <w:szCs w:val="21"/>
                <w:highlight w:val="none"/>
                <w:u w:val="single"/>
                <w:lang w:val="en-US" w:eastAsia="zh-CN"/>
              </w:rPr>
              <w:t>42</w:t>
            </w:r>
            <w:r>
              <w:rPr>
                <w:rFonts w:hint="default"/>
                <w:color w:val="auto"/>
                <w:szCs w:val="21"/>
                <w:highlight w:val="none"/>
              </w:rPr>
              <w:t>分</w:t>
            </w:r>
            <w:r>
              <w:rPr>
                <w:rFonts w:hint="eastAsia"/>
                <w:color w:val="auto"/>
                <w:szCs w:val="21"/>
                <w:highlight w:val="none"/>
                <w:u w:val="single"/>
                <w:lang w:val="en-US" w:eastAsia="zh-CN"/>
              </w:rPr>
              <w:t>56.460</w:t>
            </w:r>
            <w:r>
              <w:rPr>
                <w:rFonts w:hint="default"/>
                <w:color w:val="auto"/>
                <w:szCs w:val="21"/>
                <w:highlight w:val="none"/>
              </w:rPr>
              <w:t>秒，</w:t>
            </w:r>
            <w:r>
              <w:rPr>
                <w:rFonts w:hint="default"/>
                <w:color w:val="auto"/>
                <w:szCs w:val="21"/>
                <w:highlight w:val="none"/>
                <w:u w:val="single"/>
              </w:rPr>
              <w:t>4</w:t>
            </w:r>
            <w:r>
              <w:rPr>
                <w:rFonts w:hint="eastAsia"/>
                <w:color w:val="auto"/>
                <w:szCs w:val="21"/>
                <w:highlight w:val="none"/>
                <w:u w:val="single"/>
                <w:lang w:val="en-US" w:eastAsia="zh-CN"/>
              </w:rPr>
              <w:t>5</w:t>
            </w:r>
            <w:r>
              <w:rPr>
                <w:rFonts w:hint="default"/>
                <w:color w:val="auto"/>
                <w:szCs w:val="21"/>
                <w:highlight w:val="none"/>
              </w:rPr>
              <w:t>度</w:t>
            </w:r>
            <w:r>
              <w:rPr>
                <w:rFonts w:hint="eastAsia"/>
                <w:color w:val="auto"/>
                <w:szCs w:val="21"/>
                <w:highlight w:val="none"/>
                <w:u w:val="single"/>
                <w:lang w:val="en-US" w:eastAsia="zh-CN"/>
              </w:rPr>
              <w:t>03</w:t>
            </w:r>
            <w:r>
              <w:rPr>
                <w:rFonts w:hint="default"/>
                <w:color w:val="auto"/>
                <w:szCs w:val="21"/>
                <w:highlight w:val="none"/>
              </w:rPr>
              <w:t>分</w:t>
            </w:r>
            <w:r>
              <w:rPr>
                <w:rFonts w:hint="eastAsia"/>
                <w:color w:val="auto"/>
                <w:szCs w:val="21"/>
                <w:highlight w:val="none"/>
                <w:u w:val="single"/>
                <w:lang w:val="en-US" w:eastAsia="zh-CN"/>
              </w:rPr>
              <w:t>54.680</w:t>
            </w:r>
            <w:r>
              <w:rPr>
                <w:rFonts w:hint="default"/>
                <w:color w:val="auto"/>
                <w:szCs w:val="21"/>
                <w:highlight w:val="none"/>
              </w:rPr>
              <w:t>秒）</w:t>
            </w:r>
          </w:p>
        </w:tc>
      </w:tr>
      <w:tr w14:paraId="4B0510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35A2A759">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国民经济</w:t>
            </w:r>
          </w:p>
          <w:p w14:paraId="2BB717A7">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行业类别</w:t>
            </w:r>
          </w:p>
        </w:tc>
        <w:tc>
          <w:tcPr>
            <w:tcW w:w="1179" w:type="pct"/>
            <w:vAlign w:val="center"/>
          </w:tcPr>
          <w:p w14:paraId="2A3137A6">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lang w:val="en-US"/>
              </w:rPr>
            </w:pPr>
            <w:r>
              <w:rPr>
                <w:rFonts w:hint="eastAsia"/>
                <w:color w:val="auto"/>
                <w:szCs w:val="21"/>
                <w:highlight w:val="none"/>
              </w:rPr>
              <w:t>C2542生物质致密成型燃料加工</w:t>
            </w:r>
          </w:p>
        </w:tc>
        <w:tc>
          <w:tcPr>
            <w:tcW w:w="1182" w:type="pct"/>
            <w:vAlign w:val="center"/>
          </w:tcPr>
          <w:p w14:paraId="73022EC9">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w:t>
            </w:r>
          </w:p>
          <w:p w14:paraId="0027F5FF">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行业类别</w:t>
            </w:r>
          </w:p>
        </w:tc>
        <w:tc>
          <w:tcPr>
            <w:tcW w:w="1743" w:type="pct"/>
            <w:vAlign w:val="center"/>
          </w:tcPr>
          <w:p w14:paraId="74B08CEE">
            <w:pPr>
              <w:keepNext w:val="0"/>
              <w:keepLines w:val="0"/>
              <w:widowControl/>
              <w:suppressLineNumbers w:val="0"/>
              <w:spacing w:before="0" w:beforeAutospacing="0" w:after="0" w:afterAutospacing="0"/>
              <w:ind w:left="0" w:right="0"/>
              <w:jc w:val="center"/>
              <w:rPr>
                <w:rFonts w:hint="default" w:eastAsia="宋体"/>
                <w:color w:val="auto"/>
                <w:highlight w:val="none"/>
                <w:lang w:val="en-US" w:eastAsia="zh-CN"/>
              </w:rPr>
            </w:pPr>
            <w:r>
              <w:rPr>
                <w:rFonts w:hint="eastAsia"/>
                <w:color w:val="auto"/>
                <w:szCs w:val="21"/>
                <w:highlight w:val="none"/>
              </w:rPr>
              <w:t>二十二、石油、煤炭及其他燃料加工业 43生物质燃料加工</w:t>
            </w:r>
          </w:p>
        </w:tc>
      </w:tr>
      <w:tr w14:paraId="0ADDAA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11D191B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建设性质</w:t>
            </w:r>
          </w:p>
        </w:tc>
        <w:tc>
          <w:tcPr>
            <w:tcW w:w="1179" w:type="pct"/>
            <w:vAlign w:val="center"/>
          </w:tcPr>
          <w:p w14:paraId="642187D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left"/>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新建（迁建）</w:t>
            </w:r>
          </w:p>
          <w:p w14:paraId="0878878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left"/>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改建</w:t>
            </w:r>
          </w:p>
          <w:p w14:paraId="59125F9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left"/>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扩建</w:t>
            </w:r>
          </w:p>
          <w:p w14:paraId="39211616">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left"/>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技术改造</w:t>
            </w:r>
          </w:p>
        </w:tc>
        <w:tc>
          <w:tcPr>
            <w:tcW w:w="1182" w:type="pct"/>
            <w:vAlign w:val="center"/>
          </w:tcPr>
          <w:p w14:paraId="7F20CF8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建设项目</w:t>
            </w:r>
          </w:p>
          <w:p w14:paraId="1BA714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申报情形</w:t>
            </w:r>
          </w:p>
        </w:tc>
        <w:tc>
          <w:tcPr>
            <w:tcW w:w="1743" w:type="pct"/>
            <w:vAlign w:val="center"/>
          </w:tcPr>
          <w:p w14:paraId="14E1380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left"/>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首次申报项目</w:t>
            </w:r>
          </w:p>
          <w:p w14:paraId="7732F9D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left"/>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不予批准后再次申报项目</w:t>
            </w:r>
          </w:p>
          <w:p w14:paraId="566FD41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jc w:val="left"/>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超五年重新审核项目</w:t>
            </w:r>
          </w:p>
          <w:p w14:paraId="0883A22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ind w:left="0" w:right="0"/>
              <w:textAlignment w:val="auto"/>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重大变动重新报批项目</w:t>
            </w:r>
          </w:p>
        </w:tc>
      </w:tr>
      <w:tr w14:paraId="1AA03E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13990F03">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项目审批（核准/</w:t>
            </w:r>
          </w:p>
          <w:p w14:paraId="6C40DD9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备案）部门（选填）</w:t>
            </w:r>
          </w:p>
        </w:tc>
        <w:tc>
          <w:tcPr>
            <w:tcW w:w="1179" w:type="pct"/>
            <w:vAlign w:val="center"/>
          </w:tcPr>
          <w:p w14:paraId="5B55EA4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无</w:t>
            </w:r>
          </w:p>
        </w:tc>
        <w:tc>
          <w:tcPr>
            <w:tcW w:w="1182" w:type="pct"/>
            <w:vAlign w:val="center"/>
          </w:tcPr>
          <w:p w14:paraId="2732D683">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项目审批（核准/</w:t>
            </w:r>
          </w:p>
          <w:p w14:paraId="64E527B4">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备案）文号（选填）</w:t>
            </w:r>
          </w:p>
        </w:tc>
        <w:tc>
          <w:tcPr>
            <w:tcW w:w="1743" w:type="pct"/>
            <w:vAlign w:val="center"/>
          </w:tcPr>
          <w:p w14:paraId="214CA5DC">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无</w:t>
            </w:r>
          </w:p>
        </w:tc>
      </w:tr>
      <w:tr w14:paraId="0F00EB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05086142">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总投资（万元）</w:t>
            </w:r>
          </w:p>
        </w:tc>
        <w:tc>
          <w:tcPr>
            <w:tcW w:w="1179" w:type="pct"/>
            <w:vAlign w:val="center"/>
          </w:tcPr>
          <w:p w14:paraId="1604975F">
            <w:pPr>
              <w:pStyle w:val="86"/>
              <w:keepNext w:val="0"/>
              <w:keepLines w:val="0"/>
              <w:suppressLineNumbers w:val="0"/>
              <w:spacing w:before="0" w:beforeAutospacing="0" w:after="0" w:afterAutospacing="0"/>
              <w:ind w:left="0" w:right="0"/>
              <w:rPr>
                <w:rFonts w:hint="default" w:ascii="Times New Roman" w:hAnsi="Times New Roman" w:eastAsia="宋体" w:cs="Times New Roman"/>
                <w:color w:val="auto"/>
                <w:kern w:val="21"/>
                <w:highlight w:val="none"/>
                <w:lang w:val="en-US" w:eastAsia="zh-CN"/>
              </w:rPr>
            </w:pPr>
            <w:r>
              <w:rPr>
                <w:rFonts w:hint="eastAsia"/>
                <w:color w:val="auto"/>
                <w:szCs w:val="21"/>
                <w:highlight w:val="none"/>
                <w:lang w:val="en-US" w:eastAsia="zh-CN"/>
              </w:rPr>
              <w:t>200</w:t>
            </w:r>
          </w:p>
        </w:tc>
        <w:tc>
          <w:tcPr>
            <w:tcW w:w="1182" w:type="pct"/>
            <w:tcMar>
              <w:top w:w="16" w:type="dxa"/>
              <w:left w:w="16" w:type="dxa"/>
              <w:right w:w="16" w:type="dxa"/>
            </w:tcMar>
            <w:vAlign w:val="center"/>
          </w:tcPr>
          <w:p w14:paraId="4CB41925">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环保投资（万元）</w:t>
            </w:r>
          </w:p>
        </w:tc>
        <w:tc>
          <w:tcPr>
            <w:tcW w:w="1743" w:type="pct"/>
            <w:vAlign w:val="center"/>
          </w:tcPr>
          <w:p w14:paraId="1760C8E7">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kern w:val="21"/>
                <w:szCs w:val="21"/>
                <w:highlight w:val="none"/>
                <w:lang w:val="en-US" w:eastAsia="zh-CN"/>
              </w:rPr>
            </w:pPr>
            <w:r>
              <w:rPr>
                <w:rFonts w:hint="eastAsia" w:cs="Times New Roman" w:eastAsiaTheme="minorEastAsia"/>
                <w:color w:val="auto"/>
                <w:kern w:val="21"/>
                <w:szCs w:val="21"/>
                <w:highlight w:val="none"/>
                <w:lang w:val="en-US" w:eastAsia="zh-CN"/>
              </w:rPr>
              <w:t>39</w:t>
            </w:r>
          </w:p>
        </w:tc>
      </w:tr>
      <w:tr w14:paraId="0D6DE0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17B9CFC8">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环保投资占比（%）</w:t>
            </w:r>
          </w:p>
        </w:tc>
        <w:tc>
          <w:tcPr>
            <w:tcW w:w="1179" w:type="pct"/>
            <w:vAlign w:val="center"/>
          </w:tcPr>
          <w:p w14:paraId="271E2A19">
            <w:pPr>
              <w:pStyle w:val="86"/>
              <w:keepNext w:val="0"/>
              <w:keepLines w:val="0"/>
              <w:suppressLineNumbers w:val="0"/>
              <w:spacing w:before="0" w:beforeAutospacing="0" w:after="0" w:afterAutospacing="0"/>
              <w:ind w:left="0" w:right="0"/>
              <w:rPr>
                <w:rFonts w:hint="default" w:ascii="Times New Roman" w:hAnsi="Times New Roman" w:cs="Times New Roman" w:eastAsiaTheme="minorEastAsia"/>
                <w:color w:val="auto"/>
                <w:kern w:val="21"/>
                <w:highlight w:val="none"/>
                <w:lang w:val="en-US" w:eastAsia="zh-CN"/>
              </w:rPr>
            </w:pPr>
            <w:r>
              <w:rPr>
                <w:rFonts w:hint="eastAsia" w:cs="Times New Roman" w:eastAsiaTheme="minorEastAsia"/>
                <w:color w:val="auto"/>
                <w:kern w:val="21"/>
                <w:highlight w:val="none"/>
                <w:lang w:val="en-US" w:eastAsia="zh-CN"/>
              </w:rPr>
              <w:t>19.5</w:t>
            </w:r>
          </w:p>
        </w:tc>
        <w:tc>
          <w:tcPr>
            <w:tcW w:w="1182" w:type="pct"/>
            <w:tcMar>
              <w:top w:w="16" w:type="dxa"/>
              <w:left w:w="16" w:type="dxa"/>
              <w:right w:w="16" w:type="dxa"/>
            </w:tcMar>
            <w:vAlign w:val="center"/>
          </w:tcPr>
          <w:p w14:paraId="0AEF6EEF">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施工工期</w:t>
            </w:r>
          </w:p>
        </w:tc>
        <w:tc>
          <w:tcPr>
            <w:tcW w:w="1743" w:type="pct"/>
            <w:vAlign w:val="center"/>
          </w:tcPr>
          <w:p w14:paraId="4CD1FDEF">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21"/>
                <w:szCs w:val="21"/>
                <w:highlight w:val="none"/>
                <w:lang w:val="en-US" w:eastAsia="zh-CN"/>
              </w:rPr>
            </w:pPr>
            <w:r>
              <w:rPr>
                <w:rFonts w:hint="default"/>
                <w:color w:val="auto"/>
                <w:highlight w:val="none"/>
              </w:rPr>
              <w:t>202</w:t>
            </w:r>
            <w:r>
              <w:rPr>
                <w:rFonts w:hint="eastAsia"/>
                <w:color w:val="auto"/>
                <w:highlight w:val="none"/>
                <w:lang w:val="en-US" w:eastAsia="zh-CN"/>
              </w:rPr>
              <w:t>5</w:t>
            </w:r>
            <w:r>
              <w:rPr>
                <w:rFonts w:hint="default"/>
                <w:color w:val="auto"/>
                <w:highlight w:val="none"/>
              </w:rPr>
              <w:t>年</w:t>
            </w:r>
            <w:r>
              <w:rPr>
                <w:rFonts w:hint="eastAsia"/>
                <w:color w:val="auto"/>
                <w:highlight w:val="none"/>
                <w:lang w:val="en-US" w:eastAsia="zh-CN"/>
              </w:rPr>
              <w:t>10</w:t>
            </w:r>
            <w:r>
              <w:rPr>
                <w:rFonts w:hint="default"/>
                <w:color w:val="auto"/>
                <w:highlight w:val="none"/>
              </w:rPr>
              <w:t>月-202</w:t>
            </w:r>
            <w:r>
              <w:rPr>
                <w:rFonts w:hint="eastAsia"/>
                <w:color w:val="auto"/>
                <w:highlight w:val="none"/>
                <w:lang w:val="en-US" w:eastAsia="zh-CN"/>
              </w:rPr>
              <w:t>5</w:t>
            </w:r>
            <w:r>
              <w:rPr>
                <w:rFonts w:hint="default"/>
                <w:color w:val="auto"/>
                <w:highlight w:val="none"/>
              </w:rPr>
              <w:t>年</w:t>
            </w:r>
            <w:r>
              <w:rPr>
                <w:rFonts w:hint="eastAsia"/>
                <w:color w:val="auto"/>
                <w:highlight w:val="none"/>
                <w:lang w:val="en-US" w:eastAsia="zh-CN"/>
              </w:rPr>
              <w:t>11</w:t>
            </w:r>
            <w:r>
              <w:rPr>
                <w:rFonts w:hint="default"/>
                <w:color w:val="auto"/>
                <w:highlight w:val="none"/>
              </w:rPr>
              <w:t>月</w:t>
            </w:r>
          </w:p>
        </w:tc>
      </w:tr>
      <w:tr w14:paraId="2AF4A8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17CCFE2D">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是否开工建设</w:t>
            </w:r>
          </w:p>
        </w:tc>
        <w:tc>
          <w:tcPr>
            <w:tcW w:w="1179" w:type="pct"/>
            <w:vAlign w:val="center"/>
          </w:tcPr>
          <w:p w14:paraId="5CA04CC0">
            <w:pPr>
              <w:keepNext w:val="0"/>
              <w:keepLines w:val="0"/>
              <w:suppressLineNumbers w:val="0"/>
              <w:spacing w:before="0" w:beforeAutospacing="0" w:after="0" w:afterAutospacing="0"/>
              <w:ind w:left="0" w:right="0" w:firstLine="105"/>
              <w:jc w:val="left"/>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sym w:font="Wingdings 2" w:char="0052"/>
            </w:r>
            <w:r>
              <w:rPr>
                <w:rFonts w:hint="default" w:ascii="Times New Roman" w:hAnsi="Times New Roman" w:cs="Times New Roman"/>
                <w:color w:val="auto"/>
                <w:kern w:val="21"/>
                <w:szCs w:val="21"/>
                <w:highlight w:val="none"/>
              </w:rPr>
              <w:t>否</w:t>
            </w:r>
          </w:p>
          <w:p w14:paraId="389A2CBD">
            <w:pPr>
              <w:keepNext w:val="0"/>
              <w:keepLines w:val="0"/>
              <w:suppressLineNumbers w:val="0"/>
              <w:spacing w:before="0" w:beforeAutospacing="0" w:after="0" w:afterAutospacing="0"/>
              <w:ind w:left="0" w:right="0" w:firstLine="92"/>
              <w:jc w:val="left"/>
              <w:rPr>
                <w:rFonts w:hint="default" w:ascii="Times New Roman" w:hAnsi="Times New Roman" w:eastAsia="宋体" w:cs="Times New Roman"/>
                <w:color w:val="auto"/>
                <w:kern w:val="21"/>
                <w:szCs w:val="21"/>
                <w:highlight w:val="none"/>
                <w:u w:val="single"/>
                <w:lang w:val="en-US" w:eastAsia="zh-CN"/>
              </w:rPr>
            </w:pPr>
            <w:r>
              <w:rPr>
                <w:rFonts w:hint="default" w:ascii="Times New Roman" w:hAnsi="Times New Roman" w:cs="Times New Roman"/>
                <w:color w:val="auto"/>
                <w:kern w:val="21"/>
                <w:szCs w:val="21"/>
                <w:highlight w:val="none"/>
              </w:rPr>
              <w:sym w:font="Wingdings 2" w:char="00A3"/>
            </w:r>
            <w:r>
              <w:rPr>
                <w:rFonts w:hint="default" w:ascii="Times New Roman" w:hAnsi="Times New Roman" w:cs="Times New Roman"/>
                <w:color w:val="auto"/>
                <w:kern w:val="21"/>
                <w:szCs w:val="21"/>
                <w:highlight w:val="none"/>
              </w:rPr>
              <w:t>是：</w:t>
            </w:r>
            <w:r>
              <w:rPr>
                <w:rFonts w:hint="eastAsia" w:cs="Times New Roman"/>
                <w:color w:val="auto"/>
                <w:kern w:val="21"/>
                <w:szCs w:val="21"/>
                <w:highlight w:val="none"/>
                <w:u w:val="single"/>
                <w:lang w:val="en-US" w:eastAsia="zh-CN"/>
              </w:rPr>
              <w:t xml:space="preserve">          </w:t>
            </w:r>
          </w:p>
        </w:tc>
        <w:tc>
          <w:tcPr>
            <w:tcW w:w="1182" w:type="pct"/>
            <w:vAlign w:val="center"/>
          </w:tcPr>
          <w:p w14:paraId="4BAE7D04">
            <w:pPr>
              <w:keepNext w:val="0"/>
              <w:keepLines w:val="0"/>
              <w:suppressLineNumbers w:val="0"/>
              <w:spacing w:before="0" w:beforeAutospacing="0" w:after="0" w:afterAutospacing="0"/>
              <w:ind w:left="0" w:right="0" w:firstLine="92"/>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用地（用海）面积（m</w:t>
            </w:r>
            <w:r>
              <w:rPr>
                <w:rFonts w:hint="default" w:ascii="Times New Roman" w:hAnsi="Times New Roman" w:cs="Times New Roman"/>
                <w:color w:val="auto"/>
                <w:kern w:val="21"/>
                <w:szCs w:val="21"/>
                <w:highlight w:val="none"/>
                <w:vertAlign w:val="superscript"/>
              </w:rPr>
              <w:t>2</w:t>
            </w:r>
            <w:r>
              <w:rPr>
                <w:rFonts w:hint="default" w:ascii="Times New Roman" w:hAnsi="Times New Roman" w:cs="Times New Roman"/>
                <w:color w:val="auto"/>
                <w:kern w:val="21"/>
                <w:szCs w:val="21"/>
                <w:highlight w:val="none"/>
              </w:rPr>
              <w:t>）</w:t>
            </w:r>
          </w:p>
        </w:tc>
        <w:tc>
          <w:tcPr>
            <w:tcW w:w="1743" w:type="pct"/>
            <w:vAlign w:val="center"/>
          </w:tcPr>
          <w:p w14:paraId="736E5F67">
            <w:pPr>
              <w:pStyle w:val="5"/>
              <w:keepLines w:val="0"/>
              <w:suppressLineNumbers w:val="0"/>
              <w:spacing w:beforeAutospacing="0" w:afterAutospacing="0" w:line="240" w:lineRule="auto"/>
              <w:ind w:right="0"/>
              <w:jc w:val="center"/>
              <w:rPr>
                <w:rFonts w:hint="default" w:ascii="Times New Roman" w:hAnsi="Times New Roman" w:eastAsia="宋体" w:cs="Times New Roman"/>
                <w:color w:val="auto"/>
                <w:kern w:val="21"/>
                <w:sz w:val="21"/>
                <w:szCs w:val="21"/>
                <w:highlight w:val="none"/>
                <w:lang w:val="en-US" w:eastAsia="zh-CN"/>
              </w:rPr>
            </w:pPr>
            <w:r>
              <w:rPr>
                <w:rFonts w:hint="eastAsia"/>
                <w:b w:val="0"/>
                <w:bCs w:val="0"/>
                <w:color w:val="auto"/>
                <w:sz w:val="21"/>
                <w:szCs w:val="21"/>
                <w:highlight w:val="none"/>
                <w:lang w:val="en-US" w:eastAsia="zh-CN"/>
              </w:rPr>
              <w:t>9035.99</w:t>
            </w:r>
          </w:p>
        </w:tc>
      </w:tr>
      <w:tr w14:paraId="090E16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13C29389">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专项评价设置情况</w:t>
            </w:r>
          </w:p>
        </w:tc>
        <w:tc>
          <w:tcPr>
            <w:tcW w:w="4104" w:type="pct"/>
            <w:gridSpan w:val="3"/>
            <w:tcMar>
              <w:top w:w="16" w:type="dxa"/>
              <w:left w:w="16" w:type="dxa"/>
              <w:right w:w="16" w:type="dxa"/>
            </w:tcMar>
            <w:vAlign w:val="center"/>
          </w:tcPr>
          <w:p w14:paraId="5A4B8EE8">
            <w:pPr>
              <w:keepNext w:val="0"/>
              <w:keepLines w:val="0"/>
              <w:widowControl/>
              <w:suppressLineNumbers w:val="0"/>
              <w:snapToGrid/>
              <w:spacing w:before="0" w:beforeAutospacing="0" w:after="0" w:afterAutospacing="0" w:line="360" w:lineRule="auto"/>
              <w:ind w:left="0" w:right="0" w:firstLine="420" w:firstLineChars="200"/>
              <w:rPr>
                <w:rFonts w:hint="default"/>
                <w:color w:val="auto"/>
                <w:highlight w:val="none"/>
              </w:rPr>
            </w:pPr>
            <w:r>
              <w:rPr>
                <w:rFonts w:hint="default"/>
                <w:color w:val="auto"/>
                <w:szCs w:val="21"/>
                <w:highlight w:val="none"/>
              </w:rPr>
              <w:t>根据《建设项目环境影响报告表</w:t>
            </w:r>
            <w:r>
              <w:rPr>
                <w:rFonts w:hint="eastAsia"/>
                <w:color w:val="auto"/>
                <w:szCs w:val="21"/>
                <w:highlight w:val="none"/>
              </w:rPr>
              <w:t>编制</w:t>
            </w:r>
            <w:r>
              <w:rPr>
                <w:rFonts w:hint="default"/>
                <w:color w:val="auto"/>
                <w:szCs w:val="21"/>
                <w:highlight w:val="none"/>
              </w:rPr>
              <w:t>技术指南（污染影响类）》可知，土壤、声环境</w:t>
            </w:r>
            <w:r>
              <w:rPr>
                <w:rFonts w:hint="eastAsia"/>
                <w:color w:val="auto"/>
                <w:szCs w:val="21"/>
                <w:highlight w:val="none"/>
                <w:lang w:val="en-US" w:eastAsia="zh-CN"/>
              </w:rPr>
              <w:t>及</w:t>
            </w:r>
            <w:r>
              <w:rPr>
                <w:rFonts w:hint="default"/>
                <w:color w:val="auto"/>
                <w:szCs w:val="21"/>
                <w:highlight w:val="none"/>
              </w:rPr>
              <w:t>地下水不开展专项评价，本项目大气、地表水、环境风险、生态和海洋专项评价设置情况详见</w:t>
            </w:r>
            <w:r>
              <w:rPr>
                <w:rFonts w:hint="eastAsia"/>
                <w:color w:val="auto"/>
                <w:szCs w:val="21"/>
                <w:highlight w:val="none"/>
              </w:rPr>
              <w:t>下</w:t>
            </w:r>
            <w:r>
              <w:rPr>
                <w:rFonts w:hint="default"/>
                <w:color w:val="auto"/>
                <w:szCs w:val="21"/>
                <w:highlight w:val="none"/>
              </w:rPr>
              <w:t>表1-1。</w:t>
            </w:r>
          </w:p>
          <w:p w14:paraId="4B6CA410">
            <w:pPr>
              <w:keepNext w:val="0"/>
              <w:keepLines w:val="0"/>
              <w:widowControl/>
              <w:suppressLineNumbers w:val="0"/>
              <w:snapToGrid/>
              <w:spacing w:before="0" w:beforeAutospacing="0" w:after="0" w:afterAutospacing="0"/>
              <w:ind w:left="0" w:right="0"/>
              <w:jc w:val="center"/>
              <w:rPr>
                <w:rFonts w:hint="default"/>
                <w:b/>
                <w:color w:val="auto"/>
                <w:kern w:val="0"/>
                <w:sz w:val="21"/>
                <w:szCs w:val="21"/>
                <w:highlight w:val="none"/>
              </w:rPr>
            </w:pPr>
            <w:r>
              <w:rPr>
                <w:rFonts w:hint="eastAsia"/>
                <w:b/>
                <w:color w:val="auto"/>
                <w:kern w:val="0"/>
                <w:sz w:val="21"/>
                <w:szCs w:val="21"/>
                <w:highlight w:val="none"/>
              </w:rPr>
              <w:t>表1-1本项目专项评价设置情况</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372"/>
              <w:gridCol w:w="4048"/>
            </w:tblGrid>
            <w:tr w14:paraId="6A50EA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1915A79D">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设置原则</w:t>
                  </w:r>
                </w:p>
              </w:tc>
              <w:tc>
                <w:tcPr>
                  <w:tcW w:w="2727" w:type="pct"/>
                  <w:tcBorders>
                    <w:tl2br w:val="nil"/>
                    <w:tr2bl w:val="nil"/>
                  </w:tcBorders>
                  <w:noWrap w:val="0"/>
                  <w:vAlign w:val="center"/>
                </w:tcPr>
                <w:p w14:paraId="0E7BC366">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本项目设置情况</w:t>
                  </w:r>
                </w:p>
              </w:tc>
            </w:tr>
            <w:tr w14:paraId="21BB51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4760A971">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排放废气含有毒有害污染物、二噁英、苯并[</w:t>
                  </w:r>
                  <w:r>
                    <w:rPr>
                      <w:rFonts w:hint="default" w:ascii="Times New Roman" w:hAnsi="Times New Roman"/>
                      <w:i/>
                      <w:color w:val="auto"/>
                      <w:sz w:val="18"/>
                      <w:szCs w:val="18"/>
                      <w:highlight w:val="none"/>
                    </w:rPr>
                    <w:t>a</w:t>
                  </w:r>
                  <w:r>
                    <w:rPr>
                      <w:rFonts w:hint="default" w:ascii="Times New Roman" w:hAnsi="Times New Roman"/>
                      <w:color w:val="auto"/>
                      <w:sz w:val="18"/>
                      <w:szCs w:val="18"/>
                      <w:highlight w:val="none"/>
                    </w:rPr>
                    <w:t>]芘、氰化物、氯气且厂界外500米</w:t>
                  </w:r>
                  <w:r>
                    <w:rPr>
                      <w:rFonts w:hint="eastAsia" w:ascii="Times New Roman" w:hAnsi="Times New Roman"/>
                      <w:color w:val="auto"/>
                      <w:sz w:val="18"/>
                      <w:szCs w:val="18"/>
                      <w:highlight w:val="none"/>
                    </w:rPr>
                    <w:t>范</w:t>
                  </w:r>
                  <w:r>
                    <w:rPr>
                      <w:rFonts w:hint="default" w:ascii="Times New Roman" w:hAnsi="Times New Roman"/>
                      <w:color w:val="auto"/>
                      <w:sz w:val="18"/>
                      <w:szCs w:val="18"/>
                      <w:highlight w:val="none"/>
                    </w:rPr>
                    <w:t>围内有环境空气保护目标的建设项</w:t>
                  </w:r>
                  <w:r>
                    <w:rPr>
                      <w:rFonts w:hint="eastAsia" w:ascii="Times New Roman" w:hAnsi="Times New Roman"/>
                      <w:color w:val="auto"/>
                      <w:sz w:val="18"/>
                      <w:szCs w:val="18"/>
                      <w:highlight w:val="none"/>
                    </w:rPr>
                    <w:t>目</w:t>
                  </w:r>
                </w:p>
              </w:tc>
              <w:tc>
                <w:tcPr>
                  <w:tcW w:w="2727" w:type="pct"/>
                  <w:tcBorders>
                    <w:tl2br w:val="nil"/>
                    <w:tr2bl w:val="nil"/>
                  </w:tcBorders>
                  <w:noWrap w:val="0"/>
                  <w:vAlign w:val="center"/>
                </w:tcPr>
                <w:p w14:paraId="66C8543F">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本项目排放废气中不含有毒有害污染物、</w:t>
                  </w:r>
                  <w:r>
                    <w:rPr>
                      <w:rFonts w:hint="default" w:ascii="Times New Roman" w:hAnsi="Times New Roman"/>
                      <w:color w:val="auto"/>
                      <w:sz w:val="18"/>
                      <w:szCs w:val="18"/>
                      <w:highlight w:val="none"/>
                    </w:rPr>
                    <w:t>二噁英、苯并[</w:t>
                  </w:r>
                  <w:r>
                    <w:rPr>
                      <w:rFonts w:hint="default" w:ascii="Times New Roman" w:hAnsi="Times New Roman"/>
                      <w:i/>
                      <w:color w:val="auto"/>
                      <w:sz w:val="18"/>
                      <w:szCs w:val="18"/>
                      <w:highlight w:val="none"/>
                    </w:rPr>
                    <w:t>a</w:t>
                  </w:r>
                  <w:r>
                    <w:rPr>
                      <w:rFonts w:hint="default" w:ascii="Times New Roman" w:hAnsi="Times New Roman"/>
                      <w:color w:val="auto"/>
                      <w:sz w:val="18"/>
                      <w:szCs w:val="18"/>
                      <w:highlight w:val="none"/>
                    </w:rPr>
                    <w:t>]芘、氰化物、氯气</w:t>
                  </w:r>
                  <w:r>
                    <w:rPr>
                      <w:rFonts w:hint="eastAsia" w:ascii="Times New Roman" w:hAnsi="Times New Roman"/>
                      <w:color w:val="auto"/>
                      <w:sz w:val="18"/>
                      <w:szCs w:val="18"/>
                      <w:highlight w:val="none"/>
                    </w:rPr>
                    <w:t>，</w:t>
                  </w:r>
                  <w:r>
                    <w:rPr>
                      <w:rFonts w:hint="eastAsia" w:ascii="Times New Roman" w:hAnsi="Times New Roman"/>
                      <w:color w:val="auto"/>
                      <w:sz w:val="18"/>
                      <w:szCs w:val="18"/>
                      <w:highlight w:val="none"/>
                      <w:lang w:val="en-US" w:eastAsia="zh-CN"/>
                    </w:rPr>
                    <w:t>且</w:t>
                  </w:r>
                  <w:r>
                    <w:rPr>
                      <w:rFonts w:hint="eastAsia" w:ascii="Times New Roman" w:hAnsi="Times New Roman"/>
                      <w:color w:val="auto"/>
                      <w:sz w:val="18"/>
                      <w:szCs w:val="18"/>
                      <w:highlight w:val="none"/>
                    </w:rPr>
                    <w:t>本项目生物质不含汞，不需设置大气专项评价。</w:t>
                  </w:r>
                </w:p>
              </w:tc>
            </w:tr>
            <w:tr w14:paraId="590BCD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282C8D2E">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新增工业废水直排建设项目（槽罐车外送污水处理厂的除外）；新增废水直排的污水集中处理厂</w:t>
                  </w:r>
                </w:p>
              </w:tc>
              <w:tc>
                <w:tcPr>
                  <w:tcW w:w="2727" w:type="pct"/>
                  <w:tcBorders>
                    <w:tl2br w:val="nil"/>
                    <w:tr2bl w:val="nil"/>
                  </w:tcBorders>
                  <w:noWrap w:val="0"/>
                  <w:vAlign w:val="center"/>
                </w:tcPr>
                <w:p w14:paraId="13E7DB18">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本项目不属于新增工业废水直排建设项目，也不属于新增废水直排的污水集中处理厂，不需设置地表水专项评价。</w:t>
                  </w:r>
                </w:p>
              </w:tc>
            </w:tr>
            <w:tr w14:paraId="6C1F3F4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584AA472">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有毒有害和易燃易爆危险物质存储量超过临界量的建设项目</w:t>
                  </w:r>
                </w:p>
              </w:tc>
              <w:tc>
                <w:tcPr>
                  <w:tcW w:w="2727" w:type="pct"/>
                  <w:tcBorders>
                    <w:tl2br w:val="nil"/>
                    <w:tr2bl w:val="nil"/>
                  </w:tcBorders>
                  <w:noWrap w:val="0"/>
                  <w:vAlign w:val="center"/>
                </w:tcPr>
                <w:p w14:paraId="55D42ECB">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w:t>
                  </w:r>
                  <w:r>
                    <w:rPr>
                      <w:rFonts w:hint="eastAsia" w:ascii="Times New Roman" w:hAnsi="Times New Roman"/>
                      <w:color w:val="auto"/>
                      <w:sz w:val="18"/>
                      <w:szCs w:val="18"/>
                      <w:highlight w:val="none"/>
                      <w:lang w:val="en-US" w:eastAsia="zh-CN"/>
                    </w:rPr>
                    <w:t>不涉及危险物质，</w:t>
                  </w:r>
                  <w:r>
                    <w:rPr>
                      <w:rFonts w:hint="eastAsia" w:ascii="Times New Roman" w:hAnsi="Times New Roman"/>
                      <w:color w:val="auto"/>
                      <w:sz w:val="18"/>
                      <w:szCs w:val="18"/>
                      <w:highlight w:val="none"/>
                    </w:rPr>
                    <w:t>因此不设置环境风险专项评价。</w:t>
                  </w:r>
                </w:p>
              </w:tc>
            </w:tr>
            <w:tr w14:paraId="6DBABB4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51CBBC61">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取水口下游500米范围内有重要水生生物的自然产卵场、索饵场、越冬场和洄游通道的新增河道取水的污染类建设项目</w:t>
                  </w:r>
                </w:p>
              </w:tc>
              <w:tc>
                <w:tcPr>
                  <w:tcW w:w="2727" w:type="pct"/>
                  <w:tcBorders>
                    <w:tl2br w:val="nil"/>
                    <w:tr2bl w:val="nil"/>
                  </w:tcBorders>
                  <w:noWrap w:val="0"/>
                  <w:vAlign w:val="center"/>
                </w:tcPr>
                <w:p w14:paraId="03292CB6">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default" w:ascii="Times New Roman" w:hAnsi="Times New Roman"/>
                      <w:color w:val="auto"/>
                      <w:sz w:val="18"/>
                      <w:szCs w:val="18"/>
                      <w:highlight w:val="none"/>
                    </w:rPr>
                    <w:t>本项目</w:t>
                  </w:r>
                  <w:r>
                    <w:rPr>
                      <w:rFonts w:hint="eastAsia" w:ascii="Times New Roman" w:hAnsi="Times New Roman"/>
                      <w:color w:val="auto"/>
                      <w:sz w:val="18"/>
                      <w:szCs w:val="18"/>
                      <w:highlight w:val="none"/>
                      <w:lang w:eastAsia="zh-CN"/>
                    </w:rPr>
                    <w:t>不设置取水口</w:t>
                  </w:r>
                  <w:r>
                    <w:rPr>
                      <w:rFonts w:hint="eastAsia" w:ascii="Times New Roman" w:hAnsi="Times New Roman"/>
                      <w:color w:val="auto"/>
                      <w:sz w:val="18"/>
                      <w:szCs w:val="18"/>
                      <w:highlight w:val="none"/>
                      <w:lang w:val="en-US" w:eastAsia="zh-CN"/>
                    </w:rPr>
                    <w:t>，不属于</w:t>
                  </w:r>
                  <w:r>
                    <w:rPr>
                      <w:rFonts w:hint="eastAsia" w:ascii="Times New Roman" w:hAnsi="Times New Roman"/>
                      <w:color w:val="auto"/>
                      <w:sz w:val="18"/>
                      <w:szCs w:val="18"/>
                      <w:highlight w:val="none"/>
                    </w:rPr>
                    <w:t>取水口下游500米范围内有重要水生生物的自然产卵场、索饵场、越冬场和洄游通道的新增河道取水的污染类建设项目</w:t>
                  </w:r>
                  <w:r>
                    <w:rPr>
                      <w:rFonts w:hint="default" w:ascii="Times New Roman" w:hAnsi="Times New Roman"/>
                      <w:color w:val="auto"/>
                      <w:sz w:val="18"/>
                      <w:szCs w:val="18"/>
                      <w:highlight w:val="none"/>
                    </w:rPr>
                    <w:t>，不需设置生态专项评价。</w:t>
                  </w:r>
                </w:p>
              </w:tc>
            </w:tr>
            <w:tr w14:paraId="3C4145A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72" w:type="pct"/>
                  <w:tcBorders>
                    <w:tl2br w:val="nil"/>
                    <w:tr2bl w:val="nil"/>
                  </w:tcBorders>
                  <w:noWrap w:val="0"/>
                  <w:vAlign w:val="center"/>
                </w:tcPr>
                <w:p w14:paraId="37F6FDB4">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直接向海排放污染物的海洋工程建设项目</w:t>
                  </w:r>
                </w:p>
              </w:tc>
              <w:tc>
                <w:tcPr>
                  <w:tcW w:w="2727" w:type="pct"/>
                  <w:tcBorders>
                    <w:tl2br w:val="nil"/>
                    <w:tr2bl w:val="nil"/>
                  </w:tcBorders>
                  <w:noWrap w:val="0"/>
                  <w:vAlign w:val="center"/>
                </w:tcPr>
                <w:p w14:paraId="1D952208">
                  <w:pPr>
                    <w:pStyle w:val="27"/>
                    <w:keepNext w:val="0"/>
                    <w:keepLines w:val="0"/>
                    <w:suppressLineNumbers w:val="0"/>
                    <w:spacing w:before="0" w:beforeAutospacing="0" w:after="0" w:afterAutospacing="0"/>
                    <w:ind w:left="0" w:leftChars="0" w:right="0"/>
                    <w:jc w:val="center"/>
                    <w:rPr>
                      <w:rFonts w:hint="default" w:ascii="Times New Roman" w:hAnsi="Times New Roman"/>
                      <w:color w:val="auto"/>
                      <w:sz w:val="18"/>
                      <w:szCs w:val="18"/>
                      <w:highlight w:val="none"/>
                    </w:rPr>
                  </w:pPr>
                  <w:r>
                    <w:rPr>
                      <w:rFonts w:hint="eastAsia" w:ascii="Times New Roman" w:hAnsi="Times New Roman"/>
                      <w:color w:val="auto"/>
                      <w:sz w:val="18"/>
                      <w:szCs w:val="18"/>
                      <w:highlight w:val="none"/>
                    </w:rPr>
                    <w:t>本项目不属于海洋工程，不需设置海洋专项评价。</w:t>
                  </w:r>
                </w:p>
              </w:tc>
            </w:tr>
          </w:tbl>
          <w:p w14:paraId="6EC0494F">
            <w:pPr>
              <w:keepNext w:val="0"/>
              <w:keepLines w:val="0"/>
              <w:widowControl/>
              <w:suppressLineNumbers w:val="0"/>
              <w:spacing w:before="0" w:beforeAutospacing="0" w:after="0" w:afterAutospacing="0"/>
              <w:ind w:left="0" w:right="0"/>
              <w:jc w:val="center"/>
              <w:rPr>
                <w:rFonts w:hint="eastAsia" w:ascii="Times New Roman" w:hAnsi="Times New Roman" w:eastAsia="宋体" w:cs="Times New Roman"/>
                <w:color w:val="auto"/>
                <w:kern w:val="21"/>
                <w:szCs w:val="21"/>
                <w:highlight w:val="none"/>
                <w:lang w:val="en-US" w:eastAsia="zh-CN"/>
              </w:rPr>
            </w:pPr>
            <w:r>
              <w:rPr>
                <w:rFonts w:hint="default"/>
                <w:color w:val="auto"/>
                <w:szCs w:val="21"/>
                <w:highlight w:val="none"/>
              </w:rPr>
              <w:t>综上所述，本项目无需开展专项评价工作。</w:t>
            </w:r>
          </w:p>
        </w:tc>
      </w:tr>
      <w:tr w14:paraId="1F9250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4A495671">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规划情况</w:t>
            </w:r>
          </w:p>
        </w:tc>
        <w:tc>
          <w:tcPr>
            <w:tcW w:w="7452" w:type="dxa"/>
            <w:gridSpan w:val="3"/>
            <w:tcMar>
              <w:top w:w="16" w:type="dxa"/>
              <w:left w:w="16" w:type="dxa"/>
              <w:right w:w="16" w:type="dxa"/>
            </w:tcMar>
            <w:vAlign w:val="center"/>
          </w:tcPr>
          <w:p w14:paraId="6D34C5B9">
            <w:pPr>
              <w:keepNext w:val="0"/>
              <w:keepLines w:val="0"/>
              <w:suppressLineNumbers w:val="0"/>
              <w:autoSpaceDE w:val="0"/>
              <w:autoSpaceDN w:val="0"/>
              <w:adjustRightInd w:val="0"/>
              <w:snapToGrid w:val="0"/>
              <w:spacing w:before="0" w:beforeAutospacing="0" w:after="0" w:afterAutospacing="0"/>
              <w:ind w:left="0" w:right="0"/>
              <w:jc w:val="center"/>
              <w:rPr>
                <w:rFonts w:hint="default" w:ascii="Times New Roman" w:hAnsi="Times New Roman" w:eastAsia="宋体" w:cs="Times New Roman"/>
                <w:color w:val="auto"/>
                <w:kern w:val="21"/>
                <w:sz w:val="21"/>
                <w:szCs w:val="21"/>
                <w:highlight w:val="none"/>
                <w:lang w:val="en-US" w:eastAsia="zh-CN"/>
              </w:rPr>
            </w:pPr>
            <w:r>
              <w:rPr>
                <w:rFonts w:hint="default"/>
                <w:color w:val="auto"/>
                <w:kern w:val="0"/>
                <w:szCs w:val="21"/>
                <w:highlight w:val="none"/>
              </w:rPr>
              <w:t>无</w:t>
            </w:r>
          </w:p>
        </w:tc>
      </w:tr>
      <w:tr w14:paraId="15F1BF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5C8BB10A">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规划环境影响</w:t>
            </w:r>
          </w:p>
          <w:p w14:paraId="09AF02F7">
            <w:pPr>
              <w:keepNext w:val="0"/>
              <w:keepLines w:val="0"/>
              <w:suppressLineNumbers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评价情况</w:t>
            </w:r>
          </w:p>
        </w:tc>
        <w:tc>
          <w:tcPr>
            <w:tcW w:w="7452" w:type="dxa"/>
            <w:gridSpan w:val="3"/>
            <w:tcMar>
              <w:top w:w="16" w:type="dxa"/>
              <w:left w:w="16" w:type="dxa"/>
              <w:right w:w="16" w:type="dxa"/>
            </w:tcMar>
            <w:vAlign w:val="center"/>
          </w:tcPr>
          <w:p w14:paraId="584ECCA8">
            <w:pPr>
              <w:keepNext w:val="0"/>
              <w:keepLines w:val="0"/>
              <w:suppressLineNumbers w:val="0"/>
              <w:autoSpaceDE w:val="0"/>
              <w:autoSpaceDN w:val="0"/>
              <w:adjustRightInd w:val="0"/>
              <w:snapToGrid w:val="0"/>
              <w:spacing w:before="0" w:beforeAutospacing="0" w:after="0" w:afterAutospacing="0"/>
              <w:ind w:left="0" w:right="0"/>
              <w:jc w:val="center"/>
              <w:rPr>
                <w:rFonts w:hint="eastAsia" w:ascii="Times New Roman" w:hAnsi="Times New Roman" w:eastAsia="宋体" w:cs="Times New Roman"/>
                <w:color w:val="auto"/>
                <w:kern w:val="21"/>
                <w:sz w:val="21"/>
                <w:szCs w:val="21"/>
                <w:highlight w:val="none"/>
                <w:lang w:val="en-US" w:eastAsia="zh-CN"/>
              </w:rPr>
            </w:pPr>
            <w:r>
              <w:rPr>
                <w:rFonts w:hint="default"/>
                <w:color w:val="auto"/>
                <w:kern w:val="0"/>
                <w:szCs w:val="21"/>
                <w:highlight w:val="none"/>
              </w:rPr>
              <w:t>无</w:t>
            </w:r>
          </w:p>
        </w:tc>
      </w:tr>
      <w:tr w14:paraId="122398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95" w:type="pct"/>
            <w:tcMar>
              <w:top w:w="16" w:type="dxa"/>
              <w:left w:w="16" w:type="dxa"/>
              <w:right w:w="16" w:type="dxa"/>
            </w:tcMar>
            <w:vAlign w:val="center"/>
          </w:tcPr>
          <w:p w14:paraId="5BDF5E93">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kern w:val="21"/>
                <w:sz w:val="21"/>
                <w:szCs w:val="21"/>
                <w:highlight w:val="none"/>
              </w:rPr>
            </w:pPr>
            <w:r>
              <w:rPr>
                <w:rFonts w:hint="default" w:ascii="Times New Roman" w:hAnsi="Times New Roman" w:cs="Times New Roman"/>
                <w:color w:val="auto"/>
                <w:kern w:val="21"/>
                <w:sz w:val="21"/>
                <w:szCs w:val="21"/>
                <w:highlight w:val="none"/>
              </w:rPr>
              <w:t>规划及规划环境影响评价符合性分析</w:t>
            </w:r>
          </w:p>
        </w:tc>
        <w:tc>
          <w:tcPr>
            <w:tcW w:w="7452" w:type="dxa"/>
            <w:gridSpan w:val="3"/>
            <w:tcMar>
              <w:top w:w="16" w:type="dxa"/>
              <w:left w:w="16" w:type="dxa"/>
              <w:right w:w="16" w:type="dxa"/>
            </w:tcMar>
            <w:vAlign w:val="center"/>
          </w:tcPr>
          <w:p w14:paraId="7817591B">
            <w:pPr>
              <w:keepNext w:val="0"/>
              <w:keepLines w:val="0"/>
              <w:suppressLineNumbers w:val="0"/>
              <w:autoSpaceDE w:val="0"/>
              <w:autoSpaceDN w:val="0"/>
              <w:adjustRightInd w:val="0"/>
              <w:snapToGrid w:val="0"/>
              <w:spacing w:before="0" w:beforeAutospacing="0" w:after="0" w:afterAutospacing="0"/>
              <w:ind w:left="0" w:right="0"/>
              <w:jc w:val="center"/>
              <w:rPr>
                <w:rFonts w:hint="eastAsia" w:eastAsia="宋体"/>
                <w:color w:val="auto"/>
                <w:highlight w:val="none"/>
                <w:lang w:val="en-US" w:eastAsia="zh-CN"/>
              </w:rPr>
            </w:pPr>
            <w:r>
              <w:rPr>
                <w:rFonts w:hint="default"/>
                <w:color w:val="auto"/>
                <w:kern w:val="0"/>
                <w:szCs w:val="21"/>
                <w:highlight w:val="none"/>
              </w:rPr>
              <w:t>无</w:t>
            </w:r>
          </w:p>
        </w:tc>
      </w:tr>
      <w:tr w14:paraId="7F1780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74" w:hRule="atLeast"/>
          <w:jc w:val="center"/>
        </w:trPr>
        <w:tc>
          <w:tcPr>
            <w:tcW w:w="895" w:type="pct"/>
            <w:tcMar>
              <w:top w:w="16" w:type="dxa"/>
              <w:left w:w="16" w:type="dxa"/>
              <w:right w:w="16" w:type="dxa"/>
            </w:tcMar>
            <w:vAlign w:val="center"/>
          </w:tcPr>
          <w:p w14:paraId="36D9213B">
            <w:pPr>
              <w:keepNext w:val="0"/>
              <w:keepLines w:val="0"/>
              <w:suppressLineNumbers w:val="0"/>
              <w:autoSpaceDE w:val="0"/>
              <w:autoSpaceDN w:val="0"/>
              <w:spacing w:before="0" w:beforeAutospacing="0" w:after="0" w:afterAutospacing="0"/>
              <w:ind w:left="0" w:right="0"/>
              <w:jc w:val="center"/>
              <w:rPr>
                <w:rFonts w:hint="default" w:ascii="Times New Roman" w:hAnsi="Times New Roman" w:cs="Times New Roman"/>
                <w:color w:val="auto"/>
                <w:kern w:val="21"/>
                <w:szCs w:val="21"/>
                <w:highlight w:val="none"/>
              </w:rPr>
            </w:pPr>
            <w:bookmarkStart w:id="3" w:name="_Hlk56690880"/>
            <w:r>
              <w:rPr>
                <w:rFonts w:hint="default" w:ascii="Times New Roman" w:hAnsi="Times New Roman" w:cs="Times New Roman"/>
                <w:color w:val="auto"/>
                <w:kern w:val="21"/>
                <w:szCs w:val="21"/>
                <w:highlight w:val="none"/>
              </w:rPr>
              <w:t>其他符合性分析</w:t>
            </w:r>
          </w:p>
        </w:tc>
        <w:tc>
          <w:tcPr>
            <w:tcW w:w="4104" w:type="pct"/>
            <w:gridSpan w:val="3"/>
            <w:tcMar>
              <w:top w:w="16" w:type="dxa"/>
              <w:left w:w="16" w:type="dxa"/>
              <w:right w:w="16" w:type="dxa"/>
            </w:tcMar>
            <w:vAlign w:val="center"/>
          </w:tcPr>
          <w:p w14:paraId="510A90FD">
            <w:pPr>
              <w:keepNext w:val="0"/>
              <w:keepLines w:val="0"/>
              <w:suppressLineNumbers w:val="0"/>
              <w:autoSpaceDE w:val="0"/>
              <w:autoSpaceDN w:val="0"/>
              <w:adjustRightInd w:val="0"/>
              <w:snapToGrid w:val="0"/>
              <w:spacing w:before="0" w:beforeAutospacing="0" w:after="0" w:afterAutospacing="0" w:line="360" w:lineRule="auto"/>
              <w:ind w:left="0" w:right="0" w:firstLine="422" w:firstLineChars="200"/>
              <w:rPr>
                <w:rFonts w:hint="default"/>
                <w:b/>
                <w:bCs/>
                <w:color w:val="auto"/>
                <w:kern w:val="0"/>
                <w:szCs w:val="21"/>
                <w:highlight w:val="none"/>
              </w:rPr>
            </w:pPr>
            <w:r>
              <w:rPr>
                <w:rFonts w:hint="eastAsia"/>
                <w:b/>
                <w:bCs/>
                <w:color w:val="auto"/>
                <w:kern w:val="0"/>
                <w:szCs w:val="21"/>
                <w:highlight w:val="none"/>
                <w:lang w:val="en-US" w:eastAsia="zh-CN"/>
              </w:rPr>
              <w:t>1、</w:t>
            </w:r>
            <w:r>
              <w:rPr>
                <w:rFonts w:hint="eastAsia"/>
                <w:b/>
                <w:bCs/>
                <w:color w:val="auto"/>
                <w:kern w:val="0"/>
                <w:szCs w:val="21"/>
                <w:highlight w:val="none"/>
              </w:rPr>
              <w:t>三线一单符合性分析</w:t>
            </w:r>
          </w:p>
          <w:p w14:paraId="5CCD95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本项目位于</w:t>
            </w:r>
            <w:r>
              <w:rPr>
                <w:rFonts w:hint="eastAsia" w:cs="Times New Roman"/>
                <w:color w:val="auto"/>
                <w:sz w:val="21"/>
                <w:szCs w:val="21"/>
                <w:highlight w:val="none"/>
                <w:lang w:val="en-US" w:eastAsia="zh-CN"/>
              </w:rPr>
              <w:t>黑龙江省鸡西市梨树区穆棱矿</w:t>
            </w:r>
            <w:r>
              <w:rPr>
                <w:rFonts w:hint="default" w:ascii="Times New Roman" w:hAnsi="Times New Roman" w:cs="Times New Roman"/>
                <w:color w:val="auto"/>
                <w:sz w:val="21"/>
                <w:szCs w:val="21"/>
                <w:highlight w:val="none"/>
              </w:rPr>
              <w:t>，根据</w:t>
            </w:r>
            <w:r>
              <w:rPr>
                <w:rFonts w:hint="default" w:ascii="Times New Roman" w:hAnsi="Times New Roman" w:cs="Times New Roman"/>
                <w:color w:val="auto"/>
                <w:kern w:val="0"/>
                <w:sz w:val="21"/>
                <w:szCs w:val="21"/>
                <w:highlight w:val="none"/>
                <w:lang w:bidi="ar"/>
              </w:rPr>
              <w:t>《黑龙江省人民政府关于实施</w:t>
            </w:r>
            <w:r>
              <w:rPr>
                <w:rFonts w:hint="eastAsia" w:ascii="宋体" w:hAnsi="宋体" w:eastAsia="宋体" w:cs="宋体"/>
                <w:color w:val="auto"/>
                <w:kern w:val="0"/>
                <w:sz w:val="21"/>
                <w:szCs w:val="21"/>
                <w:highlight w:val="none"/>
                <w:lang w:bidi="ar"/>
              </w:rPr>
              <w:t>“三线一单”生</w:t>
            </w:r>
            <w:r>
              <w:rPr>
                <w:rFonts w:hint="default" w:ascii="Times New Roman" w:hAnsi="Times New Roman" w:cs="Times New Roman"/>
                <w:color w:val="auto"/>
                <w:kern w:val="0"/>
                <w:sz w:val="21"/>
                <w:szCs w:val="21"/>
                <w:highlight w:val="none"/>
                <w:lang w:bidi="ar"/>
              </w:rPr>
              <w:t>态环境分区管控的意见》（黑政发〔2020〕14号）、《</w:t>
            </w:r>
            <w:r>
              <w:rPr>
                <w:rFonts w:hint="eastAsia" w:cs="Times New Roman"/>
                <w:color w:val="auto"/>
                <w:kern w:val="0"/>
                <w:sz w:val="21"/>
                <w:szCs w:val="21"/>
                <w:highlight w:val="none"/>
                <w:lang w:eastAsia="zh-CN" w:bidi="ar"/>
              </w:rPr>
              <w:t>鸡西</w:t>
            </w:r>
            <w:r>
              <w:rPr>
                <w:rFonts w:hint="default" w:ascii="Times New Roman" w:hAnsi="Times New Roman" w:cs="Times New Roman"/>
                <w:color w:val="auto"/>
                <w:kern w:val="0"/>
                <w:sz w:val="21"/>
                <w:szCs w:val="21"/>
                <w:highlight w:val="none"/>
                <w:lang w:bidi="ar"/>
              </w:rPr>
              <w:t>市人民政府关于实施</w:t>
            </w:r>
            <w:r>
              <w:rPr>
                <w:rFonts w:hint="eastAsia" w:ascii="宋体" w:hAnsi="宋体" w:eastAsia="宋体" w:cs="宋体"/>
                <w:color w:val="auto"/>
                <w:kern w:val="0"/>
                <w:sz w:val="21"/>
                <w:szCs w:val="21"/>
                <w:highlight w:val="none"/>
                <w:lang w:bidi="ar"/>
              </w:rPr>
              <w:t>“三线一单”</w:t>
            </w:r>
            <w:r>
              <w:rPr>
                <w:rFonts w:hint="default" w:ascii="Times New Roman" w:hAnsi="Times New Roman" w:cs="Times New Roman"/>
                <w:color w:val="auto"/>
                <w:kern w:val="0"/>
                <w:sz w:val="21"/>
                <w:szCs w:val="21"/>
                <w:highlight w:val="none"/>
                <w:lang w:bidi="ar"/>
              </w:rPr>
              <w:t>生态环境分区管控的意见》（</w:t>
            </w:r>
            <w:r>
              <w:rPr>
                <w:rFonts w:hint="eastAsia" w:ascii="Times New Roman" w:hAnsi="Times New Roman" w:cs="Times New Roman"/>
                <w:color w:val="auto"/>
                <w:kern w:val="0"/>
                <w:sz w:val="21"/>
                <w:szCs w:val="21"/>
                <w:highlight w:val="none"/>
                <w:lang w:eastAsia="zh-CN" w:bidi="ar"/>
              </w:rPr>
              <w:t>鸡</w:t>
            </w:r>
            <w:r>
              <w:rPr>
                <w:rFonts w:hint="default" w:ascii="Times New Roman" w:hAnsi="Times New Roman" w:cs="Times New Roman"/>
                <w:color w:val="auto"/>
                <w:kern w:val="0"/>
                <w:sz w:val="21"/>
                <w:szCs w:val="21"/>
                <w:highlight w:val="none"/>
                <w:lang w:bidi="ar"/>
              </w:rPr>
              <w:t>政发〔2021〕</w:t>
            </w:r>
            <w:r>
              <w:rPr>
                <w:rFonts w:hint="eastAsia" w:ascii="Times New Roman" w:hAnsi="Times New Roman" w:cs="Times New Roman"/>
                <w:color w:val="auto"/>
                <w:kern w:val="0"/>
                <w:sz w:val="21"/>
                <w:szCs w:val="21"/>
                <w:highlight w:val="none"/>
                <w:lang w:val="en-US" w:eastAsia="zh-CN" w:bidi="ar"/>
              </w:rPr>
              <w:t>7</w:t>
            </w:r>
            <w:r>
              <w:rPr>
                <w:rFonts w:hint="default" w:ascii="Times New Roman" w:hAnsi="Times New Roman" w:cs="Times New Roman"/>
                <w:color w:val="auto"/>
                <w:kern w:val="0"/>
                <w:sz w:val="21"/>
                <w:szCs w:val="21"/>
                <w:highlight w:val="none"/>
                <w:lang w:bidi="ar"/>
              </w:rPr>
              <w:t>号）</w:t>
            </w:r>
            <w:r>
              <w:rPr>
                <w:rFonts w:hint="eastAsia" w:ascii="Times New Roman" w:hAnsi="Times New Roman" w:cs="Times New Roman"/>
                <w:color w:val="auto"/>
                <w:kern w:val="0"/>
                <w:sz w:val="21"/>
                <w:szCs w:val="21"/>
                <w:highlight w:val="none"/>
                <w:lang w:eastAsia="zh-CN" w:bidi="ar"/>
              </w:rPr>
              <w:t>和《</w:t>
            </w:r>
            <w:r>
              <w:rPr>
                <w:rFonts w:hint="eastAsia" w:cs="Times New Roman"/>
                <w:color w:val="auto"/>
                <w:kern w:val="0"/>
                <w:sz w:val="21"/>
                <w:szCs w:val="21"/>
                <w:highlight w:val="none"/>
                <w:lang w:eastAsia="zh-CN" w:bidi="ar"/>
              </w:rPr>
              <w:t>黑龙江省万龙生物质有限责任公司生态环境分区管控分析报告》</w:t>
            </w:r>
            <w:r>
              <w:rPr>
                <w:rFonts w:hint="default" w:ascii="Times New Roman" w:hAnsi="Times New Roman" w:cs="Times New Roman"/>
                <w:color w:val="auto"/>
                <w:kern w:val="0"/>
                <w:sz w:val="21"/>
                <w:szCs w:val="21"/>
                <w:highlight w:val="none"/>
                <w:lang w:bidi="ar"/>
              </w:rPr>
              <w:t>，项目所在地为重点管控单元。</w:t>
            </w:r>
          </w:p>
          <w:p w14:paraId="2BBC46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kern w:val="0"/>
                <w:szCs w:val="21"/>
                <w:highlight w:val="none"/>
              </w:rPr>
            </w:pPr>
            <w:r>
              <w:rPr>
                <w:rFonts w:hint="default" w:ascii="Times New Roman" w:hAnsi="Times New Roman" w:cs="Times New Roman"/>
                <w:color w:val="auto"/>
                <w:kern w:val="0"/>
                <w:sz w:val="21"/>
                <w:szCs w:val="21"/>
                <w:highlight w:val="none"/>
              </w:rPr>
              <w:t>生态保护红线：</w:t>
            </w:r>
            <w:r>
              <w:rPr>
                <w:rFonts w:hint="default" w:ascii="Times New Roman" w:hAnsi="Times New Roman" w:cs="Times New Roman"/>
                <w:color w:val="auto"/>
                <w:sz w:val="21"/>
                <w:szCs w:val="21"/>
                <w:highlight w:val="none"/>
              </w:rPr>
              <w:t>根据</w:t>
            </w:r>
            <w:r>
              <w:rPr>
                <w:rFonts w:hint="default" w:ascii="Times New Roman" w:hAnsi="Times New Roman" w:cs="Times New Roman"/>
                <w:color w:val="auto"/>
                <w:kern w:val="0"/>
                <w:sz w:val="21"/>
                <w:szCs w:val="21"/>
                <w:highlight w:val="none"/>
                <w:lang w:bidi="ar"/>
              </w:rPr>
              <w:t>《黑龙江省人民政府关于实施</w:t>
            </w:r>
            <w:r>
              <w:rPr>
                <w:rFonts w:hint="eastAsia" w:ascii="宋体" w:hAnsi="宋体" w:eastAsia="宋体" w:cs="宋体"/>
                <w:color w:val="auto"/>
                <w:kern w:val="0"/>
                <w:sz w:val="21"/>
                <w:szCs w:val="21"/>
                <w:highlight w:val="none"/>
                <w:lang w:bidi="ar"/>
              </w:rPr>
              <w:t>“三线一单”生</w:t>
            </w:r>
            <w:r>
              <w:rPr>
                <w:rFonts w:hint="default" w:ascii="Times New Roman" w:hAnsi="Times New Roman" w:cs="Times New Roman"/>
                <w:color w:val="auto"/>
                <w:kern w:val="0"/>
                <w:sz w:val="21"/>
                <w:szCs w:val="21"/>
                <w:highlight w:val="none"/>
                <w:lang w:bidi="ar"/>
              </w:rPr>
              <w:t>态环境分区管控的意见》（黑政发〔2020〕14号</w:t>
            </w:r>
            <w:r>
              <w:rPr>
                <w:rFonts w:hint="default" w:ascii="Times New Roman" w:hAnsi="Times New Roman" w:cs="Times New Roman"/>
                <w:snapToGrid w:val="0"/>
                <w:color w:val="auto"/>
                <w:kern w:val="0"/>
                <w:sz w:val="21"/>
                <w:szCs w:val="21"/>
                <w:highlight w:val="none"/>
              </w:rPr>
              <w:t>)、</w:t>
            </w:r>
            <w:r>
              <w:rPr>
                <w:rFonts w:hint="default" w:ascii="Times New Roman" w:hAnsi="Times New Roman" w:cs="Times New Roman"/>
                <w:color w:val="auto"/>
                <w:kern w:val="0"/>
                <w:sz w:val="21"/>
                <w:szCs w:val="21"/>
                <w:highlight w:val="none"/>
                <w:lang w:bidi="ar"/>
              </w:rPr>
              <w:t>《</w:t>
            </w:r>
            <w:r>
              <w:rPr>
                <w:rFonts w:hint="eastAsia" w:cs="Times New Roman"/>
                <w:color w:val="auto"/>
                <w:kern w:val="0"/>
                <w:sz w:val="21"/>
                <w:szCs w:val="21"/>
                <w:highlight w:val="none"/>
                <w:lang w:eastAsia="zh-CN" w:bidi="ar"/>
              </w:rPr>
              <w:t>鸡西</w:t>
            </w:r>
            <w:r>
              <w:rPr>
                <w:rFonts w:hint="default" w:ascii="Times New Roman" w:hAnsi="Times New Roman" w:cs="Times New Roman"/>
                <w:color w:val="auto"/>
                <w:kern w:val="0"/>
                <w:sz w:val="21"/>
                <w:szCs w:val="21"/>
                <w:highlight w:val="none"/>
                <w:lang w:bidi="ar"/>
              </w:rPr>
              <w:t>市人民政府关于实施</w:t>
            </w:r>
            <w:r>
              <w:rPr>
                <w:rFonts w:hint="eastAsia" w:ascii="宋体" w:hAnsi="宋体" w:eastAsia="宋体" w:cs="宋体"/>
                <w:color w:val="auto"/>
                <w:kern w:val="0"/>
                <w:sz w:val="21"/>
                <w:szCs w:val="21"/>
                <w:highlight w:val="none"/>
                <w:lang w:bidi="ar"/>
              </w:rPr>
              <w:t>“三线一单”</w:t>
            </w:r>
            <w:r>
              <w:rPr>
                <w:rFonts w:hint="default" w:ascii="Times New Roman" w:hAnsi="Times New Roman" w:cs="Times New Roman"/>
                <w:color w:val="auto"/>
                <w:kern w:val="0"/>
                <w:sz w:val="21"/>
                <w:szCs w:val="21"/>
                <w:highlight w:val="none"/>
                <w:lang w:bidi="ar"/>
              </w:rPr>
              <w:t>生态环境分区管控的意见》（</w:t>
            </w:r>
            <w:r>
              <w:rPr>
                <w:rFonts w:hint="eastAsia" w:cs="Times New Roman"/>
                <w:color w:val="auto"/>
                <w:kern w:val="0"/>
                <w:sz w:val="21"/>
                <w:szCs w:val="21"/>
                <w:highlight w:val="none"/>
                <w:lang w:eastAsia="zh-CN" w:bidi="ar"/>
              </w:rPr>
              <w:t>鸡</w:t>
            </w:r>
            <w:r>
              <w:rPr>
                <w:rFonts w:hint="default" w:ascii="Times New Roman" w:hAnsi="Times New Roman" w:cs="Times New Roman"/>
                <w:color w:val="auto"/>
                <w:kern w:val="0"/>
                <w:sz w:val="21"/>
                <w:szCs w:val="21"/>
                <w:highlight w:val="none"/>
                <w:lang w:bidi="ar"/>
              </w:rPr>
              <w:t>政发〔2021〕</w:t>
            </w:r>
            <w:r>
              <w:rPr>
                <w:rFonts w:hint="eastAsia" w:cs="Times New Roman"/>
                <w:color w:val="auto"/>
                <w:kern w:val="0"/>
                <w:sz w:val="21"/>
                <w:szCs w:val="21"/>
                <w:highlight w:val="none"/>
                <w:lang w:val="en-US" w:eastAsia="zh-CN" w:bidi="ar"/>
              </w:rPr>
              <w:t>7</w:t>
            </w:r>
            <w:r>
              <w:rPr>
                <w:rFonts w:hint="default" w:ascii="Times New Roman" w:hAnsi="Times New Roman" w:cs="Times New Roman"/>
                <w:color w:val="auto"/>
                <w:kern w:val="0"/>
                <w:sz w:val="21"/>
                <w:szCs w:val="21"/>
                <w:highlight w:val="none"/>
                <w:lang w:bidi="ar"/>
              </w:rPr>
              <w:t>号）</w:t>
            </w:r>
            <w:r>
              <w:rPr>
                <w:rFonts w:hint="eastAsia" w:cs="Times New Roman"/>
                <w:color w:val="auto"/>
                <w:kern w:val="0"/>
                <w:sz w:val="21"/>
                <w:szCs w:val="21"/>
                <w:highlight w:val="none"/>
                <w:lang w:eastAsia="zh-CN" w:bidi="ar"/>
              </w:rPr>
              <w:t>和</w:t>
            </w:r>
            <w:r>
              <w:rPr>
                <w:rFonts w:hint="eastAsia" w:ascii="Times New Roman" w:hAnsi="Times New Roman" w:cs="Times New Roman"/>
                <w:color w:val="auto"/>
                <w:kern w:val="0"/>
                <w:sz w:val="21"/>
                <w:szCs w:val="21"/>
                <w:highlight w:val="none"/>
                <w:lang w:eastAsia="zh-CN" w:bidi="ar"/>
              </w:rPr>
              <w:t>《</w:t>
            </w:r>
            <w:r>
              <w:rPr>
                <w:rFonts w:hint="eastAsia" w:cs="Times New Roman"/>
                <w:color w:val="auto"/>
                <w:kern w:val="0"/>
                <w:sz w:val="21"/>
                <w:szCs w:val="21"/>
                <w:highlight w:val="none"/>
                <w:lang w:eastAsia="zh-CN" w:bidi="ar"/>
              </w:rPr>
              <w:t>黑龙江省万龙生物质有限责任公司生态环境分区管控分析报告》</w:t>
            </w:r>
            <w:r>
              <w:rPr>
                <w:rFonts w:hint="default" w:ascii="Times New Roman" w:hAnsi="Times New Roman" w:cs="Times New Roman"/>
                <w:color w:val="auto"/>
                <w:kern w:val="0"/>
                <w:sz w:val="21"/>
                <w:szCs w:val="21"/>
                <w:highlight w:val="none"/>
                <w:lang w:bidi="ar"/>
              </w:rPr>
              <w:t>文件及附图</w:t>
            </w:r>
            <w:r>
              <w:rPr>
                <w:rFonts w:hint="default" w:ascii="Times New Roman" w:hAnsi="Times New Roman" w:cs="Times New Roman"/>
                <w:color w:val="auto"/>
                <w:kern w:val="0"/>
                <w:sz w:val="21"/>
                <w:szCs w:val="21"/>
                <w:highlight w:val="none"/>
              </w:rPr>
              <w:t>，本项目位于</w:t>
            </w:r>
            <w:r>
              <w:rPr>
                <w:rFonts w:hint="eastAsia" w:cs="Times New Roman"/>
                <w:color w:val="auto"/>
                <w:sz w:val="21"/>
                <w:szCs w:val="21"/>
                <w:highlight w:val="none"/>
                <w:lang w:val="en-US" w:eastAsia="zh-CN"/>
              </w:rPr>
              <w:t>黑龙江省鸡西市梨树区穆棱矿</w:t>
            </w:r>
            <w:r>
              <w:rPr>
                <w:rFonts w:hint="default" w:ascii="Times New Roman" w:hAnsi="Times New Roman" w:cs="Times New Roman"/>
                <w:color w:val="auto"/>
                <w:kern w:val="0"/>
                <w:sz w:val="21"/>
                <w:szCs w:val="21"/>
                <w:highlight w:val="none"/>
              </w:rPr>
              <w:t>，本项目选址不在生态保护红线内。</w:t>
            </w:r>
          </w:p>
          <w:p w14:paraId="3FF56F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kern w:val="0"/>
                <w:szCs w:val="21"/>
                <w:highlight w:val="none"/>
              </w:rPr>
            </w:pPr>
            <w:r>
              <w:rPr>
                <w:rFonts w:hint="default"/>
                <w:color w:val="auto"/>
                <w:kern w:val="0"/>
                <w:szCs w:val="21"/>
                <w:highlight w:val="none"/>
              </w:rPr>
              <w:t>环境质量底线：</w:t>
            </w:r>
          </w:p>
          <w:p w14:paraId="14959D0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cs="Times New Roman"/>
                <w:color w:val="auto"/>
                <w:kern w:val="0"/>
                <w:sz w:val="21"/>
                <w:szCs w:val="21"/>
                <w:highlight w:val="none"/>
                <w:lang w:val="en-US" w:eastAsia="zh-CN"/>
              </w:rPr>
            </w:pPr>
            <w:r>
              <w:rPr>
                <w:rFonts w:hint="eastAsia"/>
                <w:color w:val="auto"/>
                <w:kern w:val="0"/>
                <w:szCs w:val="21"/>
                <w:highlight w:val="none"/>
                <w:lang w:eastAsia="zh-CN"/>
              </w:rPr>
              <w:t>（</w:t>
            </w:r>
            <w:r>
              <w:rPr>
                <w:rFonts w:hint="eastAsia"/>
                <w:color w:val="auto"/>
                <w:kern w:val="0"/>
                <w:szCs w:val="21"/>
                <w:highlight w:val="none"/>
                <w:lang w:val="en-US" w:eastAsia="zh-CN"/>
              </w:rPr>
              <w:t>1）大气：</w:t>
            </w:r>
            <w:r>
              <w:rPr>
                <w:rFonts w:hint="default" w:ascii="Times New Roman" w:hAnsi="Times New Roman"/>
                <w:color w:val="auto"/>
                <w:sz w:val="21"/>
                <w:szCs w:val="21"/>
                <w:highlight w:val="none"/>
              </w:rPr>
              <w:t>根据《202</w:t>
            </w:r>
            <w:r>
              <w:rPr>
                <w:rFonts w:hint="eastAsia"/>
                <w:color w:val="auto"/>
                <w:sz w:val="21"/>
                <w:szCs w:val="21"/>
                <w:highlight w:val="none"/>
                <w:lang w:val="en-US" w:eastAsia="zh-CN"/>
              </w:rPr>
              <w:t>4</w:t>
            </w:r>
            <w:r>
              <w:rPr>
                <w:rFonts w:hint="default" w:ascii="Times New Roman" w:hAnsi="Times New Roman"/>
                <w:color w:val="auto"/>
                <w:sz w:val="21"/>
                <w:szCs w:val="21"/>
                <w:highlight w:val="none"/>
              </w:rPr>
              <w:t>年黑龙江省生态环境</w:t>
            </w:r>
            <w:r>
              <w:rPr>
                <w:rFonts w:hint="eastAsia"/>
                <w:color w:val="auto"/>
                <w:sz w:val="21"/>
                <w:szCs w:val="21"/>
                <w:highlight w:val="none"/>
                <w:lang w:val="en-US" w:eastAsia="zh-CN"/>
              </w:rPr>
              <w:t>质量</w:t>
            </w:r>
            <w:r>
              <w:rPr>
                <w:rFonts w:hint="default" w:ascii="Times New Roman" w:hAnsi="Times New Roman"/>
                <w:color w:val="auto"/>
                <w:sz w:val="21"/>
                <w:szCs w:val="21"/>
                <w:highlight w:val="none"/>
              </w:rPr>
              <w:t>状况》（202</w:t>
            </w:r>
            <w:r>
              <w:rPr>
                <w:rFonts w:hint="eastAsia"/>
                <w:color w:val="auto"/>
                <w:sz w:val="21"/>
                <w:szCs w:val="21"/>
                <w:highlight w:val="none"/>
                <w:lang w:val="en-US" w:eastAsia="zh-CN"/>
              </w:rPr>
              <w:t>5</w:t>
            </w:r>
            <w:r>
              <w:rPr>
                <w:rFonts w:hint="default" w:ascii="Times New Roman" w:hAnsi="Times New Roman"/>
                <w:color w:val="auto"/>
                <w:sz w:val="21"/>
                <w:szCs w:val="21"/>
                <w:highlight w:val="none"/>
              </w:rPr>
              <w:t>年</w:t>
            </w:r>
            <w:r>
              <w:rPr>
                <w:rFonts w:hint="eastAsia"/>
                <w:color w:val="auto"/>
                <w:sz w:val="21"/>
                <w:szCs w:val="21"/>
                <w:highlight w:val="none"/>
                <w:lang w:val="en-US" w:eastAsia="zh-CN"/>
              </w:rPr>
              <w:t>1</w:t>
            </w:r>
            <w:r>
              <w:rPr>
                <w:rFonts w:hint="default" w:ascii="Times New Roman" w:hAnsi="Times New Roman"/>
                <w:color w:val="auto"/>
                <w:sz w:val="21"/>
                <w:szCs w:val="21"/>
                <w:highlight w:val="none"/>
              </w:rPr>
              <w:t>月），</w:t>
            </w:r>
            <w:r>
              <w:rPr>
                <w:rFonts w:hint="eastAsia"/>
                <w:color w:val="auto"/>
                <w:sz w:val="21"/>
                <w:szCs w:val="21"/>
                <w:highlight w:val="none"/>
                <w:lang w:val="en-US" w:eastAsia="zh-CN"/>
              </w:rPr>
              <w:t>鸡西市空气质量级别达二级标准，PM</w:t>
            </w:r>
            <w:r>
              <w:rPr>
                <w:rFonts w:hint="eastAsia"/>
                <w:color w:val="auto"/>
                <w:sz w:val="21"/>
                <w:szCs w:val="21"/>
                <w:highlight w:val="none"/>
                <w:vertAlign w:val="subscript"/>
                <w:lang w:val="en-US" w:eastAsia="zh-CN"/>
              </w:rPr>
              <w:t>2.5</w:t>
            </w:r>
            <w:r>
              <w:rPr>
                <w:rFonts w:hint="eastAsia"/>
                <w:color w:val="auto"/>
                <w:sz w:val="21"/>
                <w:szCs w:val="21"/>
                <w:highlight w:val="none"/>
                <w:lang w:val="en-US" w:eastAsia="zh-CN"/>
              </w:rPr>
              <w:t>、PM</w:t>
            </w:r>
            <w:r>
              <w:rPr>
                <w:rFonts w:hint="eastAsia"/>
                <w:color w:val="auto"/>
                <w:sz w:val="21"/>
                <w:szCs w:val="21"/>
                <w:highlight w:val="none"/>
                <w:vertAlign w:val="subscript"/>
                <w:lang w:val="en-US" w:eastAsia="zh-CN"/>
              </w:rPr>
              <w:t>10</w:t>
            </w:r>
            <w:r>
              <w:rPr>
                <w:rFonts w:hint="eastAsia"/>
                <w:color w:val="auto"/>
                <w:sz w:val="21"/>
                <w:szCs w:val="21"/>
                <w:highlight w:val="none"/>
                <w:lang w:val="en-US" w:eastAsia="zh-CN"/>
              </w:rPr>
              <w:t>、SO</w:t>
            </w:r>
            <w:r>
              <w:rPr>
                <w:rFonts w:hint="eastAsia"/>
                <w:color w:val="auto"/>
                <w:sz w:val="21"/>
                <w:szCs w:val="21"/>
                <w:highlight w:val="none"/>
                <w:vertAlign w:val="subscript"/>
                <w:lang w:val="en-US" w:eastAsia="zh-CN"/>
              </w:rPr>
              <w:t>2</w:t>
            </w:r>
            <w:r>
              <w:rPr>
                <w:rFonts w:hint="eastAsia"/>
                <w:color w:val="auto"/>
                <w:sz w:val="21"/>
                <w:szCs w:val="21"/>
                <w:highlight w:val="none"/>
                <w:lang w:val="en-US" w:eastAsia="zh-CN"/>
              </w:rPr>
              <w:t>、NO</w:t>
            </w:r>
            <w:r>
              <w:rPr>
                <w:rFonts w:hint="eastAsia"/>
                <w:color w:val="auto"/>
                <w:sz w:val="21"/>
                <w:szCs w:val="21"/>
                <w:highlight w:val="none"/>
                <w:vertAlign w:val="subscript"/>
                <w:lang w:val="en-US" w:eastAsia="zh-CN"/>
              </w:rPr>
              <w:t>2</w:t>
            </w:r>
            <w:r>
              <w:rPr>
                <w:rFonts w:hint="eastAsia"/>
                <w:color w:val="auto"/>
                <w:sz w:val="21"/>
                <w:szCs w:val="21"/>
                <w:highlight w:val="none"/>
                <w:lang w:val="en-US" w:eastAsia="zh-CN"/>
              </w:rPr>
              <w:t>、C</w:t>
            </w:r>
            <w:r>
              <w:rPr>
                <w:rFonts w:hint="eastAsia"/>
                <w:color w:val="auto"/>
                <w:sz w:val="21"/>
                <w:szCs w:val="21"/>
                <w:highlight w:val="none"/>
                <w:vertAlign w:val="baseline"/>
                <w:lang w:val="en-US" w:eastAsia="zh-CN"/>
              </w:rPr>
              <w:t>O</w:t>
            </w:r>
            <w:r>
              <w:rPr>
                <w:rFonts w:hint="eastAsia"/>
                <w:color w:val="auto"/>
                <w:sz w:val="21"/>
                <w:szCs w:val="21"/>
                <w:highlight w:val="none"/>
                <w:lang w:val="en-US" w:eastAsia="zh-CN"/>
              </w:rPr>
              <w:t>-95per、O</w:t>
            </w:r>
            <w:r>
              <w:rPr>
                <w:rFonts w:hint="eastAsia"/>
                <w:color w:val="auto"/>
                <w:sz w:val="21"/>
                <w:szCs w:val="21"/>
                <w:highlight w:val="none"/>
                <w:vertAlign w:val="subscript"/>
                <w:lang w:val="en-US" w:eastAsia="zh-CN"/>
              </w:rPr>
              <w:t>3</w:t>
            </w:r>
            <w:r>
              <w:rPr>
                <w:rFonts w:hint="eastAsia"/>
                <w:color w:val="auto"/>
                <w:sz w:val="21"/>
                <w:szCs w:val="21"/>
                <w:highlight w:val="none"/>
                <w:lang w:val="en-US" w:eastAsia="zh-CN"/>
              </w:rPr>
              <w:t>-8h-90per年均浓度分别为27</w:t>
            </w:r>
            <w:r>
              <w:rPr>
                <w:rFonts w:hint="default" w:ascii="Times New Roman" w:hAnsi="Times New Roman" w:eastAsia="宋体" w:cs="Times New Roman"/>
                <w:color w:val="auto"/>
                <w:sz w:val="21"/>
                <w:szCs w:val="21"/>
                <w:highlight w:val="none"/>
                <w:lang w:val="en-US" w:eastAsia="zh-CN"/>
              </w:rPr>
              <w:t>μ</w:t>
            </w:r>
            <w:r>
              <w:rPr>
                <w:rFonts w:hint="eastAsia" w:ascii="Times New Roman" w:hAnsi="Times New Roman" w:eastAsia="宋体" w:cs="Times New Roman"/>
                <w:color w:val="auto"/>
                <w:sz w:val="21"/>
                <w:szCs w:val="21"/>
                <w:highlight w:val="none"/>
                <w:lang w:val="en-US" w:eastAsia="zh-CN"/>
              </w:rPr>
              <w:t>g/m</w:t>
            </w:r>
            <w:r>
              <w:rPr>
                <w:rFonts w:hint="eastAsia" w:ascii="Times New Roman" w:hAnsi="Times New Roman" w:eastAsia="宋体"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w:t>
            </w:r>
            <w:r>
              <w:rPr>
                <w:rFonts w:hint="eastAsia"/>
                <w:color w:val="auto"/>
                <w:sz w:val="21"/>
                <w:szCs w:val="21"/>
                <w:highlight w:val="none"/>
                <w:lang w:val="en-US" w:eastAsia="zh-CN"/>
              </w:rPr>
              <w:t>46</w:t>
            </w:r>
            <w:r>
              <w:rPr>
                <w:rFonts w:hint="default" w:ascii="Times New Roman" w:hAnsi="Times New Roman" w:eastAsia="宋体" w:cs="Times New Roman"/>
                <w:color w:val="auto"/>
                <w:sz w:val="21"/>
                <w:szCs w:val="21"/>
                <w:highlight w:val="none"/>
                <w:lang w:val="en-US" w:eastAsia="zh-CN"/>
              </w:rPr>
              <w:t>μ</w:t>
            </w:r>
            <w:r>
              <w:rPr>
                <w:rFonts w:hint="eastAsia" w:ascii="Times New Roman" w:hAnsi="Times New Roman" w:eastAsia="宋体" w:cs="Times New Roman"/>
                <w:color w:val="auto"/>
                <w:sz w:val="21"/>
                <w:szCs w:val="21"/>
                <w:highlight w:val="none"/>
                <w:lang w:val="en-US" w:eastAsia="zh-CN"/>
              </w:rPr>
              <w:t>g/m</w:t>
            </w:r>
            <w:r>
              <w:rPr>
                <w:rFonts w:hint="eastAsia" w:ascii="Times New Roman" w:hAnsi="Times New Roman" w:eastAsia="宋体"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、8</w:t>
            </w:r>
            <w:r>
              <w:rPr>
                <w:rFonts w:hint="default" w:ascii="Times New Roman" w:hAnsi="Times New Roman" w:eastAsia="宋体" w:cs="Times New Roman"/>
                <w:color w:val="auto"/>
                <w:sz w:val="21"/>
                <w:szCs w:val="21"/>
                <w:highlight w:val="none"/>
                <w:lang w:val="en-US" w:eastAsia="zh-CN"/>
              </w:rPr>
              <w:t>μ</w:t>
            </w:r>
            <w:r>
              <w:rPr>
                <w:rFonts w:hint="eastAsia" w:ascii="Times New Roman" w:hAnsi="Times New Roman" w:eastAsia="宋体" w:cs="Times New Roman"/>
                <w:color w:val="auto"/>
                <w:sz w:val="21"/>
                <w:szCs w:val="21"/>
                <w:highlight w:val="none"/>
                <w:lang w:val="en-US" w:eastAsia="zh-CN"/>
              </w:rPr>
              <w:t>g/m</w:t>
            </w:r>
            <w:r>
              <w:rPr>
                <w:rFonts w:hint="eastAsia" w:ascii="Times New Roman" w:hAnsi="Times New Roman" w:eastAsia="宋体"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、1</w:t>
            </w:r>
            <w:r>
              <w:rPr>
                <w:rFonts w:hint="eastAsia"/>
                <w:color w:val="auto"/>
                <w:sz w:val="21"/>
                <w:szCs w:val="21"/>
                <w:highlight w:val="none"/>
                <w:lang w:val="en-US" w:eastAsia="zh-CN"/>
              </w:rPr>
              <w:t>7</w:t>
            </w:r>
            <w:r>
              <w:rPr>
                <w:rFonts w:hint="default" w:ascii="Times New Roman" w:hAnsi="Times New Roman" w:eastAsia="宋体" w:cs="Times New Roman"/>
                <w:color w:val="auto"/>
                <w:sz w:val="21"/>
                <w:szCs w:val="21"/>
                <w:highlight w:val="none"/>
                <w:lang w:val="en-US" w:eastAsia="zh-CN"/>
              </w:rPr>
              <w:t>μ</w:t>
            </w:r>
            <w:r>
              <w:rPr>
                <w:rFonts w:hint="eastAsia" w:ascii="Times New Roman" w:hAnsi="Times New Roman" w:eastAsia="宋体" w:cs="Times New Roman"/>
                <w:color w:val="auto"/>
                <w:sz w:val="21"/>
                <w:szCs w:val="21"/>
                <w:highlight w:val="none"/>
                <w:lang w:val="en-US" w:eastAsia="zh-CN"/>
              </w:rPr>
              <w:t>g/m</w:t>
            </w:r>
            <w:r>
              <w:rPr>
                <w:rFonts w:hint="eastAsia" w:ascii="Times New Roman" w:hAnsi="Times New Roman" w:eastAsia="宋体"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、1.0</w:t>
            </w:r>
            <w:r>
              <w:rPr>
                <w:rFonts w:hint="default" w:ascii="Times New Roman" w:hAnsi="Times New Roman" w:eastAsia="宋体" w:cs="Times New Roman"/>
                <w:color w:val="auto"/>
                <w:sz w:val="21"/>
                <w:szCs w:val="21"/>
                <w:highlight w:val="none"/>
                <w:lang w:val="en-US" w:eastAsia="zh-CN"/>
              </w:rPr>
              <w:t>μ</w:t>
            </w:r>
            <w:r>
              <w:rPr>
                <w:rFonts w:hint="eastAsia" w:ascii="Times New Roman" w:hAnsi="Times New Roman" w:eastAsia="宋体" w:cs="Times New Roman"/>
                <w:color w:val="auto"/>
                <w:sz w:val="21"/>
                <w:szCs w:val="21"/>
                <w:highlight w:val="none"/>
                <w:lang w:val="en-US" w:eastAsia="zh-CN"/>
              </w:rPr>
              <w:t>g/m</w:t>
            </w:r>
            <w:r>
              <w:rPr>
                <w:rFonts w:hint="eastAsia" w:ascii="Times New Roman" w:hAnsi="Times New Roman" w:eastAsia="宋体"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、和90</w:t>
            </w:r>
            <w:r>
              <w:rPr>
                <w:rFonts w:hint="default" w:ascii="Times New Roman" w:hAnsi="Times New Roman" w:eastAsia="宋体" w:cs="Times New Roman"/>
                <w:color w:val="auto"/>
                <w:sz w:val="21"/>
                <w:szCs w:val="21"/>
                <w:highlight w:val="none"/>
                <w:lang w:val="en-US" w:eastAsia="zh-CN"/>
              </w:rPr>
              <w:t>μ</w:t>
            </w:r>
            <w:r>
              <w:rPr>
                <w:rFonts w:hint="eastAsia" w:ascii="Times New Roman" w:hAnsi="Times New Roman" w:eastAsia="宋体" w:cs="Times New Roman"/>
                <w:color w:val="auto"/>
                <w:sz w:val="21"/>
                <w:szCs w:val="21"/>
                <w:highlight w:val="none"/>
                <w:lang w:val="en-US" w:eastAsia="zh-CN"/>
              </w:rPr>
              <w:t>g/m</w:t>
            </w:r>
            <w:r>
              <w:rPr>
                <w:rFonts w:hint="eastAsia" w:ascii="Times New Roman" w:hAnsi="Times New Roman" w:eastAsia="宋体" w:cs="Times New Roman"/>
                <w:color w:val="auto"/>
                <w:sz w:val="21"/>
                <w:szCs w:val="21"/>
                <w:highlight w:val="none"/>
                <w:vertAlign w:val="superscript"/>
                <w:lang w:val="en-US" w:eastAsia="zh-CN"/>
              </w:rPr>
              <w:t>3</w:t>
            </w:r>
            <w:r>
              <w:rPr>
                <w:rFonts w:hint="eastAsia" w:cs="Times New Roman"/>
                <w:color w:val="auto"/>
                <w:sz w:val="21"/>
                <w:szCs w:val="21"/>
                <w:highlight w:val="none"/>
                <w:vertAlign w:val="baseline"/>
                <w:lang w:val="en-US" w:eastAsia="zh-CN"/>
              </w:rPr>
              <w:t>，</w:t>
            </w:r>
            <w:r>
              <w:rPr>
                <w:rFonts w:hint="eastAsia" w:ascii="Times New Roman" w:hAnsi="Times New Roman" w:eastAsia="宋体" w:cs="Times New Roman"/>
                <w:color w:val="auto"/>
                <w:kern w:val="21"/>
                <w:sz w:val="21"/>
                <w:szCs w:val="21"/>
                <w:highlight w:val="none"/>
                <w:lang w:val="en-US" w:eastAsia="zh-CN"/>
              </w:rPr>
              <w:t>均满足</w:t>
            </w:r>
            <w:r>
              <w:rPr>
                <w:rFonts w:hint="default" w:ascii="Times New Roman" w:hAnsi="Times New Roman" w:eastAsia="宋体" w:cs="Times New Roman"/>
                <w:color w:val="auto"/>
                <w:kern w:val="21"/>
                <w:sz w:val="21"/>
                <w:szCs w:val="21"/>
                <w:highlight w:val="none"/>
              </w:rPr>
              <w:t>《环境空气质量标准》（GB3095-2012）中的二级标准</w:t>
            </w:r>
            <w:r>
              <w:rPr>
                <w:rFonts w:hint="eastAsia" w:ascii="Times New Roman" w:hAnsi="Times New Roman" w:eastAsia="宋体" w:cs="Times New Roman"/>
                <w:color w:val="auto"/>
                <w:kern w:val="21"/>
                <w:sz w:val="21"/>
                <w:szCs w:val="21"/>
                <w:highlight w:val="none"/>
                <w:lang w:eastAsia="zh-CN"/>
              </w:rPr>
              <w:t>，</w:t>
            </w:r>
            <w:r>
              <w:rPr>
                <w:rFonts w:hint="default" w:ascii="Times New Roman" w:hAnsi="Times New Roman" w:eastAsia="宋体" w:cs="Times New Roman"/>
                <w:color w:val="auto"/>
                <w:kern w:val="21"/>
                <w:sz w:val="21"/>
                <w:szCs w:val="21"/>
                <w:highlight w:val="none"/>
              </w:rPr>
              <w:t>项目所在区域为达标区。</w:t>
            </w:r>
          </w:p>
          <w:p w14:paraId="3F1EA06C">
            <w:pPr>
              <w:keepNext w:val="0"/>
              <w:keepLines w:val="0"/>
              <w:widowControl/>
              <w:suppressLineNumbers w:val="0"/>
              <w:spacing w:before="0" w:beforeAutospacing="0" w:after="0" w:afterAutospacing="0" w:line="360" w:lineRule="auto"/>
              <w:ind w:left="0" w:right="0" w:firstLine="420" w:firstLineChars="200"/>
              <w:rPr>
                <w:rFonts w:hint="default"/>
                <w:color w:val="auto"/>
                <w:sz w:val="21"/>
                <w:szCs w:val="21"/>
                <w:highlight w:val="none"/>
              </w:rPr>
            </w:pPr>
            <w:r>
              <w:rPr>
                <w:rFonts w:hint="default"/>
                <w:color w:val="auto"/>
                <w:szCs w:val="21"/>
                <w:highlight w:val="none"/>
              </w:rPr>
              <w:t>本项目</w:t>
            </w:r>
            <w:r>
              <w:rPr>
                <w:rFonts w:hint="eastAsia"/>
                <w:color w:val="auto"/>
                <w:szCs w:val="21"/>
                <w:highlight w:val="none"/>
                <w:lang w:eastAsia="zh-CN"/>
              </w:rPr>
              <w:t>生物质燃烧器烟气</w:t>
            </w:r>
            <w:r>
              <w:rPr>
                <w:rFonts w:hint="eastAsia" w:cs="Times New Roman"/>
                <w:b w:val="0"/>
                <w:bCs w:val="0"/>
                <w:color w:val="auto"/>
                <w:sz w:val="21"/>
                <w:szCs w:val="21"/>
                <w:highlight w:val="none"/>
                <w:lang w:val="en-US" w:eastAsia="zh-CN"/>
              </w:rPr>
              <w:t>与烘干滚筒废气一同经</w:t>
            </w:r>
            <w:r>
              <w:rPr>
                <w:rFonts w:hint="eastAsia" w:ascii="Times New Roman" w:hAnsi="Times New Roman" w:eastAsia="宋体" w:cs="Times New Roman"/>
                <w:b w:val="0"/>
                <w:bCs w:val="0"/>
                <w:color w:val="auto"/>
                <w:sz w:val="21"/>
                <w:szCs w:val="21"/>
                <w:highlight w:val="none"/>
                <w:lang w:val="en-US" w:eastAsia="zh-CN"/>
              </w:rPr>
              <w:t>布袋除尘器处理后</w:t>
            </w:r>
            <w:r>
              <w:rPr>
                <w:rFonts w:hint="eastAsia" w:cs="Times New Roman"/>
                <w:b w:val="0"/>
                <w:bCs w:val="0"/>
                <w:color w:val="auto"/>
                <w:sz w:val="21"/>
                <w:szCs w:val="21"/>
                <w:highlight w:val="none"/>
                <w:lang w:val="en-US" w:eastAsia="zh-CN"/>
              </w:rPr>
              <w:t>通过</w:t>
            </w:r>
            <w:r>
              <w:rPr>
                <w:rFonts w:hint="eastAsia" w:ascii="Times New Roman" w:hAnsi="Times New Roman" w:eastAsia="宋体" w:cs="Times New Roman"/>
                <w:b w:val="0"/>
                <w:bCs w:val="0"/>
                <w:color w:val="auto"/>
                <w:sz w:val="21"/>
                <w:szCs w:val="21"/>
                <w:highlight w:val="none"/>
                <w:lang w:val="en-US" w:eastAsia="zh-CN"/>
              </w:rPr>
              <w:t>15m</w:t>
            </w:r>
            <w:r>
              <w:rPr>
                <w:rFonts w:hint="eastAsia" w:cs="Times New Roman"/>
                <w:color w:val="auto"/>
                <w:sz w:val="21"/>
                <w:szCs w:val="21"/>
                <w:highlight w:val="none"/>
                <w:lang w:val="en-US" w:eastAsia="zh-CN"/>
              </w:rPr>
              <w:t>排气筒</w:t>
            </w:r>
            <w:r>
              <w:rPr>
                <w:rFonts w:hint="eastAsia" w:ascii="Times New Roman" w:hAnsi="Times New Roman" w:eastAsia="宋体" w:cs="Times New Roman"/>
                <w:b w:val="0"/>
                <w:bCs w:val="0"/>
                <w:color w:val="auto"/>
                <w:sz w:val="21"/>
                <w:szCs w:val="21"/>
                <w:highlight w:val="none"/>
                <w:lang w:val="en-US" w:eastAsia="zh-CN"/>
              </w:rPr>
              <w:t>高空排放，SO</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lang w:val="en-US" w:eastAsia="zh-CN"/>
              </w:rPr>
              <w:t>排放浓度</w:t>
            </w:r>
            <w:r>
              <w:rPr>
                <w:rFonts w:hint="eastAsia" w:cs="Times New Roman"/>
                <w:b w:val="0"/>
                <w:bCs w:val="0"/>
                <w:color w:val="auto"/>
                <w:sz w:val="21"/>
                <w:szCs w:val="21"/>
                <w:highlight w:val="none"/>
                <w:lang w:val="en-US" w:eastAsia="zh-CN"/>
              </w:rPr>
              <w:t>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《工业炉窑大气污染物排放标准》（GB9078-1996）中表4中二级标准，</w:t>
            </w:r>
            <w:r>
              <w:rPr>
                <w:rFonts w:hint="eastAsia" w:cs="Times New Roman"/>
                <w:b w:val="0"/>
                <w:bCs w:val="0"/>
                <w:color w:val="auto"/>
                <w:sz w:val="21"/>
                <w:szCs w:val="21"/>
                <w:highlight w:val="none"/>
                <w:lang w:val="en-US" w:eastAsia="zh-CN"/>
              </w:rPr>
              <w:t>颗粒物排放浓度及烟气黑度符合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《工业炉窑大气污染物排放标准》（GB9078-1996）中表2中二级标准</w:t>
            </w:r>
            <w:r>
              <w:rPr>
                <w:rFonts w:hint="eastAsia" w:cs="Times New Roman"/>
                <w:b w:val="0"/>
                <w:bCs w:val="0"/>
                <w:color w:val="auto"/>
                <w:sz w:val="21"/>
                <w:szCs w:val="21"/>
                <w:highlight w:val="none"/>
                <w:lang w:val="en-US" w:eastAsia="zh-CN"/>
              </w:rPr>
              <w:t>；</w:t>
            </w:r>
            <w:r>
              <w:rPr>
                <w:rFonts w:hint="eastAsia" w:cs="Times New Roman"/>
                <w:color w:val="auto"/>
                <w:kern w:val="0"/>
                <w:sz w:val="21"/>
                <w:szCs w:val="21"/>
                <w:highlight w:val="none"/>
                <w:lang w:val="en-US" w:eastAsia="zh-CN"/>
              </w:rPr>
              <w:t>工业炉窑周边无组织排放浓度符合</w:t>
            </w:r>
            <w:r>
              <w:rPr>
                <w:rFonts w:hint="default" w:ascii="Times New Roman" w:hAnsi="Times New Roman" w:eastAsia="宋体" w:cs="Times New Roman"/>
                <w:color w:val="auto"/>
                <w:kern w:val="0"/>
                <w:sz w:val="21"/>
                <w:szCs w:val="21"/>
                <w:highlight w:val="none"/>
              </w:rPr>
              <w:t>《工业炉窑大气污染物排放标准》（GB9078-1996）表</w:t>
            </w:r>
            <w:r>
              <w:rPr>
                <w:rFonts w:hint="eastAsia" w:ascii="Times New Roman" w:hAnsi="Times New Roman" w:eastAsia="宋体" w:cs="Times New Roman"/>
                <w:color w:val="auto"/>
                <w:kern w:val="0"/>
                <w:sz w:val="21"/>
                <w:szCs w:val="21"/>
                <w:highlight w:val="none"/>
                <w:lang w:val="en-US" w:eastAsia="zh-CN"/>
              </w:rPr>
              <w:t>3中标准限值</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本项目生产工序</w:t>
            </w:r>
            <w:r>
              <w:rPr>
                <w:rFonts w:hint="eastAsia" w:cs="Times New Roman"/>
                <w:bCs/>
                <w:color w:val="auto"/>
                <w:kern w:val="0"/>
                <w:sz w:val="21"/>
                <w:szCs w:val="21"/>
                <w:highlight w:val="none"/>
                <w:lang w:val="en-US" w:eastAsia="zh-CN"/>
              </w:rPr>
              <w:t>粗破、粉碎、造粒工序</w:t>
            </w:r>
            <w:r>
              <w:rPr>
                <w:rFonts w:hint="eastAsia" w:ascii="Times New Roman" w:hAnsi="Times New Roman" w:cs="Times New Roman"/>
                <w:color w:val="auto"/>
                <w:sz w:val="21"/>
                <w:szCs w:val="21"/>
                <w:highlight w:val="none"/>
                <w:lang w:val="en-US" w:eastAsia="zh-CN"/>
              </w:rPr>
              <w:t>产生的颗粒物经集气罩+布袋除尘器处理后，由15</w:t>
            </w:r>
            <w:r>
              <w:rPr>
                <w:rFonts w:hint="eastAsia" w:cs="Times New Roman"/>
                <w:color w:val="auto"/>
                <w:sz w:val="21"/>
                <w:szCs w:val="21"/>
                <w:highlight w:val="none"/>
                <w:lang w:val="en-US" w:eastAsia="zh-CN"/>
              </w:rPr>
              <w:t>m</w:t>
            </w:r>
            <w:r>
              <w:rPr>
                <w:rFonts w:hint="eastAsia" w:ascii="Times New Roman" w:hAnsi="Times New Roman" w:cs="Times New Roman"/>
                <w:color w:val="auto"/>
                <w:sz w:val="21"/>
                <w:szCs w:val="21"/>
                <w:highlight w:val="none"/>
                <w:lang w:val="en-US" w:eastAsia="zh-CN"/>
              </w:rPr>
              <w:t>高排气筒排放，排放</w:t>
            </w:r>
            <w:r>
              <w:rPr>
                <w:rFonts w:hint="eastAsia" w:cs="Times New Roman"/>
                <w:color w:val="auto"/>
                <w:sz w:val="21"/>
                <w:szCs w:val="21"/>
                <w:highlight w:val="none"/>
                <w:lang w:val="en-US" w:eastAsia="zh-CN"/>
              </w:rPr>
              <w:t>浓度</w:t>
            </w:r>
            <w:r>
              <w:rPr>
                <w:rFonts w:hint="eastAsia" w:ascii="Times New Roman" w:hAnsi="Times New Roman" w:cs="Times New Roman"/>
                <w:color w:val="auto"/>
                <w:sz w:val="21"/>
                <w:szCs w:val="21"/>
                <w:highlight w:val="none"/>
                <w:lang w:val="en-US" w:eastAsia="zh-CN"/>
              </w:rPr>
              <w:t>符合</w:t>
            </w:r>
            <w:r>
              <w:rPr>
                <w:rFonts w:hint="default"/>
                <w:b w:val="0"/>
                <w:bCs w:val="0"/>
                <w:color w:val="auto"/>
                <w:kern w:val="0"/>
                <w:sz w:val="21"/>
                <w:szCs w:val="21"/>
                <w:highlight w:val="none"/>
              </w:rPr>
              <w:t>《大气污染物综合排放标准》（GB16297-1996）表2中二级排放标准</w:t>
            </w:r>
            <w:r>
              <w:rPr>
                <w:rFonts w:hint="eastAsia"/>
                <w:b w:val="0"/>
                <w:bCs w:val="0"/>
                <w:color w:val="auto"/>
                <w:kern w:val="0"/>
                <w:sz w:val="21"/>
                <w:szCs w:val="21"/>
                <w:highlight w:val="none"/>
                <w:lang w:eastAsia="zh-CN"/>
              </w:rPr>
              <w:t>，</w:t>
            </w:r>
            <w:r>
              <w:rPr>
                <w:rFonts w:hint="eastAsia"/>
                <w:color w:val="auto"/>
                <w:sz w:val="21"/>
                <w:szCs w:val="21"/>
                <w:highlight w:val="none"/>
                <w:shd w:val="clear"/>
                <w:lang w:val="en-US" w:eastAsia="zh-CN"/>
              </w:rPr>
              <w:t>灰渣间全封闭，灰渣及原料运输车辆采取苫布遮盖、封闭式运输。</w:t>
            </w:r>
            <w:r>
              <w:rPr>
                <w:rFonts w:hint="default"/>
                <w:color w:val="auto"/>
                <w:sz w:val="21"/>
                <w:szCs w:val="21"/>
                <w:highlight w:val="none"/>
                <w:shd w:val="clear"/>
                <w:lang w:val="en-US" w:eastAsia="zh-CN"/>
              </w:rPr>
              <w:t>由于原料含水率较高，</w:t>
            </w:r>
            <w:r>
              <w:rPr>
                <w:rFonts w:hint="eastAsia"/>
                <w:color w:val="auto"/>
                <w:sz w:val="21"/>
                <w:szCs w:val="21"/>
                <w:highlight w:val="none"/>
                <w:shd w:val="clear"/>
                <w:lang w:val="en-US" w:eastAsia="zh-CN"/>
              </w:rPr>
              <w:t>在储存及装卸、</w:t>
            </w:r>
            <w:r>
              <w:rPr>
                <w:rFonts w:hint="default"/>
                <w:color w:val="auto"/>
                <w:sz w:val="21"/>
                <w:szCs w:val="21"/>
                <w:highlight w:val="none"/>
                <w:shd w:val="clear"/>
                <w:lang w:val="en-US" w:eastAsia="zh-CN"/>
              </w:rPr>
              <w:t>投料</w:t>
            </w:r>
            <w:r>
              <w:rPr>
                <w:rFonts w:hint="eastAsia"/>
                <w:color w:val="auto"/>
                <w:sz w:val="21"/>
                <w:szCs w:val="21"/>
                <w:highlight w:val="none"/>
                <w:shd w:val="clear"/>
                <w:lang w:val="en-US" w:eastAsia="zh-CN"/>
              </w:rPr>
              <w:t>、筛分</w:t>
            </w:r>
            <w:r>
              <w:rPr>
                <w:rFonts w:hint="default"/>
                <w:color w:val="auto"/>
                <w:sz w:val="21"/>
                <w:szCs w:val="21"/>
                <w:highlight w:val="none"/>
                <w:shd w:val="clear"/>
                <w:lang w:val="en-US" w:eastAsia="zh-CN"/>
              </w:rPr>
              <w:t>时，产生的粉尘</w:t>
            </w:r>
            <w:r>
              <w:rPr>
                <w:rFonts w:hint="eastAsia"/>
                <w:color w:val="auto"/>
                <w:sz w:val="21"/>
                <w:szCs w:val="21"/>
                <w:highlight w:val="none"/>
                <w:shd w:val="clear"/>
                <w:lang w:val="en-US" w:eastAsia="zh-CN"/>
              </w:rPr>
              <w:t>较小，原料堆场四周设置2m高围挡，原料上方采取苫布遮盖，可有效控制扬尘。破碎过程</w:t>
            </w:r>
            <w:r>
              <w:rPr>
                <w:rFonts w:hint="eastAsia"/>
                <w:color w:val="auto"/>
                <w:sz w:val="21"/>
                <w:szCs w:val="21"/>
                <w:highlight w:val="none"/>
                <w:lang w:val="en-US" w:eastAsia="zh-CN"/>
              </w:rPr>
              <w:t>未被集气罩收集的粉尘采取</w:t>
            </w:r>
            <w:r>
              <w:rPr>
                <w:rFonts w:hint="eastAsia"/>
                <w:color w:val="auto"/>
                <w:sz w:val="21"/>
                <w:szCs w:val="21"/>
                <w:highlight w:val="none"/>
                <w:shd w:val="clear"/>
                <w:lang w:val="en-US" w:eastAsia="zh-CN"/>
              </w:rPr>
              <w:t>车间封闭、</w:t>
            </w:r>
            <w:r>
              <w:rPr>
                <w:rFonts w:hint="default"/>
                <w:color w:val="auto"/>
                <w:sz w:val="21"/>
                <w:szCs w:val="21"/>
                <w:highlight w:val="none"/>
                <w:shd w:val="clear"/>
                <w:lang w:val="en-US" w:eastAsia="zh-CN"/>
              </w:rPr>
              <w:t>定期洒水抑尘</w:t>
            </w:r>
            <w:r>
              <w:rPr>
                <w:rFonts w:hint="eastAsia"/>
                <w:color w:val="auto"/>
                <w:sz w:val="21"/>
                <w:szCs w:val="21"/>
                <w:highlight w:val="none"/>
                <w:shd w:val="clear"/>
                <w:lang w:val="en-US" w:eastAsia="zh-CN"/>
              </w:rPr>
              <w:t>等措施</w:t>
            </w:r>
            <w:r>
              <w:rPr>
                <w:rFonts w:hint="default"/>
                <w:color w:val="auto"/>
                <w:sz w:val="21"/>
                <w:szCs w:val="21"/>
                <w:highlight w:val="none"/>
                <w:shd w:val="clear"/>
                <w:lang w:val="en-US" w:eastAsia="zh-CN"/>
              </w:rPr>
              <w:t>，减少粉尘扩散</w:t>
            </w:r>
            <w:r>
              <w:rPr>
                <w:rFonts w:hint="eastAsia"/>
                <w:color w:val="auto"/>
                <w:sz w:val="21"/>
                <w:szCs w:val="21"/>
                <w:highlight w:val="none"/>
                <w:shd w:val="clear"/>
                <w:lang w:val="en-US" w:eastAsia="zh-CN"/>
              </w:rPr>
              <w:t>。</w:t>
            </w:r>
            <w:r>
              <w:rPr>
                <w:rFonts w:hint="default" w:ascii="Times New Roman" w:hAnsi="Times New Roman" w:cs="Times New Roman"/>
                <w:color w:val="auto"/>
                <w:sz w:val="21"/>
                <w:szCs w:val="21"/>
                <w:highlight w:val="none"/>
              </w:rPr>
              <w:t>厂界颗粒物排放浓度符合《大气污染物综合排放标准》（GB16297-1996）表2无组织排放浓度限值要求。</w:t>
            </w:r>
            <w:r>
              <w:rPr>
                <w:rFonts w:hint="eastAsia" w:ascii="Times New Roman" w:hAnsi="Times New Roman" w:cs="Times New Roman"/>
                <w:color w:val="auto"/>
                <w:sz w:val="21"/>
                <w:szCs w:val="21"/>
                <w:highlight w:val="none"/>
                <w:lang w:val="en-US" w:eastAsia="zh-CN"/>
              </w:rPr>
              <w:t>项目运营期产生废气</w:t>
            </w:r>
            <w:r>
              <w:rPr>
                <w:rFonts w:hint="eastAsia"/>
                <w:color w:val="auto"/>
                <w:sz w:val="21"/>
                <w:szCs w:val="21"/>
                <w:highlight w:val="none"/>
              </w:rPr>
              <w:t>对区域环境造成的不利影响较小，不会改变区域</w:t>
            </w:r>
            <w:r>
              <w:rPr>
                <w:rFonts w:hint="default"/>
                <w:color w:val="auto"/>
                <w:sz w:val="21"/>
                <w:szCs w:val="21"/>
                <w:highlight w:val="none"/>
              </w:rPr>
              <w:t>大气</w:t>
            </w:r>
            <w:r>
              <w:rPr>
                <w:rFonts w:hint="eastAsia"/>
                <w:color w:val="auto"/>
                <w:sz w:val="21"/>
                <w:szCs w:val="21"/>
                <w:highlight w:val="none"/>
              </w:rPr>
              <w:t>环境质量现状，因此，符合</w:t>
            </w:r>
            <w:r>
              <w:rPr>
                <w:rFonts w:hint="default"/>
                <w:color w:val="auto"/>
                <w:sz w:val="21"/>
                <w:szCs w:val="21"/>
                <w:highlight w:val="none"/>
              </w:rPr>
              <w:t>大气</w:t>
            </w:r>
            <w:r>
              <w:rPr>
                <w:rFonts w:hint="eastAsia"/>
                <w:color w:val="auto"/>
                <w:sz w:val="21"/>
                <w:szCs w:val="21"/>
                <w:highlight w:val="none"/>
              </w:rPr>
              <w:t>环境质量底线要求。</w:t>
            </w:r>
          </w:p>
          <w:p w14:paraId="2BE45A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eastAsia"/>
                <w:color w:val="auto"/>
                <w:kern w:val="0"/>
                <w:szCs w:val="21"/>
                <w:highlight w:val="none"/>
                <w:lang w:eastAsia="zh-CN"/>
              </w:rPr>
              <w:t>（</w:t>
            </w:r>
            <w:r>
              <w:rPr>
                <w:rFonts w:hint="eastAsia"/>
                <w:color w:val="auto"/>
                <w:kern w:val="0"/>
                <w:szCs w:val="21"/>
                <w:highlight w:val="none"/>
                <w:lang w:val="en-US" w:eastAsia="zh-CN"/>
              </w:rPr>
              <w:t>2）水环境：</w:t>
            </w:r>
            <w:r>
              <w:rPr>
                <w:rFonts w:hint="eastAsia"/>
                <w:color w:val="auto"/>
                <w:kern w:val="0"/>
                <w:sz w:val="21"/>
                <w:szCs w:val="21"/>
                <w:highlight w:val="none"/>
              </w:rPr>
              <w:t>本项目</w:t>
            </w:r>
            <w:r>
              <w:rPr>
                <w:rFonts w:hint="eastAsia"/>
                <w:color w:val="auto"/>
                <w:kern w:val="0"/>
                <w:sz w:val="21"/>
                <w:szCs w:val="21"/>
                <w:highlight w:val="none"/>
                <w:lang w:val="en-US" w:eastAsia="zh-CN"/>
              </w:rPr>
              <w:t>最近</w:t>
            </w:r>
            <w:r>
              <w:rPr>
                <w:rFonts w:hint="default"/>
                <w:color w:val="auto"/>
                <w:kern w:val="0"/>
                <w:sz w:val="21"/>
                <w:szCs w:val="21"/>
                <w:highlight w:val="none"/>
              </w:rPr>
              <w:t>水体</w:t>
            </w:r>
            <w:r>
              <w:rPr>
                <w:rFonts w:hint="eastAsia"/>
                <w:color w:val="auto"/>
                <w:kern w:val="0"/>
                <w:sz w:val="21"/>
                <w:szCs w:val="21"/>
                <w:highlight w:val="none"/>
              </w:rPr>
              <w:t>为</w:t>
            </w:r>
            <w:r>
              <w:rPr>
                <w:rFonts w:hint="eastAsia"/>
                <w:color w:val="auto"/>
                <w:kern w:val="0"/>
                <w:sz w:val="21"/>
                <w:szCs w:val="21"/>
                <w:highlight w:val="none"/>
                <w:lang w:val="en-US" w:eastAsia="zh-CN"/>
              </w:rPr>
              <w:t>穆棱河</w:t>
            </w:r>
            <w:r>
              <w:rPr>
                <w:rFonts w:hint="default" w:ascii="Times New Roman" w:hAnsi="Times New Roman" w:eastAsia="宋体" w:cs="Times New Roman"/>
                <w:color w:val="auto"/>
                <w:sz w:val="21"/>
                <w:szCs w:val="21"/>
                <w:highlight w:val="none"/>
                <w:lang w:eastAsia="zh-CN"/>
              </w:rPr>
              <w:t>。根据</w:t>
            </w:r>
            <w:r>
              <w:rPr>
                <w:rFonts w:hint="eastAsia" w:ascii="Times New Roman" w:hAnsi="Times New Roman" w:eastAsia="宋体" w:cs="Times New Roman"/>
                <w:color w:val="auto"/>
                <w:sz w:val="21"/>
                <w:szCs w:val="21"/>
                <w:highlight w:val="none"/>
                <w:lang w:val="en-US" w:eastAsia="zh-CN"/>
              </w:rPr>
              <w:t>《全国重要江河湖泊水功能区划（2011-2030）》，项目所在水功能区起始断面</w:t>
            </w:r>
            <w:r>
              <w:rPr>
                <w:rFonts w:hint="eastAsia" w:ascii="Times New Roman" w:hAnsi="Times New Roman" w:cs="Times New Roman"/>
                <w:color w:val="auto"/>
                <w:kern w:val="0"/>
                <w:sz w:val="21"/>
                <w:szCs w:val="21"/>
                <w:highlight w:val="none"/>
                <w:lang w:val="en-US" w:eastAsia="zh-CN"/>
              </w:rPr>
              <w:t>为</w:t>
            </w:r>
            <w:r>
              <w:rPr>
                <w:rFonts w:hint="eastAsia" w:cs="Times New Roman"/>
                <w:color w:val="auto"/>
                <w:sz w:val="21"/>
                <w:szCs w:val="21"/>
                <w:highlight w:val="none"/>
                <w:lang w:val="en-US" w:eastAsia="zh-CN"/>
              </w:rPr>
              <w:t>碱场煤矿铁路大桥</w:t>
            </w:r>
            <w:r>
              <w:rPr>
                <w:rFonts w:hint="eastAsia" w:ascii="Times New Roman" w:hAnsi="Times New Roman" w:eastAsia="宋体" w:cs="Times New Roman"/>
                <w:color w:val="auto"/>
                <w:sz w:val="21"/>
                <w:szCs w:val="21"/>
                <w:highlight w:val="none"/>
                <w:lang w:val="en-US" w:eastAsia="zh-CN"/>
              </w:rPr>
              <w:t>，终止断面为</w:t>
            </w:r>
            <w:r>
              <w:rPr>
                <w:rFonts w:hint="eastAsia" w:cs="Times New Roman"/>
                <w:color w:val="auto"/>
                <w:sz w:val="21"/>
                <w:szCs w:val="21"/>
                <w:highlight w:val="none"/>
                <w:lang w:val="en-US" w:eastAsia="zh-CN"/>
              </w:rPr>
              <w:t>S206省道公路桥</w:t>
            </w:r>
            <w:r>
              <w:rPr>
                <w:rFonts w:hint="eastAsia" w:ascii="Times New Roman" w:hAnsi="Times New Roman" w:eastAsia="宋体" w:cs="Times New Roman"/>
                <w:color w:val="auto"/>
                <w:sz w:val="21"/>
                <w:szCs w:val="21"/>
                <w:highlight w:val="none"/>
                <w:lang w:val="en-US" w:eastAsia="zh-CN"/>
              </w:rPr>
              <w:t>。根据鸡西市人民政府发布的《202</w:t>
            </w:r>
            <w:r>
              <w:rPr>
                <w:rFonts w:hint="eastAsia" w:cs="Times New Roman"/>
                <w:color w:val="auto"/>
                <w:sz w:val="21"/>
                <w:szCs w:val="21"/>
                <w:highlight w:val="none"/>
                <w:lang w:val="en-US" w:eastAsia="zh-CN"/>
              </w:rPr>
              <w:t>5</w:t>
            </w:r>
            <w:r>
              <w:rPr>
                <w:rFonts w:hint="eastAsia" w:ascii="Times New Roman" w:hAnsi="Times New Roman" w:eastAsia="宋体" w:cs="Times New Roman"/>
                <w:color w:val="auto"/>
                <w:sz w:val="21"/>
                <w:szCs w:val="21"/>
                <w:highlight w:val="none"/>
                <w:lang w:val="en-US" w:eastAsia="zh-CN"/>
              </w:rPr>
              <w:t>年1月</w:t>
            </w:r>
            <w:r>
              <w:rPr>
                <w:rFonts w:hint="eastAsia" w:cs="Times New Roman"/>
                <w:color w:val="auto"/>
                <w:sz w:val="21"/>
                <w:szCs w:val="21"/>
                <w:highlight w:val="none"/>
                <w:lang w:val="en-US" w:eastAsia="zh-CN"/>
              </w:rPr>
              <w:t>-5月</w:t>
            </w:r>
            <w:r>
              <w:rPr>
                <w:rFonts w:hint="eastAsia" w:ascii="Times New Roman" w:hAnsi="Times New Roman" w:eastAsia="宋体" w:cs="Times New Roman"/>
                <w:color w:val="auto"/>
                <w:sz w:val="21"/>
                <w:szCs w:val="21"/>
                <w:highlight w:val="none"/>
                <w:lang w:val="en-US" w:eastAsia="zh-CN"/>
              </w:rPr>
              <w:t>地表水国控考核断面水质信息公开》穆棱河水质达到Ⅲ类标准</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eastAsia="zh-CN"/>
              </w:rPr>
              <w:t>本项目生产过程中无废水产生，</w:t>
            </w:r>
            <w:r>
              <w:rPr>
                <w:rFonts w:hint="eastAsia" w:cs="Times New Roman"/>
                <w:color w:val="auto"/>
                <w:sz w:val="21"/>
                <w:szCs w:val="21"/>
                <w:highlight w:val="none"/>
                <w:lang w:eastAsia="zh-CN"/>
              </w:rPr>
              <w:t>生活污水排入防渗旱厕，定期清掏外运堆肥，无废水排放。</w:t>
            </w:r>
          </w:p>
          <w:p w14:paraId="4592B7B5">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eastAsia" w:eastAsia="宋体" w:asciiTheme="minorEastAsia" w:hAnsiTheme="minorEastAsia" w:cstheme="minorEastAsia"/>
                <w:color w:val="auto"/>
                <w:kern w:val="0"/>
                <w:sz w:val="21"/>
                <w:szCs w:val="21"/>
                <w:highlight w:val="none"/>
                <w:lang w:val="en-US" w:eastAsia="zh-CN" w:bidi="ar"/>
              </w:rPr>
            </w:pPr>
            <w:r>
              <w:rPr>
                <w:rFonts w:hint="eastAsia"/>
                <w:color w:val="auto"/>
                <w:kern w:val="0"/>
                <w:szCs w:val="21"/>
                <w:highlight w:val="none"/>
                <w:lang w:val="en-US" w:eastAsia="zh-CN"/>
              </w:rPr>
              <w:t>（3）声环境：</w:t>
            </w:r>
            <w:r>
              <w:rPr>
                <w:rFonts w:hint="eastAsia" w:ascii="Times New Roman" w:hAnsi="Times New Roman" w:eastAsia="宋体" w:cs="Times New Roman"/>
                <w:color w:val="auto"/>
                <w:sz w:val="21"/>
                <w:szCs w:val="21"/>
                <w:highlight w:val="none"/>
                <w:lang w:val="en-US" w:eastAsia="zh-CN"/>
              </w:rPr>
              <w:t>根据《2024年黑龙江省生态环境质量状况》（2025年1月），鸡西市区域昼间声环境质量为二级，等效声级为53.6dB（A），道路交通昼间声环境质量为一级，等效声级为65.8dB（A），功能区昼间达标率100%，功能区夜间达标率100%。</w:t>
            </w:r>
            <w:r>
              <w:rPr>
                <w:rFonts w:hint="eastAsia" w:cs="Times New Roman"/>
                <w:color w:val="auto"/>
                <w:kern w:val="0"/>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选取低噪声设备，采取减振、隔声等措施</w:t>
            </w:r>
            <w:r>
              <w:rPr>
                <w:rFonts w:hint="eastAsia" w:cs="Times New Roman"/>
                <w:color w:val="auto"/>
                <w:kern w:val="0"/>
                <w:sz w:val="21"/>
                <w:szCs w:val="21"/>
                <w:highlight w:val="none"/>
                <w:lang w:eastAsia="zh-CN"/>
              </w:rPr>
              <w:t>，</w:t>
            </w:r>
            <w:r>
              <w:rPr>
                <w:rFonts w:hint="eastAsia" w:cs="Times New Roman"/>
                <w:color w:val="auto"/>
                <w:kern w:val="0"/>
                <w:sz w:val="21"/>
                <w:szCs w:val="21"/>
                <w:highlight w:val="none"/>
                <w:lang w:val="en-US" w:eastAsia="zh-CN"/>
              </w:rPr>
              <w:t>厂界噪声满足</w:t>
            </w:r>
            <w:r>
              <w:rPr>
                <w:rFonts w:hint="eastAsia" w:cs="Times New Roman"/>
                <w:color w:val="auto"/>
                <w:kern w:val="0"/>
                <w:sz w:val="21"/>
                <w:szCs w:val="21"/>
                <w:highlight w:val="none"/>
                <w:lang w:eastAsia="zh-CN"/>
              </w:rPr>
              <w:t>《工业企业厂界环境噪声排放标准》(GB12348-2008）表1中</w:t>
            </w:r>
            <w:r>
              <w:rPr>
                <w:rFonts w:hint="eastAsia" w:cs="Times New Roman"/>
                <w:color w:val="auto"/>
                <w:kern w:val="0"/>
                <w:sz w:val="21"/>
                <w:szCs w:val="21"/>
                <w:highlight w:val="none"/>
                <w:lang w:val="en-US" w:eastAsia="zh-CN"/>
              </w:rPr>
              <w:t>2类</w:t>
            </w:r>
            <w:r>
              <w:rPr>
                <w:rFonts w:hint="eastAsia" w:cs="Times New Roman"/>
                <w:color w:val="auto"/>
                <w:kern w:val="0"/>
                <w:sz w:val="21"/>
                <w:szCs w:val="21"/>
                <w:highlight w:val="none"/>
                <w:lang w:eastAsia="zh-CN"/>
              </w:rPr>
              <w:t>标准。</w:t>
            </w:r>
          </w:p>
          <w:p w14:paraId="7264494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heme="minorEastAsia" w:hAnsiTheme="minorEastAsia" w:eastAsiaTheme="minorEastAsia" w:cstheme="minorEastAsia"/>
                <w:color w:val="auto"/>
                <w:kern w:val="0"/>
                <w:sz w:val="21"/>
                <w:szCs w:val="21"/>
                <w:highlight w:val="none"/>
                <w:lang w:val="en-US" w:eastAsia="zh-CN" w:bidi="ar"/>
              </w:rPr>
            </w:pPr>
            <w:r>
              <w:rPr>
                <w:rFonts w:hint="default"/>
                <w:color w:val="auto"/>
                <w:kern w:val="0"/>
                <w:szCs w:val="21"/>
                <w:highlight w:val="none"/>
              </w:rPr>
              <w:t>本项目运营期各类污染物经环境保护措施治理后均可达标排放，对区域环境造成的不利影响较小，不会改变区域环境质量现状，因此，</w:t>
            </w:r>
            <w:r>
              <w:rPr>
                <w:rFonts w:hint="eastAsia"/>
                <w:color w:val="auto"/>
                <w:kern w:val="0"/>
                <w:szCs w:val="21"/>
                <w:highlight w:val="none"/>
                <w:lang w:val="en-US" w:eastAsia="zh-CN"/>
              </w:rPr>
              <w:t>本项目</w:t>
            </w:r>
            <w:r>
              <w:rPr>
                <w:rFonts w:hint="default"/>
                <w:color w:val="auto"/>
                <w:kern w:val="0"/>
                <w:szCs w:val="21"/>
                <w:highlight w:val="none"/>
              </w:rPr>
              <w:t>符合环境质量底线要求。</w:t>
            </w:r>
          </w:p>
          <w:p w14:paraId="52D7E34E">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textAlignment w:val="auto"/>
              <w:rPr>
                <w:rFonts w:hint="default"/>
                <w:color w:val="auto"/>
                <w:kern w:val="0"/>
                <w:szCs w:val="21"/>
                <w:highlight w:val="none"/>
              </w:rPr>
            </w:pPr>
            <w:r>
              <w:rPr>
                <w:rFonts w:hint="default"/>
                <w:color w:val="auto"/>
                <w:kern w:val="0"/>
                <w:szCs w:val="21"/>
                <w:highlight w:val="none"/>
              </w:rPr>
              <w:t>资源利用上线：</w:t>
            </w:r>
            <w:r>
              <w:rPr>
                <w:rFonts w:hint="eastAsia"/>
                <w:color w:val="auto"/>
                <w:kern w:val="0"/>
                <w:szCs w:val="21"/>
                <w:highlight w:val="none"/>
                <w:lang w:val="en-US" w:eastAsia="zh-CN"/>
              </w:rPr>
              <w:t>本项目生产不用水，员工生活用水为外购桶装水</w:t>
            </w:r>
            <w:r>
              <w:rPr>
                <w:rFonts w:hint="default"/>
                <w:color w:val="auto"/>
                <w:kern w:val="0"/>
                <w:szCs w:val="21"/>
                <w:highlight w:val="none"/>
              </w:rPr>
              <w:t>、供电电源为当地供电电网，资源消耗量相对于区域资源利用总量较小，</w:t>
            </w:r>
            <w:r>
              <w:rPr>
                <w:rFonts w:hint="eastAsia"/>
                <w:color w:val="auto"/>
                <w:kern w:val="0"/>
                <w:szCs w:val="21"/>
                <w:highlight w:val="none"/>
                <w:lang w:val="en-US" w:eastAsia="zh-CN"/>
              </w:rPr>
              <w:t>本项目</w:t>
            </w:r>
            <w:r>
              <w:rPr>
                <w:rFonts w:hint="default"/>
                <w:color w:val="auto"/>
                <w:kern w:val="0"/>
                <w:szCs w:val="21"/>
                <w:highlight w:val="none"/>
              </w:rPr>
              <w:t>符合资源利用上线要求。</w:t>
            </w:r>
          </w:p>
          <w:p w14:paraId="38E2B3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kern w:val="0"/>
                <w:sz w:val="21"/>
                <w:szCs w:val="21"/>
                <w:highlight w:val="none"/>
                <w:lang w:bidi="ar"/>
              </w:rPr>
            </w:pPr>
            <w:r>
              <w:rPr>
                <w:rFonts w:hint="default"/>
                <w:color w:val="auto"/>
                <w:kern w:val="0"/>
                <w:szCs w:val="21"/>
                <w:highlight w:val="none"/>
              </w:rPr>
              <w:t>环境准入清单：</w:t>
            </w:r>
            <w:r>
              <w:rPr>
                <w:rFonts w:hint="default" w:ascii="Times New Roman" w:hAnsi="Times New Roman" w:cs="Times New Roman"/>
                <w:color w:val="auto"/>
                <w:kern w:val="0"/>
                <w:szCs w:val="21"/>
                <w:highlight w:val="none"/>
              </w:rPr>
              <w:t>根据</w:t>
            </w:r>
            <w:r>
              <w:rPr>
                <w:rFonts w:hint="default" w:ascii="Times New Roman" w:hAnsi="Times New Roman" w:cs="Times New Roman"/>
                <w:color w:val="auto"/>
                <w:kern w:val="0"/>
                <w:sz w:val="21"/>
                <w:szCs w:val="21"/>
                <w:highlight w:val="none"/>
                <w:lang w:bidi="ar"/>
              </w:rPr>
              <w:t>《</w:t>
            </w:r>
            <w:r>
              <w:rPr>
                <w:rFonts w:hint="eastAsia" w:cs="Times New Roman"/>
                <w:color w:val="auto"/>
                <w:kern w:val="0"/>
                <w:sz w:val="21"/>
                <w:szCs w:val="21"/>
                <w:highlight w:val="none"/>
                <w:lang w:eastAsia="zh-CN" w:bidi="ar"/>
              </w:rPr>
              <w:t>鸡西</w:t>
            </w:r>
            <w:r>
              <w:rPr>
                <w:rFonts w:hint="default" w:ascii="Times New Roman" w:hAnsi="Times New Roman" w:cs="Times New Roman"/>
                <w:color w:val="auto"/>
                <w:kern w:val="0"/>
                <w:sz w:val="21"/>
                <w:szCs w:val="21"/>
                <w:highlight w:val="none"/>
                <w:lang w:bidi="ar"/>
              </w:rPr>
              <w:t>市人民政府关于实施</w:t>
            </w:r>
            <w:r>
              <w:rPr>
                <w:rFonts w:hint="eastAsia" w:ascii="宋体" w:hAnsi="宋体" w:eastAsia="宋体" w:cs="宋体"/>
                <w:color w:val="auto"/>
                <w:kern w:val="0"/>
                <w:sz w:val="21"/>
                <w:szCs w:val="21"/>
                <w:highlight w:val="none"/>
                <w:lang w:bidi="ar"/>
              </w:rPr>
              <w:t>“三线一单”</w:t>
            </w:r>
            <w:r>
              <w:rPr>
                <w:rFonts w:hint="default" w:ascii="Times New Roman" w:hAnsi="Times New Roman" w:cs="Times New Roman"/>
                <w:color w:val="auto"/>
                <w:kern w:val="0"/>
                <w:sz w:val="21"/>
                <w:szCs w:val="21"/>
                <w:highlight w:val="none"/>
                <w:lang w:bidi="ar"/>
              </w:rPr>
              <w:t>生态环境分区管控的意见》（</w:t>
            </w:r>
            <w:r>
              <w:rPr>
                <w:rFonts w:hint="eastAsia" w:cs="Times New Roman"/>
                <w:color w:val="auto"/>
                <w:kern w:val="0"/>
                <w:sz w:val="21"/>
                <w:szCs w:val="21"/>
                <w:highlight w:val="none"/>
                <w:lang w:eastAsia="zh-CN" w:bidi="ar"/>
              </w:rPr>
              <w:t>鸡</w:t>
            </w:r>
            <w:r>
              <w:rPr>
                <w:rFonts w:hint="default" w:ascii="Times New Roman" w:hAnsi="Times New Roman" w:cs="Times New Roman"/>
                <w:color w:val="auto"/>
                <w:kern w:val="0"/>
                <w:sz w:val="21"/>
                <w:szCs w:val="21"/>
                <w:highlight w:val="none"/>
                <w:lang w:bidi="ar"/>
              </w:rPr>
              <w:t>政发〔2021〕</w:t>
            </w:r>
            <w:r>
              <w:rPr>
                <w:rFonts w:hint="eastAsia" w:cs="Times New Roman"/>
                <w:color w:val="auto"/>
                <w:kern w:val="0"/>
                <w:sz w:val="21"/>
                <w:szCs w:val="21"/>
                <w:highlight w:val="none"/>
                <w:lang w:val="en-US" w:eastAsia="zh-CN" w:bidi="ar"/>
              </w:rPr>
              <w:t>7</w:t>
            </w:r>
            <w:r>
              <w:rPr>
                <w:rFonts w:hint="default" w:ascii="Times New Roman" w:hAnsi="Times New Roman" w:cs="Times New Roman"/>
                <w:color w:val="auto"/>
                <w:kern w:val="0"/>
                <w:sz w:val="21"/>
                <w:szCs w:val="21"/>
                <w:highlight w:val="none"/>
                <w:lang w:bidi="ar"/>
              </w:rPr>
              <w:t>号）</w:t>
            </w:r>
            <w:r>
              <w:rPr>
                <w:rFonts w:hint="eastAsia" w:ascii="Times New Roman" w:hAnsi="Times New Roman" w:cs="Times New Roman"/>
                <w:color w:val="auto"/>
                <w:kern w:val="0"/>
                <w:sz w:val="21"/>
                <w:szCs w:val="21"/>
                <w:highlight w:val="none"/>
                <w:lang w:eastAsia="zh-CN" w:bidi="ar"/>
              </w:rPr>
              <w:t>中相关要求和《</w:t>
            </w:r>
            <w:r>
              <w:rPr>
                <w:rFonts w:hint="eastAsia" w:cs="Times New Roman"/>
                <w:color w:val="auto"/>
                <w:kern w:val="0"/>
                <w:sz w:val="21"/>
                <w:szCs w:val="21"/>
                <w:highlight w:val="none"/>
                <w:lang w:eastAsia="zh-CN" w:bidi="ar"/>
              </w:rPr>
              <w:t>黑龙江省万龙生物质有限责任公司</w:t>
            </w:r>
            <w:r>
              <w:rPr>
                <w:rFonts w:hint="eastAsia" w:ascii="Times New Roman" w:hAnsi="Times New Roman" w:cs="Times New Roman"/>
                <w:color w:val="auto"/>
                <w:kern w:val="0"/>
                <w:sz w:val="21"/>
                <w:szCs w:val="21"/>
                <w:highlight w:val="none"/>
                <w:lang w:eastAsia="zh-CN" w:bidi="ar"/>
              </w:rPr>
              <w:t>生态环境分区管控分析报告》</w:t>
            </w:r>
            <w:r>
              <w:rPr>
                <w:rFonts w:hint="default" w:ascii="Times New Roman" w:hAnsi="Times New Roman" w:cs="Times New Roman"/>
                <w:color w:val="auto"/>
                <w:kern w:val="0"/>
                <w:sz w:val="21"/>
                <w:szCs w:val="21"/>
                <w:highlight w:val="none"/>
                <w:lang w:bidi="ar"/>
              </w:rPr>
              <w:t>，</w:t>
            </w:r>
            <w:r>
              <w:rPr>
                <w:rFonts w:hint="eastAsia" w:ascii="Times New Roman" w:hAnsi="Times New Roman" w:cs="Times New Roman"/>
                <w:color w:val="auto"/>
                <w:kern w:val="0"/>
                <w:sz w:val="21"/>
                <w:szCs w:val="21"/>
                <w:highlight w:val="none"/>
                <w:lang w:eastAsia="zh-CN" w:bidi="ar"/>
              </w:rPr>
              <w:t>本项目属于</w:t>
            </w:r>
            <w:r>
              <w:rPr>
                <w:rFonts w:hint="eastAsia" w:ascii="Times New Roman" w:hAnsi="Times New Roman" w:cs="Times New Roman"/>
                <w:color w:val="auto"/>
                <w:kern w:val="0"/>
                <w:sz w:val="21"/>
                <w:szCs w:val="21"/>
                <w:highlight w:val="none"/>
                <w:lang w:val="en-US" w:eastAsia="zh-CN" w:bidi="ar"/>
              </w:rPr>
              <w:t>重点</w:t>
            </w:r>
            <w:r>
              <w:rPr>
                <w:rFonts w:hint="eastAsia" w:ascii="Times New Roman" w:hAnsi="Times New Roman" w:cs="Times New Roman"/>
                <w:color w:val="auto"/>
                <w:kern w:val="0"/>
                <w:sz w:val="21"/>
                <w:szCs w:val="21"/>
                <w:highlight w:val="none"/>
                <w:lang w:eastAsia="zh-CN" w:bidi="ar"/>
              </w:rPr>
              <w:t>管控单元，</w:t>
            </w:r>
            <w:r>
              <w:rPr>
                <w:rFonts w:hint="eastAsia" w:cs="Times New Roman"/>
                <w:color w:val="auto"/>
                <w:kern w:val="0"/>
                <w:sz w:val="21"/>
                <w:szCs w:val="21"/>
                <w:highlight w:val="none"/>
                <w:lang w:val="en-US" w:eastAsia="zh-CN" w:bidi="ar"/>
              </w:rPr>
              <w:t>环境管控单元分布示意图见图1-1，</w:t>
            </w:r>
            <w:r>
              <w:rPr>
                <w:rFonts w:hint="default" w:ascii="Times New Roman" w:hAnsi="Times New Roman" w:cs="Times New Roman"/>
                <w:color w:val="auto"/>
                <w:kern w:val="0"/>
                <w:sz w:val="21"/>
                <w:szCs w:val="21"/>
                <w:highlight w:val="none"/>
                <w:lang w:bidi="ar"/>
              </w:rPr>
              <w:t>与《</w:t>
            </w:r>
            <w:r>
              <w:rPr>
                <w:rFonts w:hint="eastAsia" w:ascii="Times New Roman" w:hAnsi="Times New Roman" w:cs="Times New Roman"/>
                <w:color w:val="auto"/>
                <w:kern w:val="0"/>
                <w:sz w:val="21"/>
                <w:szCs w:val="21"/>
                <w:highlight w:val="none"/>
                <w:lang w:val="en-US" w:eastAsia="zh-CN" w:bidi="ar"/>
              </w:rPr>
              <w:t>鸡西</w:t>
            </w:r>
            <w:r>
              <w:rPr>
                <w:rFonts w:hint="default" w:ascii="Times New Roman" w:hAnsi="Times New Roman" w:cs="Times New Roman"/>
                <w:color w:val="auto"/>
                <w:kern w:val="0"/>
                <w:sz w:val="21"/>
                <w:szCs w:val="21"/>
                <w:highlight w:val="none"/>
                <w:lang w:bidi="ar"/>
              </w:rPr>
              <w:t>市</w:t>
            </w:r>
            <w:r>
              <w:rPr>
                <w:rFonts w:hint="eastAsia" w:ascii="Times New Roman" w:hAnsi="Times New Roman" w:cs="Times New Roman"/>
                <w:color w:val="auto"/>
                <w:kern w:val="0"/>
                <w:sz w:val="21"/>
                <w:szCs w:val="21"/>
                <w:highlight w:val="none"/>
                <w:lang w:val="en-US" w:eastAsia="zh-CN" w:bidi="ar"/>
              </w:rPr>
              <w:t>生态环境准入清单</w:t>
            </w:r>
            <w:r>
              <w:rPr>
                <w:rFonts w:hint="eastAsia" w:ascii="Times New Roman" w:hAnsi="Times New Roman" w:cs="Times New Roman"/>
                <w:color w:val="auto"/>
                <w:kern w:val="0"/>
                <w:sz w:val="21"/>
                <w:szCs w:val="21"/>
                <w:highlight w:val="none"/>
                <w:lang w:eastAsia="zh-CN" w:bidi="ar"/>
              </w:rPr>
              <w:t>（</w:t>
            </w:r>
            <w:r>
              <w:rPr>
                <w:rFonts w:hint="eastAsia" w:ascii="Times New Roman" w:hAnsi="Times New Roman" w:cs="Times New Roman"/>
                <w:color w:val="auto"/>
                <w:kern w:val="0"/>
                <w:sz w:val="21"/>
                <w:szCs w:val="21"/>
                <w:highlight w:val="none"/>
                <w:lang w:val="en-US" w:eastAsia="zh-CN" w:bidi="ar"/>
              </w:rPr>
              <w:t>2023年版）</w:t>
            </w:r>
            <w:r>
              <w:rPr>
                <w:rFonts w:hint="default" w:ascii="Times New Roman" w:hAnsi="Times New Roman" w:cs="Times New Roman"/>
                <w:color w:val="auto"/>
                <w:kern w:val="0"/>
                <w:sz w:val="21"/>
                <w:szCs w:val="21"/>
                <w:highlight w:val="none"/>
                <w:lang w:bidi="ar"/>
              </w:rPr>
              <w:t>》对照情况见下表。</w:t>
            </w:r>
          </w:p>
          <w:p w14:paraId="2E4A8AE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color w:val="auto"/>
                <w:highlight w:val="none"/>
              </w:rPr>
            </w:pPr>
            <w:r>
              <w:rPr>
                <w:rFonts w:hint="eastAsia" w:ascii="Times New Roman" w:hAnsi="Times New Roman" w:eastAsia="宋体" w:cs="Times New Roman"/>
                <w:b/>
                <w:bCs/>
                <w:color w:val="auto"/>
                <w:kern w:val="0"/>
                <w:szCs w:val="21"/>
                <w:highlight w:val="none"/>
                <w:lang w:val="en-US" w:eastAsia="zh-CN"/>
              </w:rPr>
              <w:t xml:space="preserve">图1-1 </w:t>
            </w:r>
            <w:r>
              <w:rPr>
                <w:rFonts w:hint="default" w:ascii="Times New Roman" w:hAnsi="Times New Roman" w:eastAsia="宋体" w:cs="Times New Roman"/>
                <w:b/>
                <w:bCs/>
                <w:color w:val="auto"/>
                <w:kern w:val="0"/>
                <w:szCs w:val="21"/>
                <w:highlight w:val="none"/>
              </w:rPr>
              <w:t>本项目所在地</w:t>
            </w:r>
            <w:r>
              <w:rPr>
                <w:rFonts w:hint="eastAsia" w:ascii="Times New Roman" w:hAnsi="Times New Roman" w:eastAsia="宋体" w:cs="Times New Roman"/>
                <w:b/>
                <w:bCs/>
                <w:color w:val="auto"/>
                <w:kern w:val="0"/>
                <w:szCs w:val="21"/>
                <w:highlight w:val="none"/>
              </w:rPr>
              <w:t>环境管控单元分布</w:t>
            </w:r>
            <w:r>
              <w:rPr>
                <w:rFonts w:hint="eastAsia" w:ascii="Times New Roman" w:hAnsi="Times New Roman" w:eastAsia="宋体" w:cs="Times New Roman"/>
                <w:b/>
                <w:bCs/>
                <w:color w:val="auto"/>
                <w:kern w:val="0"/>
                <w:szCs w:val="21"/>
                <w:highlight w:val="none"/>
                <w:lang w:val="en-US" w:eastAsia="zh-CN"/>
              </w:rPr>
              <w:t>示意</w:t>
            </w:r>
            <w:r>
              <w:rPr>
                <w:rFonts w:hint="default" w:ascii="Times New Roman" w:hAnsi="Times New Roman" w:eastAsia="宋体" w:cs="Times New Roman"/>
                <w:b/>
                <w:bCs/>
                <w:color w:val="auto"/>
                <w:kern w:val="0"/>
                <w:szCs w:val="21"/>
                <w:highlight w:val="none"/>
              </w:rPr>
              <w:t>图</w:t>
            </w:r>
          </w:p>
          <w:p w14:paraId="7C3A5DA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color w:val="auto"/>
                <w:kern w:val="0"/>
                <w:szCs w:val="21"/>
                <w:highlight w:val="none"/>
              </w:rPr>
            </w:pPr>
            <w:r>
              <w:rPr>
                <w:rFonts w:hint="default"/>
                <w:color w:val="auto"/>
                <w:sz w:val="21"/>
              </w:rPr>
              <mc:AlternateContent>
                <mc:Choice Requires="wps">
                  <w:drawing>
                    <wp:anchor distT="0" distB="0" distL="114300" distR="114300" simplePos="0" relativeHeight="251664384" behindDoc="0" locked="0" layoutInCell="1" allowOverlap="1">
                      <wp:simplePos x="0" y="0"/>
                      <wp:positionH relativeFrom="column">
                        <wp:posOffset>958850</wp:posOffset>
                      </wp:positionH>
                      <wp:positionV relativeFrom="paragraph">
                        <wp:posOffset>1748155</wp:posOffset>
                      </wp:positionV>
                      <wp:extent cx="767080" cy="305435"/>
                      <wp:effectExtent l="6350" t="6350" r="7620" b="431165"/>
                      <wp:wrapNone/>
                      <wp:docPr id="141" name="矩形标注 141"/>
                      <wp:cNvGraphicFramePr/>
                      <a:graphic xmlns:a="http://schemas.openxmlformats.org/drawingml/2006/main">
                        <a:graphicData uri="http://schemas.microsoft.com/office/word/2010/wordprocessingShape">
                          <wps:wsp>
                            <wps:cNvSpPr/>
                            <wps:spPr>
                              <a:xfrm>
                                <a:off x="0" y="0"/>
                                <a:ext cx="767080" cy="305435"/>
                              </a:xfrm>
                              <a:prstGeom prst="wedgeRectCallout">
                                <a:avLst>
                                  <a:gd name="adj1" fmla="val -115"/>
                                  <a:gd name="adj2" fmla="val 184810"/>
                                </a:avLst>
                              </a:prstGeom>
                              <a:noFill/>
                              <a:ln w="12700">
                                <a:solidFill>
                                  <a:schemeClr val="tx1"/>
                                </a:solidFill>
                              </a:ln>
                            </wps:spPr>
                            <wps:style>
                              <a:lnRef idx="2">
                                <a:schemeClr val="accent1"/>
                              </a:lnRef>
                              <a:fillRef idx="0">
                                <a:srgbClr val="FFFFFF"/>
                              </a:fillRef>
                              <a:effectRef idx="0">
                                <a:srgbClr val="FFFFFF"/>
                              </a:effectRef>
                              <a:fontRef idx="minor">
                                <a:schemeClr val="tx1"/>
                              </a:fontRef>
                            </wps:style>
                            <wps:txbx>
                              <w:txbxContent>
                                <w:p w14:paraId="24C63C1E">
                                  <w:pPr>
                                    <w:jc w:val="center"/>
                                    <w:rPr>
                                      <w:rFonts w:hint="default" w:eastAsia="宋体"/>
                                      <w:lang w:val="en-US" w:eastAsia="zh-CN"/>
                                    </w:rPr>
                                  </w:pPr>
                                  <w:r>
                                    <w:rPr>
                                      <w:rFonts w:hint="eastAsia"/>
                                      <w:color w:val="auto"/>
                                      <w:lang w:val="en-US" w:eastAsia="zh-CN"/>
                                    </w:rPr>
                                    <w:t>项</w:t>
                                  </w:r>
                                  <w:r>
                                    <w:rPr>
                                      <w:rFonts w:hint="eastAsia"/>
                                      <w:lang w:val="en-US" w:eastAsia="zh-CN"/>
                                    </w:rPr>
                                    <w:t>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5.5pt;margin-top:137.65pt;height:24.05pt;width:60.4pt;z-index:251664384;v-text-anchor:middle;mso-width-relative:page;mso-height-relative:page;" filled="f" stroked="t" coordsize="21600,21600" o:gfxdata="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Kp6Cj3ZAAAACwEAAA8AAAAAAAAAAQAgAAAAIgAAAGRycy9kb3ducmV2LnhtbFBLAQIUABQA&#10;AAAIAIdO4kAx2stEmgIAACUFAAAOAAAAAAAAAAEAIAAAACgBAABkcnMvZTJvRG9jLnhtbFBLBQYA&#10;AAAABgAGAFkBAAA0BgAAAAA=&#10;" adj="10775,50719">
                      <v:fill on="f" focussize="0,0"/>
                      <v:stroke weight="1pt" color="#000000 [3213]" joinstyle="round"/>
                      <v:imagedata o:title=""/>
                      <o:lock v:ext="edit" aspectratio="f"/>
                      <v:textbox>
                        <w:txbxContent>
                          <w:p w14:paraId="24C63C1E">
                            <w:pPr>
                              <w:jc w:val="center"/>
                              <w:rPr>
                                <w:rFonts w:hint="default" w:eastAsia="宋体"/>
                                <w:lang w:val="en-US" w:eastAsia="zh-CN"/>
                              </w:rPr>
                            </w:pPr>
                            <w:r>
                              <w:rPr>
                                <w:rFonts w:hint="eastAsia"/>
                                <w:color w:val="auto"/>
                                <w:lang w:val="en-US" w:eastAsia="zh-CN"/>
                              </w:rPr>
                              <w:t>项</w:t>
                            </w:r>
                            <w:r>
                              <w:rPr>
                                <w:rFonts w:hint="eastAsia"/>
                                <w:lang w:val="en-US" w:eastAsia="zh-CN"/>
                              </w:rPr>
                              <w:t>目位置</w:t>
                            </w:r>
                          </w:p>
                        </w:txbxContent>
                      </v:textbox>
                    </v:shape>
                  </w:pict>
                </mc:Fallback>
              </mc:AlternateContent>
            </w:r>
            <w:r>
              <w:rPr>
                <w:rFonts w:hint="default"/>
                <w:color w:val="auto"/>
              </w:rPr>
              <w:drawing>
                <wp:inline distT="0" distB="0" distL="114300" distR="114300">
                  <wp:extent cx="4789170" cy="3380105"/>
                  <wp:effectExtent l="0" t="0" r="11430" b="10795"/>
                  <wp:docPr id="1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7"/>
                          <pic:cNvPicPr>
                            <a:picLocks noChangeAspect="1"/>
                          </pic:cNvPicPr>
                        </pic:nvPicPr>
                        <pic:blipFill>
                          <a:blip r:embed="rId9"/>
                          <a:stretch>
                            <a:fillRect/>
                          </a:stretch>
                        </pic:blipFill>
                        <pic:spPr>
                          <a:xfrm>
                            <a:off x="0" y="0"/>
                            <a:ext cx="4789170" cy="3380105"/>
                          </a:xfrm>
                          <a:prstGeom prst="rect">
                            <a:avLst/>
                          </a:prstGeom>
                          <a:noFill/>
                          <a:ln>
                            <a:noFill/>
                          </a:ln>
                        </pic:spPr>
                      </pic:pic>
                    </a:graphicData>
                  </a:graphic>
                </wp:inline>
              </w:drawing>
            </w:r>
          </w:p>
          <w:p w14:paraId="5D0FE69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color w:val="auto"/>
                <w:kern w:val="0"/>
                <w:szCs w:val="21"/>
                <w:highlight w:val="none"/>
              </w:rPr>
            </w:pPr>
          </w:p>
          <w:p w14:paraId="78FA227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color w:val="auto"/>
                <w:kern w:val="0"/>
                <w:szCs w:val="21"/>
                <w:highlight w:val="none"/>
              </w:rPr>
            </w:pPr>
            <w:r>
              <w:rPr>
                <w:rFonts w:hint="default" w:ascii="Times New Roman" w:hAnsi="Times New Roman" w:cs="Times New Roman"/>
                <w:b/>
                <w:bCs/>
                <w:color w:val="auto"/>
                <w:kern w:val="0"/>
                <w:szCs w:val="21"/>
                <w:highlight w:val="none"/>
              </w:rPr>
              <w:t>表1-</w:t>
            </w:r>
            <w:r>
              <w:rPr>
                <w:rFonts w:hint="eastAsia" w:cs="Times New Roman"/>
                <w:b/>
                <w:bCs/>
                <w:color w:val="auto"/>
                <w:kern w:val="0"/>
                <w:szCs w:val="21"/>
                <w:highlight w:val="none"/>
                <w:lang w:val="en-US" w:eastAsia="zh-CN"/>
              </w:rPr>
              <w:t>2</w:t>
            </w:r>
            <w:r>
              <w:rPr>
                <w:rFonts w:hint="default" w:ascii="Times New Roman" w:hAnsi="Times New Roman" w:cs="Times New Roman"/>
                <w:b/>
                <w:bCs/>
                <w:color w:val="auto"/>
                <w:kern w:val="0"/>
                <w:szCs w:val="21"/>
                <w:highlight w:val="none"/>
                <w:lang w:val="en-US" w:eastAsia="zh-CN"/>
              </w:rPr>
              <w:t xml:space="preserve"> </w:t>
            </w:r>
            <w:r>
              <w:rPr>
                <w:rFonts w:hint="default" w:ascii="Times New Roman" w:hAnsi="Times New Roman" w:cs="Times New Roman"/>
                <w:b/>
                <w:bCs/>
                <w:color w:val="auto"/>
                <w:kern w:val="0"/>
                <w:szCs w:val="21"/>
                <w:highlight w:val="none"/>
              </w:rPr>
              <w:t>生态环境准入清单符合性分析</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5"/>
              <w:gridCol w:w="781"/>
              <w:gridCol w:w="746"/>
              <w:gridCol w:w="526"/>
              <w:gridCol w:w="2815"/>
              <w:gridCol w:w="1817"/>
            </w:tblGrid>
            <w:tr w14:paraId="5EE8F0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5" w:type="dxa"/>
                  <w:tcBorders>
                    <w:left w:val="nil"/>
                    <w:bottom w:val="single" w:color="auto" w:sz="4" w:space="0"/>
                    <w:right w:val="single" w:color="auto" w:sz="4" w:space="0"/>
                  </w:tcBorders>
                  <w:noWrap w:val="0"/>
                  <w:vAlign w:val="center"/>
                </w:tcPr>
                <w:p w14:paraId="1836B3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环境管控单元编码</w:t>
                  </w:r>
                </w:p>
              </w:tc>
              <w:tc>
                <w:tcPr>
                  <w:tcW w:w="781" w:type="dxa"/>
                  <w:tcBorders>
                    <w:left w:val="single" w:color="auto" w:sz="4" w:space="0"/>
                    <w:bottom w:val="single" w:color="auto" w:sz="4" w:space="0"/>
                    <w:right w:val="single" w:color="auto" w:sz="4" w:space="0"/>
                  </w:tcBorders>
                  <w:noWrap w:val="0"/>
                  <w:vAlign w:val="center"/>
                </w:tcPr>
                <w:p w14:paraId="7BA4729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环境管控单元名称</w:t>
                  </w:r>
                </w:p>
              </w:tc>
              <w:tc>
                <w:tcPr>
                  <w:tcW w:w="746" w:type="dxa"/>
                  <w:tcBorders>
                    <w:left w:val="single" w:color="auto" w:sz="4" w:space="0"/>
                    <w:bottom w:val="single" w:color="auto" w:sz="4" w:space="0"/>
                    <w:right w:val="single" w:color="auto" w:sz="4" w:space="0"/>
                  </w:tcBorders>
                  <w:noWrap w:val="0"/>
                  <w:vAlign w:val="center"/>
                </w:tcPr>
                <w:p w14:paraId="6EBF4D2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管控单元类别</w:t>
                  </w:r>
                </w:p>
              </w:tc>
              <w:tc>
                <w:tcPr>
                  <w:tcW w:w="3341" w:type="dxa"/>
                  <w:gridSpan w:val="2"/>
                  <w:tcBorders>
                    <w:left w:val="single" w:color="auto" w:sz="4" w:space="0"/>
                    <w:bottom w:val="single" w:color="auto" w:sz="4" w:space="0"/>
                    <w:right w:val="single" w:color="auto" w:sz="4" w:space="0"/>
                  </w:tcBorders>
                  <w:noWrap w:val="0"/>
                  <w:vAlign w:val="center"/>
                </w:tcPr>
                <w:p w14:paraId="36AA25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管控要求</w:t>
                  </w:r>
                </w:p>
              </w:tc>
              <w:tc>
                <w:tcPr>
                  <w:tcW w:w="1817" w:type="dxa"/>
                  <w:tcBorders>
                    <w:left w:val="single" w:color="auto" w:sz="4" w:space="0"/>
                    <w:bottom w:val="single" w:color="auto" w:sz="4" w:space="0"/>
                    <w:right w:val="nil"/>
                  </w:tcBorders>
                  <w:noWrap w:val="0"/>
                  <w:vAlign w:val="center"/>
                </w:tcPr>
                <w:p w14:paraId="7CABBE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符合性分析</w:t>
                  </w:r>
                </w:p>
              </w:tc>
            </w:tr>
            <w:tr w14:paraId="4FBC9F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5" w:type="dxa"/>
                  <w:vMerge w:val="restart"/>
                  <w:tcBorders>
                    <w:top w:val="single" w:color="auto" w:sz="4" w:space="0"/>
                    <w:left w:val="nil"/>
                    <w:right w:val="single" w:color="auto" w:sz="4" w:space="0"/>
                  </w:tcBorders>
                  <w:noWrap w:val="0"/>
                  <w:vAlign w:val="center"/>
                </w:tcPr>
                <w:p w14:paraId="71389777">
                  <w:pPr>
                    <w:keepNext w:val="0"/>
                    <w:keepLines w:val="0"/>
                    <w:widowControl/>
                    <w:suppressLineNumbers w:val="0"/>
                    <w:spacing w:before="0" w:beforeAutospacing="0" w:after="0" w:afterAutospacing="0"/>
                    <w:ind w:left="0" w:right="0"/>
                    <w:jc w:val="left"/>
                    <w:rPr>
                      <w:rFonts w:hint="default"/>
                      <w:color w:val="auto"/>
                    </w:rPr>
                  </w:pPr>
                  <w:r>
                    <w:rPr>
                      <w:rFonts w:hint="eastAsia" w:ascii="Times New Roman" w:hAnsi="Times New Roman" w:eastAsia="宋体" w:cs="Times New Roman"/>
                      <w:color w:val="auto"/>
                      <w:sz w:val="18"/>
                      <w:szCs w:val="18"/>
                      <w:highlight w:val="none"/>
                      <w:lang w:val="en-US" w:eastAsia="zh-CN"/>
                    </w:rPr>
                    <w:t>ZH2303052002</w:t>
                  </w:r>
                </w:p>
                <w:p w14:paraId="0F9FEEA8">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sz w:val="18"/>
                      <w:szCs w:val="18"/>
                      <w:highlight w:val="none"/>
                      <w:lang w:val="en-US" w:eastAsia="zh-CN"/>
                    </w:rPr>
                  </w:pPr>
                </w:p>
              </w:tc>
              <w:tc>
                <w:tcPr>
                  <w:tcW w:w="781" w:type="dxa"/>
                  <w:vMerge w:val="restart"/>
                  <w:tcBorders>
                    <w:top w:val="single" w:color="auto" w:sz="4" w:space="0"/>
                    <w:left w:val="single" w:color="auto" w:sz="4" w:space="0"/>
                    <w:right w:val="single" w:color="auto" w:sz="4" w:space="0"/>
                  </w:tcBorders>
                  <w:noWrap w:val="0"/>
                  <w:vAlign w:val="center"/>
                </w:tcPr>
                <w:p w14:paraId="45CA45B9">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梨树区城镇空间</w:t>
                  </w:r>
                </w:p>
                <w:p w14:paraId="4A96DF7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sz w:val="18"/>
                      <w:szCs w:val="18"/>
                      <w:highlight w:val="none"/>
                      <w:lang w:val="en-US" w:eastAsia="zh-CN"/>
                    </w:rPr>
                  </w:pPr>
                </w:p>
              </w:tc>
              <w:tc>
                <w:tcPr>
                  <w:tcW w:w="746" w:type="dxa"/>
                  <w:vMerge w:val="restart"/>
                  <w:tcBorders>
                    <w:top w:val="single" w:color="auto" w:sz="4" w:space="0"/>
                    <w:left w:val="single" w:color="auto" w:sz="4" w:space="0"/>
                    <w:right w:val="single" w:color="auto" w:sz="4" w:space="0"/>
                  </w:tcBorders>
                  <w:noWrap w:val="0"/>
                  <w:vAlign w:val="center"/>
                </w:tcPr>
                <w:p w14:paraId="70E8931E">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重点管控单元</w:t>
                  </w:r>
                </w:p>
              </w:tc>
              <w:tc>
                <w:tcPr>
                  <w:tcW w:w="526" w:type="dxa"/>
                  <w:tcBorders>
                    <w:top w:val="single" w:color="auto" w:sz="4" w:space="0"/>
                    <w:left w:val="single" w:color="auto" w:sz="4" w:space="0"/>
                    <w:bottom w:val="single" w:color="auto" w:sz="4" w:space="0"/>
                    <w:right w:val="single" w:color="auto" w:sz="4" w:space="0"/>
                  </w:tcBorders>
                  <w:noWrap w:val="0"/>
                  <w:vAlign w:val="center"/>
                </w:tcPr>
                <w:p w14:paraId="1507005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空间布局约束</w:t>
                  </w:r>
                </w:p>
              </w:tc>
              <w:tc>
                <w:tcPr>
                  <w:tcW w:w="2815" w:type="dxa"/>
                  <w:tcBorders>
                    <w:top w:val="single" w:color="auto" w:sz="4" w:space="0"/>
                    <w:left w:val="single" w:color="auto" w:sz="4" w:space="0"/>
                    <w:bottom w:val="single" w:color="auto" w:sz="4" w:space="0"/>
                    <w:right w:val="single" w:color="auto" w:sz="4" w:space="0"/>
                  </w:tcBorders>
                  <w:noWrap w:val="0"/>
                  <w:vAlign w:val="center"/>
                </w:tcPr>
                <w:p w14:paraId="742BFF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同时执行：（1）严禁在人口密集区新建危险化学品生产项目，城镇人口密集区危险化学品生产企业应搬迁改造。（2）禁止在城镇居民区、文化教育科学研究区等人口集中区域建设畜禽养殖场、养殖小区。2.水环境城镇生活污染重点管控区同时执行除干旱地区外，新建城区应全面实行雨污分流，鼓励对初期雨水进行收集、处理和资源化利用。3.大气环境布局敏感重点管控区同时执行（1）严控“两高”行业产能。严格执行钢铁、水泥、平板玻璃等行业产能置换实施办法。（2）利用水泥窑协同处置城市生活垃圾、危险废弃物、电石渣等固废伴生水泥项目，必须依托现有新型干法水泥熟料生产线进行不扩产能改造。</w:t>
                  </w:r>
                </w:p>
              </w:tc>
              <w:tc>
                <w:tcPr>
                  <w:tcW w:w="1817" w:type="dxa"/>
                  <w:tcBorders>
                    <w:top w:val="single" w:color="auto" w:sz="4" w:space="0"/>
                    <w:left w:val="single" w:color="auto" w:sz="4" w:space="0"/>
                    <w:right w:val="nil"/>
                  </w:tcBorders>
                  <w:noWrap w:val="0"/>
                  <w:vAlign w:val="center"/>
                </w:tcPr>
                <w:p w14:paraId="29607E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本项目</w:t>
                  </w:r>
                  <w:r>
                    <w:rPr>
                      <w:rFonts w:hint="eastAsia" w:cs="Times New Roman"/>
                      <w:color w:val="auto"/>
                      <w:sz w:val="18"/>
                      <w:szCs w:val="18"/>
                      <w:highlight w:val="none"/>
                      <w:lang w:val="en-US" w:eastAsia="zh-CN"/>
                    </w:rPr>
                    <w:t>为生物质燃料生产项目</w:t>
                  </w:r>
                  <w:r>
                    <w:rPr>
                      <w:rFonts w:hint="eastAsia" w:ascii="Times New Roman" w:hAnsi="Times New Roman" w:eastAsia="宋体" w:cs="Times New Roman"/>
                      <w:color w:val="auto"/>
                      <w:sz w:val="18"/>
                      <w:szCs w:val="18"/>
                      <w:highlight w:val="none"/>
                      <w:lang w:val="en-US" w:eastAsia="zh-CN"/>
                    </w:rPr>
                    <w:t>，不属于</w:t>
                  </w:r>
                  <w:r>
                    <w:rPr>
                      <w:rFonts w:hint="eastAsia" w:cs="Times New Roman"/>
                      <w:color w:val="auto"/>
                      <w:sz w:val="18"/>
                      <w:szCs w:val="18"/>
                      <w:highlight w:val="none"/>
                      <w:lang w:val="en-US" w:eastAsia="zh-CN"/>
                    </w:rPr>
                    <w:t>管控要求中严禁建设的项目。</w:t>
                  </w:r>
                </w:p>
              </w:tc>
            </w:tr>
            <w:tr w14:paraId="0C9932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5" w:type="dxa"/>
                  <w:vMerge w:val="continue"/>
                  <w:tcBorders>
                    <w:left w:val="nil"/>
                    <w:right w:val="single" w:color="auto" w:sz="4" w:space="0"/>
                  </w:tcBorders>
                  <w:noWrap w:val="0"/>
                  <w:vAlign w:val="center"/>
                </w:tcPr>
                <w:p w14:paraId="312556C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c>
                <w:tcPr>
                  <w:tcW w:w="781" w:type="dxa"/>
                  <w:vMerge w:val="continue"/>
                  <w:tcBorders>
                    <w:left w:val="single" w:color="auto" w:sz="4" w:space="0"/>
                    <w:right w:val="single" w:color="auto" w:sz="4" w:space="0"/>
                  </w:tcBorders>
                  <w:noWrap w:val="0"/>
                  <w:vAlign w:val="center"/>
                </w:tcPr>
                <w:p w14:paraId="1F8250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rPr>
                  </w:pPr>
                </w:p>
              </w:tc>
              <w:tc>
                <w:tcPr>
                  <w:tcW w:w="746" w:type="dxa"/>
                  <w:vMerge w:val="continue"/>
                  <w:tcBorders>
                    <w:left w:val="single" w:color="auto" w:sz="4" w:space="0"/>
                    <w:right w:val="single" w:color="auto" w:sz="4" w:space="0"/>
                  </w:tcBorders>
                  <w:noWrap w:val="0"/>
                  <w:vAlign w:val="center"/>
                </w:tcPr>
                <w:p w14:paraId="43F84C0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c>
                <w:tcPr>
                  <w:tcW w:w="526" w:type="dxa"/>
                  <w:tcBorders>
                    <w:top w:val="single" w:color="auto" w:sz="4" w:space="0"/>
                    <w:left w:val="single" w:color="auto" w:sz="4" w:space="0"/>
                    <w:bottom w:val="single" w:color="auto" w:sz="4" w:space="0"/>
                    <w:right w:val="single" w:color="auto" w:sz="4" w:space="0"/>
                  </w:tcBorders>
                  <w:noWrap w:val="0"/>
                  <w:vAlign w:val="center"/>
                </w:tcPr>
                <w:p w14:paraId="57904CE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污染物排放管控</w:t>
                  </w:r>
                </w:p>
              </w:tc>
              <w:tc>
                <w:tcPr>
                  <w:tcW w:w="2815" w:type="dxa"/>
                  <w:tcBorders>
                    <w:top w:val="single" w:color="auto" w:sz="4" w:space="0"/>
                    <w:left w:val="single" w:color="auto" w:sz="4" w:space="0"/>
                    <w:bottom w:val="single" w:color="auto" w:sz="4" w:space="0"/>
                    <w:right w:val="single" w:color="auto" w:sz="4" w:space="0"/>
                  </w:tcBorders>
                  <w:noWrap w:val="0"/>
                  <w:vAlign w:val="center"/>
                </w:tcPr>
                <w:p w14:paraId="626D8D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1.执行：加快65t/h以上燃煤锅炉（含电力）超低排放改造。2.水环境城镇生活污染重点管控区同时执行（1）新区污水管网规划建设应当与城市开发同步推进，除干旱地区外均实行雨污分流。（2）强化城中村、老旧城区和城乡结合部污水截流、收集。（3）推进合流制排水系统雨污分流改造，难以改造的，应采取截流、调蓄和治理等措施；推进现有污水处理设施配套管网建设；进一步提高城市、县城生活污水收集处理效能。（4）县级以上人民政府应当合理确定城镇排水与污水处理设施建设标准，统筹安排管网、泵站、污水处理厂以及污泥处理处置、再生水利用、雨水调蓄和排放等排水与污水处理设施建设和改造，提高城镇污水收集率和处理率。3.大气环境布局敏感重点管控区同时执行（1）对以煤、石焦油、渣油、重油等为燃料的锅炉和工业炉窑，加快使用清洁低碳能源以及工厂余热、电力热力等进行替代。（2）到2025 年，在用65蒸吨/小时以上的燃煤锅炉（含电力）实现超低排放，钢铁企业基本实现超低排放。</w:t>
                  </w:r>
                </w:p>
              </w:tc>
              <w:tc>
                <w:tcPr>
                  <w:tcW w:w="1817" w:type="dxa"/>
                  <w:tcBorders>
                    <w:left w:val="single" w:color="auto" w:sz="4" w:space="0"/>
                    <w:right w:val="nil"/>
                  </w:tcBorders>
                  <w:noWrap w:val="0"/>
                  <w:vAlign w:val="center"/>
                </w:tcPr>
                <w:p w14:paraId="239FF88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本项目</w:t>
                  </w:r>
                  <w:r>
                    <w:rPr>
                      <w:rFonts w:hint="eastAsia" w:cs="Times New Roman"/>
                      <w:color w:val="auto"/>
                      <w:sz w:val="18"/>
                      <w:szCs w:val="18"/>
                      <w:highlight w:val="none"/>
                      <w:lang w:val="en-US" w:eastAsia="zh-CN"/>
                    </w:rPr>
                    <w:t>为生物质燃料生产项</w:t>
                  </w:r>
                  <w:r>
                    <w:rPr>
                      <w:rFonts w:hint="eastAsia" w:ascii="Times New Roman" w:hAnsi="Times New Roman" w:eastAsia="宋体" w:cs="Times New Roman"/>
                      <w:color w:val="auto"/>
                      <w:sz w:val="18"/>
                      <w:szCs w:val="18"/>
                      <w:highlight w:val="none"/>
                      <w:lang w:val="en-US" w:eastAsia="zh-CN"/>
                    </w:rPr>
                    <w:t>目，燃料为生物质，不属于</w:t>
                  </w:r>
                  <w:r>
                    <w:rPr>
                      <w:rFonts w:hint="eastAsia" w:cs="Times New Roman"/>
                      <w:color w:val="auto"/>
                      <w:sz w:val="18"/>
                      <w:szCs w:val="18"/>
                      <w:highlight w:val="none"/>
                      <w:lang w:val="en-US" w:eastAsia="zh-CN"/>
                    </w:rPr>
                    <w:t>以煤、石焦油、渣油、重油等为燃料的锅炉和工业炉窑</w:t>
                  </w:r>
                  <w:r>
                    <w:rPr>
                      <w:rFonts w:hint="eastAsia" w:ascii="Times New Roman" w:hAnsi="Times New Roman" w:eastAsia="宋体" w:cs="Times New Roman"/>
                      <w:color w:val="auto"/>
                      <w:sz w:val="18"/>
                      <w:szCs w:val="18"/>
                      <w:highlight w:val="none"/>
                      <w:lang w:val="en-US" w:eastAsia="zh-CN"/>
                    </w:rPr>
                    <w:t>。</w:t>
                  </w:r>
                  <w:r>
                    <w:rPr>
                      <w:rFonts w:hint="eastAsia" w:cs="Times New Roman"/>
                      <w:color w:val="auto"/>
                      <w:sz w:val="18"/>
                      <w:szCs w:val="18"/>
                      <w:highlight w:val="none"/>
                      <w:lang w:val="en-US" w:eastAsia="zh-CN"/>
                    </w:rPr>
                    <w:t>本项目无生产废水，员工生活污水排入防渗旱厕，定期清掏外运堆肥，不外排。</w:t>
                  </w:r>
                </w:p>
              </w:tc>
            </w:tr>
            <w:tr w14:paraId="64B259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5" w:type="dxa"/>
                  <w:vMerge w:val="continue"/>
                  <w:tcBorders>
                    <w:left w:val="nil"/>
                    <w:right w:val="single" w:color="auto" w:sz="4" w:space="0"/>
                  </w:tcBorders>
                  <w:noWrap w:val="0"/>
                  <w:vAlign w:val="center"/>
                </w:tcPr>
                <w:p w14:paraId="41F06A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c>
                <w:tcPr>
                  <w:tcW w:w="781" w:type="dxa"/>
                  <w:vMerge w:val="continue"/>
                  <w:tcBorders>
                    <w:left w:val="single" w:color="auto" w:sz="4" w:space="0"/>
                    <w:right w:val="single" w:color="auto" w:sz="4" w:space="0"/>
                  </w:tcBorders>
                  <w:noWrap w:val="0"/>
                  <w:vAlign w:val="center"/>
                </w:tcPr>
                <w:p w14:paraId="49CCE987">
                  <w:pPr>
                    <w:keepNext w:val="0"/>
                    <w:keepLines w:val="0"/>
                    <w:pageBreakBefore w:val="0"/>
                    <w:widowControl/>
                    <w:suppressLineNumbers w:val="0"/>
                    <w:tabs>
                      <w:tab w:val="left" w:pos="265"/>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rPr>
                  </w:pPr>
                </w:p>
              </w:tc>
              <w:tc>
                <w:tcPr>
                  <w:tcW w:w="746" w:type="dxa"/>
                  <w:vMerge w:val="continue"/>
                  <w:tcBorders>
                    <w:left w:val="single" w:color="auto" w:sz="4" w:space="0"/>
                    <w:right w:val="single" w:color="auto" w:sz="4" w:space="0"/>
                  </w:tcBorders>
                  <w:noWrap w:val="0"/>
                  <w:vAlign w:val="center"/>
                </w:tcPr>
                <w:p w14:paraId="6917DD8E">
                  <w:pPr>
                    <w:keepNext w:val="0"/>
                    <w:keepLines w:val="0"/>
                    <w:pageBreakBefore w:val="0"/>
                    <w:widowControl/>
                    <w:suppressLineNumbers w:val="0"/>
                    <w:tabs>
                      <w:tab w:val="left" w:pos="265"/>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c>
                <w:tcPr>
                  <w:tcW w:w="526" w:type="dxa"/>
                  <w:tcBorders>
                    <w:top w:val="single" w:color="auto" w:sz="4" w:space="0"/>
                    <w:left w:val="single" w:color="auto" w:sz="4" w:space="0"/>
                    <w:bottom w:val="single" w:color="auto" w:sz="4" w:space="0"/>
                    <w:right w:val="single" w:color="auto" w:sz="4" w:space="0"/>
                  </w:tcBorders>
                  <w:noWrap w:val="0"/>
                  <w:vAlign w:val="center"/>
                </w:tcPr>
                <w:p w14:paraId="4909083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val="en-US" w:eastAsia="zh-CN" w:bidi="ar"/>
                    </w:rPr>
                    <w:t>环境风险</w:t>
                  </w:r>
                </w:p>
                <w:p w14:paraId="14AD19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lang w:val="en-US" w:eastAsia="zh-CN" w:bidi="ar"/>
                    </w:rPr>
                    <w:t>防控</w:t>
                  </w:r>
                </w:p>
              </w:tc>
              <w:tc>
                <w:tcPr>
                  <w:tcW w:w="2815" w:type="dxa"/>
                  <w:tcBorders>
                    <w:top w:val="single" w:color="auto" w:sz="4" w:space="0"/>
                    <w:left w:val="single" w:color="auto" w:sz="4" w:space="0"/>
                    <w:bottom w:val="single" w:color="auto" w:sz="4" w:space="0"/>
                    <w:right w:val="single" w:color="auto" w:sz="4" w:space="0"/>
                  </w:tcBorders>
                  <w:noWrap w:val="0"/>
                  <w:vAlign w:val="center"/>
                </w:tcPr>
                <w:p w14:paraId="6AB2AB7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 xml:space="preserve">1.化工园区与城市建成区、人员密集场所、重要设施、敏感目标等应当保持规定的安全距离，相对封闭，不应保留常住居民，非关联企业和产业要逐步搬迁或退出，妥善防范化解“邻避”问题。严禁在松花江干流及一级支流沿岸 1 公里范围内布局化工园区。 2.大气环境布局敏感重点管控区同时执行禁止在居民区、学校、医疗和养老机构等周边新建有色金属冶炼、焦化等行业企业。 </w:t>
                  </w:r>
                </w:p>
              </w:tc>
              <w:tc>
                <w:tcPr>
                  <w:tcW w:w="1817" w:type="dxa"/>
                  <w:tcBorders>
                    <w:left w:val="single" w:color="auto" w:sz="4" w:space="0"/>
                    <w:right w:val="nil"/>
                  </w:tcBorders>
                  <w:noWrap w:val="0"/>
                  <w:vAlign w:val="center"/>
                </w:tcPr>
                <w:p w14:paraId="0C642F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 xml:space="preserve">本项目不属于“有 </w:t>
                  </w:r>
                </w:p>
                <w:p w14:paraId="5B4A260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色金属冶炼、焦化”等行业企业，</w:t>
                  </w:r>
                  <w:r>
                    <w:rPr>
                      <w:rFonts w:hint="eastAsia" w:cs="Times New Roman"/>
                      <w:color w:val="auto"/>
                      <w:sz w:val="18"/>
                      <w:szCs w:val="18"/>
                      <w:highlight w:val="none"/>
                      <w:lang w:val="en-US" w:eastAsia="zh-CN"/>
                    </w:rPr>
                    <w:t>生物质燃烧器</w:t>
                  </w:r>
                  <w:r>
                    <w:rPr>
                      <w:rFonts w:hint="eastAsia" w:ascii="Times New Roman" w:hAnsi="Times New Roman" w:eastAsia="宋体" w:cs="Times New Roman"/>
                      <w:color w:val="auto"/>
                      <w:sz w:val="18"/>
                      <w:szCs w:val="18"/>
                      <w:highlight w:val="none"/>
                      <w:lang w:val="en-US" w:eastAsia="zh-CN"/>
                    </w:rPr>
                    <w:t>烟气经污染治理设施处理后达标排放</w:t>
                  </w:r>
                </w:p>
              </w:tc>
            </w:tr>
            <w:tr w14:paraId="2F2BE4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5" w:type="dxa"/>
                  <w:vMerge w:val="continue"/>
                  <w:tcBorders>
                    <w:left w:val="nil"/>
                    <w:right w:val="single" w:color="auto" w:sz="4" w:space="0"/>
                  </w:tcBorders>
                  <w:noWrap w:val="0"/>
                  <w:vAlign w:val="center"/>
                </w:tcPr>
                <w:p w14:paraId="4C55E2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c>
                <w:tcPr>
                  <w:tcW w:w="781" w:type="dxa"/>
                  <w:vMerge w:val="continue"/>
                  <w:tcBorders>
                    <w:left w:val="single" w:color="auto" w:sz="4" w:space="0"/>
                    <w:right w:val="single" w:color="auto" w:sz="4" w:space="0"/>
                  </w:tcBorders>
                  <w:noWrap w:val="0"/>
                  <w:vAlign w:val="center"/>
                </w:tcPr>
                <w:p w14:paraId="2BFB3455">
                  <w:pPr>
                    <w:keepNext w:val="0"/>
                    <w:keepLines w:val="0"/>
                    <w:pageBreakBefore w:val="0"/>
                    <w:widowControl/>
                    <w:suppressLineNumbers w:val="0"/>
                    <w:tabs>
                      <w:tab w:val="left" w:pos="265"/>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rPr>
                  </w:pPr>
                </w:p>
              </w:tc>
              <w:tc>
                <w:tcPr>
                  <w:tcW w:w="746" w:type="dxa"/>
                  <w:vMerge w:val="continue"/>
                  <w:tcBorders>
                    <w:left w:val="single" w:color="auto" w:sz="4" w:space="0"/>
                    <w:right w:val="single" w:color="auto" w:sz="4" w:space="0"/>
                  </w:tcBorders>
                  <w:noWrap w:val="0"/>
                  <w:vAlign w:val="center"/>
                </w:tcPr>
                <w:p w14:paraId="010E47EB">
                  <w:pPr>
                    <w:keepNext w:val="0"/>
                    <w:keepLines w:val="0"/>
                    <w:pageBreakBefore w:val="0"/>
                    <w:widowControl/>
                    <w:suppressLineNumbers w:val="0"/>
                    <w:tabs>
                      <w:tab w:val="left" w:pos="265"/>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c>
                <w:tcPr>
                  <w:tcW w:w="526" w:type="dxa"/>
                  <w:tcBorders>
                    <w:top w:val="single" w:color="auto" w:sz="4" w:space="0"/>
                    <w:left w:val="single" w:color="auto" w:sz="4" w:space="0"/>
                    <w:bottom w:val="single" w:color="auto" w:sz="4" w:space="0"/>
                    <w:right w:val="single" w:color="auto" w:sz="4" w:space="0"/>
                  </w:tcBorders>
                  <w:noWrap w:val="0"/>
                  <w:vAlign w:val="center"/>
                </w:tcPr>
                <w:p w14:paraId="2917F3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val="en-US" w:eastAsia="zh-CN" w:bidi="ar"/>
                    </w:rPr>
                    <w:t>资源利用</w:t>
                  </w:r>
                </w:p>
                <w:p w14:paraId="6FB11A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lang w:val="en-US" w:eastAsia="zh-CN" w:bidi="ar"/>
                    </w:rPr>
                    <w:t>效率要求</w:t>
                  </w:r>
                </w:p>
              </w:tc>
              <w:tc>
                <w:tcPr>
                  <w:tcW w:w="2815" w:type="dxa"/>
                  <w:tcBorders>
                    <w:top w:val="single" w:color="auto" w:sz="4" w:space="0"/>
                    <w:left w:val="single" w:color="auto" w:sz="4" w:space="0"/>
                    <w:bottom w:val="single" w:color="auto" w:sz="4" w:space="0"/>
                    <w:right w:val="single" w:color="auto" w:sz="4" w:space="0"/>
                  </w:tcBorders>
                  <w:noWrap w:val="0"/>
                  <w:vAlign w:val="center"/>
                </w:tcPr>
                <w:p w14:paraId="6AE2CA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1.推进污水再生利用设施建设。 2.公共建筑必须采用节水器具，限期淘汰公共建筑中不符合节水标准的水嘴、便器水箱等生活用水器具。</w:t>
                  </w:r>
                </w:p>
              </w:tc>
              <w:tc>
                <w:tcPr>
                  <w:tcW w:w="1817" w:type="dxa"/>
                  <w:tcBorders>
                    <w:left w:val="single" w:color="auto" w:sz="4" w:space="0"/>
                    <w:right w:val="nil"/>
                  </w:tcBorders>
                  <w:noWrap w:val="0"/>
                  <w:vAlign w:val="center"/>
                </w:tcPr>
                <w:p w14:paraId="29B013D5">
                  <w:pPr>
                    <w:keepNext w:val="0"/>
                    <w:keepLines w:val="0"/>
                    <w:pageBreakBefore w:val="0"/>
                    <w:widowControl/>
                    <w:suppressLineNumbers w:val="0"/>
                    <w:tabs>
                      <w:tab w:val="left" w:pos="265"/>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本项目无生产废水，员工生活污水排入防渗旱厕，定期清掏外运堆肥，不外排。</w:t>
                  </w:r>
                </w:p>
              </w:tc>
            </w:tr>
            <w:tr w14:paraId="1B996B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35" w:type="dxa"/>
                  <w:tcBorders>
                    <w:left w:val="nil"/>
                    <w:right w:val="single" w:color="auto" w:sz="4" w:space="0"/>
                  </w:tcBorders>
                  <w:shd w:val="clear" w:color="auto" w:fill="auto"/>
                  <w:noWrap w:val="0"/>
                  <w:vAlign w:val="center"/>
                </w:tcPr>
                <w:p w14:paraId="6BCD50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YS2303216310001</w:t>
                  </w:r>
                </w:p>
                <w:p w14:paraId="186DE2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781" w:type="dxa"/>
                  <w:tcBorders>
                    <w:left w:val="single" w:color="auto" w:sz="4" w:space="0"/>
                    <w:right w:val="single" w:color="auto" w:sz="4" w:space="0"/>
                  </w:tcBorders>
                  <w:shd w:val="clear" w:color="auto" w:fill="auto"/>
                  <w:noWrap w:val="0"/>
                  <w:vAlign w:val="center"/>
                </w:tcPr>
                <w:p w14:paraId="2EE10BB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梨树区</w:t>
                  </w:r>
                  <w:r>
                    <w:rPr>
                      <w:rFonts w:hint="eastAsia" w:ascii="Times New Roman" w:hAnsi="Times New Roman" w:eastAsia="宋体" w:cs="Times New Roman"/>
                      <w:color w:val="auto"/>
                      <w:sz w:val="18"/>
                      <w:szCs w:val="18"/>
                      <w:highlight w:val="none"/>
                      <w:lang w:val="en-US" w:eastAsia="zh-CN"/>
                    </w:rPr>
                    <w:t>地下水环境一</w:t>
                  </w:r>
                </w:p>
                <w:p w14:paraId="6D3552B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般管控区</w:t>
                  </w:r>
                </w:p>
                <w:p w14:paraId="2CF0E5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746" w:type="dxa"/>
                  <w:tcBorders>
                    <w:left w:val="single" w:color="auto" w:sz="4" w:space="0"/>
                    <w:right w:val="single" w:color="auto" w:sz="4" w:space="0"/>
                  </w:tcBorders>
                  <w:shd w:val="clear" w:color="auto" w:fill="auto"/>
                  <w:noWrap w:val="0"/>
                  <w:vAlign w:val="center"/>
                </w:tcPr>
                <w:p w14:paraId="2148FD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一般管控区</w:t>
                  </w:r>
                </w:p>
                <w:p w14:paraId="46F6C34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p>
              </w:tc>
              <w:tc>
                <w:tcPr>
                  <w:tcW w:w="526"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477173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环境风险管控</w:t>
                  </w:r>
                </w:p>
                <w:p w14:paraId="634A20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default" w:ascii="Times New Roman" w:hAnsi="Times New Roman" w:eastAsia="宋体" w:cs="Times New Roman"/>
                      <w:color w:val="auto"/>
                      <w:kern w:val="2"/>
                      <w:sz w:val="18"/>
                      <w:szCs w:val="18"/>
                      <w:highlight w:val="none"/>
                      <w:lang w:val="en-US" w:eastAsia="zh-CN" w:bidi="ar-SA"/>
                    </w:rPr>
                  </w:pPr>
                </w:p>
              </w:tc>
              <w:tc>
                <w:tcPr>
                  <w:tcW w:w="2815"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019B2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left"/>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1.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 2.重点单位新、改、扩建项目地下储罐储存有毒有害物质的，应当在项目投入生产或者使用之前，将地下储罐的信息报所在地设区的市级生态环境主管部门备案。 3.重点单位应当建立土壤和地下水污染隐患排查治理制度，定期对重点区域、重点设施开展隐患排查。发现污染隐患的，应当制定整改方案，及时采取技术、管理措施消除隐患。隐患排查、治理情况应当如实记录并建立档案。重点区域包括涉及有毒有害物质的生产区，原材料及固体废物的堆存区、储放区和转运区等；重点设施包括涉及有毒有害物质的地下储罐、地下管线，以及污染治理设施等。4.化学品生产企业以及工业集聚区、矿山开采区、尾矿库、危险废物处置场、垃圾填埋场等的运营、管理单位，应当采取防渗漏等措施，并建设地下水水质监测井进行监测，防止地下水污染。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817" w:type="dxa"/>
                  <w:tcBorders>
                    <w:left w:val="single" w:color="auto" w:sz="4" w:space="0"/>
                    <w:bottom w:val="single" w:color="auto" w:sz="4" w:space="0"/>
                    <w:right w:val="nil"/>
                  </w:tcBorders>
                  <w:shd w:val="clear" w:color="auto" w:fill="auto"/>
                  <w:noWrap w:val="0"/>
                  <w:vAlign w:val="center"/>
                </w:tcPr>
                <w:p w14:paraId="3A0283AD">
                  <w:pPr>
                    <w:keepNext w:val="0"/>
                    <w:keepLines w:val="0"/>
                    <w:pageBreakBefore w:val="0"/>
                    <w:widowControl w:val="0"/>
                    <w:suppressLineNumbers w:val="0"/>
                    <w:tabs>
                      <w:tab w:val="left" w:pos="265"/>
                    </w:tabs>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b w:val="0"/>
                      <w:bCs w:val="0"/>
                      <w:snapToGrid w:val="0"/>
                      <w:color w:val="auto"/>
                      <w:kern w:val="0"/>
                      <w:sz w:val="18"/>
                      <w:szCs w:val="18"/>
                      <w:highlight w:val="none"/>
                      <w:lang w:val="en-US" w:eastAsia="zh-CN"/>
                    </w:rPr>
                    <w:t>本项目为生物质燃料生产项目，不涉及有毒有害物质及危险物质，项目无有毒有害物质储罐，不属于</w:t>
                  </w:r>
                  <w:r>
                    <w:rPr>
                      <w:rFonts w:hint="default" w:ascii="Times New Roman" w:hAnsi="Times New Roman" w:eastAsia="宋体" w:cs="Times New Roman"/>
                      <w:color w:val="auto"/>
                      <w:kern w:val="0"/>
                      <w:sz w:val="18"/>
                      <w:szCs w:val="18"/>
                      <w:highlight w:val="none"/>
                      <w:lang w:val="en-US" w:eastAsia="zh-CN" w:bidi="ar"/>
                    </w:rPr>
                    <w:t>化学品生产企业以及工业集聚区、矿山开采区、尾矿库、危险废物处置场、垃圾填埋场等</w:t>
                  </w:r>
                  <w:r>
                    <w:rPr>
                      <w:rFonts w:hint="eastAsia" w:cs="Times New Roman"/>
                      <w:color w:val="auto"/>
                      <w:kern w:val="0"/>
                      <w:sz w:val="18"/>
                      <w:szCs w:val="18"/>
                      <w:highlight w:val="none"/>
                      <w:lang w:val="en-US" w:eastAsia="zh-CN" w:bidi="ar"/>
                    </w:rPr>
                    <w:t>运营单位。</w:t>
                  </w:r>
                </w:p>
              </w:tc>
            </w:tr>
          </w:tbl>
          <w:p w14:paraId="75AD5F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b/>
                <w:bCs/>
                <w:color w:val="auto"/>
                <w:kern w:val="0"/>
                <w:szCs w:val="21"/>
                <w:highlight w:val="none"/>
                <w:lang w:val="en-US" w:eastAsia="zh-CN"/>
              </w:rPr>
            </w:pPr>
            <w:r>
              <w:rPr>
                <w:rFonts w:hint="default"/>
                <w:color w:val="auto"/>
                <w:kern w:val="0"/>
                <w:szCs w:val="21"/>
                <w:highlight w:val="none"/>
              </w:rPr>
              <w:t>因此，本项目符合</w:t>
            </w:r>
            <w:r>
              <w:rPr>
                <w:rFonts w:hint="eastAsia"/>
                <w:color w:val="auto"/>
                <w:kern w:val="0"/>
                <w:szCs w:val="21"/>
                <w:highlight w:val="none"/>
                <w:lang w:eastAsia="zh-CN"/>
              </w:rPr>
              <w:t>“</w:t>
            </w:r>
            <w:r>
              <w:rPr>
                <w:rFonts w:hint="default"/>
                <w:color w:val="auto"/>
                <w:kern w:val="0"/>
                <w:szCs w:val="21"/>
                <w:highlight w:val="none"/>
              </w:rPr>
              <w:t>三线一单</w:t>
            </w:r>
            <w:r>
              <w:rPr>
                <w:rFonts w:hint="eastAsia"/>
                <w:color w:val="auto"/>
                <w:kern w:val="0"/>
                <w:szCs w:val="21"/>
                <w:highlight w:val="none"/>
                <w:lang w:eastAsia="zh-CN"/>
              </w:rPr>
              <w:t>”</w:t>
            </w:r>
            <w:r>
              <w:rPr>
                <w:rFonts w:hint="default"/>
                <w:color w:val="auto"/>
                <w:kern w:val="0"/>
                <w:szCs w:val="21"/>
                <w:highlight w:val="none"/>
              </w:rPr>
              <w:t>相关要求。</w:t>
            </w:r>
          </w:p>
          <w:p w14:paraId="6D8523B6">
            <w:pPr>
              <w:keepNext w:val="0"/>
              <w:keepLines w:val="0"/>
              <w:widowControl/>
              <w:suppressLineNumbers w:val="0"/>
              <w:autoSpaceDE/>
              <w:autoSpaceDN/>
              <w:adjustRightInd/>
              <w:snapToGrid/>
              <w:spacing w:before="0" w:beforeAutospacing="0" w:after="0" w:afterAutospacing="0" w:line="360" w:lineRule="auto"/>
              <w:ind w:left="0" w:right="0" w:firstLine="422" w:firstLineChars="200"/>
              <w:rPr>
                <w:rFonts w:hint="eastAsia"/>
                <w:color w:val="auto"/>
                <w:kern w:val="0"/>
                <w:szCs w:val="21"/>
                <w:highlight w:val="none"/>
              </w:rPr>
            </w:pPr>
            <w:r>
              <w:rPr>
                <w:rFonts w:hint="eastAsia"/>
                <w:b/>
                <w:bCs/>
                <w:color w:val="auto"/>
                <w:kern w:val="0"/>
                <w:szCs w:val="21"/>
                <w:highlight w:val="none"/>
                <w:lang w:val="en-US" w:eastAsia="zh-CN"/>
              </w:rPr>
              <w:t>2</w:t>
            </w:r>
            <w:r>
              <w:rPr>
                <w:rFonts w:hint="eastAsia"/>
                <w:b/>
                <w:bCs/>
                <w:color w:val="auto"/>
                <w:kern w:val="0"/>
                <w:szCs w:val="21"/>
                <w:highlight w:val="none"/>
              </w:rPr>
              <w:t>、选址合理性分析</w:t>
            </w:r>
          </w:p>
          <w:p w14:paraId="5384C673">
            <w:pPr>
              <w:keepNext w:val="0"/>
              <w:keepLines w:val="0"/>
              <w:widowControl/>
              <w:suppressLineNumbers w:val="0"/>
              <w:autoSpaceDE/>
              <w:autoSpaceDN/>
              <w:adjustRightInd/>
              <w:snapToGrid/>
              <w:spacing w:before="0" w:beforeAutospacing="0" w:after="0" w:afterAutospacing="0" w:line="360" w:lineRule="auto"/>
              <w:ind w:left="0" w:right="0" w:firstLine="420" w:firstLineChars="200"/>
              <w:rPr>
                <w:rFonts w:hint="default"/>
                <w:color w:val="auto"/>
                <w:kern w:val="0"/>
                <w:szCs w:val="21"/>
                <w:highlight w:val="none"/>
                <w:lang w:val="en-US" w:eastAsia="zh-CN"/>
              </w:rPr>
            </w:pPr>
            <w:r>
              <w:rPr>
                <w:rFonts w:hint="default"/>
                <w:color w:val="auto"/>
                <w:kern w:val="0"/>
                <w:szCs w:val="21"/>
                <w:highlight w:val="none"/>
                <w:lang w:val="en-US" w:eastAsia="zh-CN"/>
              </w:rPr>
              <w:t>（1）选址符合性分析</w:t>
            </w:r>
          </w:p>
          <w:p w14:paraId="0572D5FC">
            <w:pPr>
              <w:keepNext w:val="0"/>
              <w:keepLines w:val="0"/>
              <w:widowControl/>
              <w:suppressLineNumbers w:val="0"/>
              <w:autoSpaceDE/>
              <w:autoSpaceDN/>
              <w:adjustRightInd/>
              <w:snapToGrid/>
              <w:spacing w:before="0" w:beforeAutospacing="0" w:after="0" w:afterAutospacing="0" w:line="360" w:lineRule="auto"/>
              <w:ind w:left="0" w:right="0" w:firstLine="420" w:firstLineChars="200"/>
              <w:rPr>
                <w:rFonts w:hint="default"/>
                <w:color w:val="auto"/>
                <w:kern w:val="0"/>
                <w:szCs w:val="21"/>
                <w:highlight w:val="none"/>
                <w:lang w:val="en-US" w:eastAsia="zh-CN"/>
              </w:rPr>
            </w:pPr>
            <w:r>
              <w:rPr>
                <w:rFonts w:hint="default"/>
                <w:color w:val="auto"/>
                <w:kern w:val="0"/>
                <w:szCs w:val="21"/>
                <w:highlight w:val="none"/>
                <w:lang w:val="en-US" w:eastAsia="zh-CN"/>
              </w:rPr>
              <w:t>本项目位于</w:t>
            </w:r>
            <w:r>
              <w:rPr>
                <w:rFonts w:hint="eastAsia"/>
                <w:color w:val="auto"/>
                <w:sz w:val="21"/>
                <w:szCs w:val="21"/>
                <w:highlight w:val="none"/>
                <w:lang w:eastAsia="zh-CN"/>
              </w:rPr>
              <w:t>黑龙江省鸡西市梨树区穆棱矿</w:t>
            </w:r>
            <w:r>
              <w:rPr>
                <w:rFonts w:hint="default"/>
                <w:color w:val="auto"/>
                <w:kern w:val="0"/>
                <w:szCs w:val="21"/>
                <w:highlight w:val="none"/>
                <w:lang w:val="en-US" w:eastAsia="zh-CN"/>
              </w:rPr>
              <w:t>，</w:t>
            </w:r>
            <w:r>
              <w:rPr>
                <w:rFonts w:hint="eastAsia"/>
                <w:color w:val="auto"/>
                <w:kern w:val="0"/>
                <w:szCs w:val="21"/>
                <w:highlight w:val="none"/>
                <w:lang w:val="en-US" w:eastAsia="zh-CN"/>
              </w:rPr>
              <w:t>为梨树镇政府招商引资项目，根据梨树镇政府出具的情况说明，用地性质符合工业用地标准</w:t>
            </w:r>
            <w:r>
              <w:rPr>
                <w:rFonts w:hint="eastAsia" w:cs="Times New Roman" w:eastAsiaTheme="minorEastAsia"/>
                <w:color w:val="auto"/>
                <w:szCs w:val="21"/>
                <w:highlight w:val="none"/>
                <w:lang w:val="en-US" w:eastAsia="zh-CN"/>
              </w:rPr>
              <w:t>。</w:t>
            </w:r>
            <w:r>
              <w:rPr>
                <w:rFonts w:hint="eastAsia"/>
                <w:color w:val="auto"/>
                <w:kern w:val="0"/>
                <w:szCs w:val="21"/>
                <w:highlight w:val="none"/>
              </w:rPr>
              <w:t>本项目所在地地势平坦，厂区地理位置交通便利，基础设施齐全，与周边环境协调。项目不在风景名胜区、自然保护区、水源保护区及其他需要特别保护的区域内</w:t>
            </w:r>
            <w:r>
              <w:rPr>
                <w:rFonts w:hint="default"/>
                <w:color w:val="auto"/>
                <w:kern w:val="0"/>
                <w:szCs w:val="21"/>
                <w:highlight w:val="none"/>
                <w:lang w:val="en-US" w:eastAsia="zh-CN"/>
              </w:rPr>
              <w:t>，</w:t>
            </w:r>
            <w:r>
              <w:rPr>
                <w:rFonts w:hint="eastAsia"/>
                <w:color w:val="auto"/>
                <w:kern w:val="0"/>
                <w:szCs w:val="21"/>
                <w:highlight w:val="none"/>
              </w:rPr>
              <w:t>没有明显的环境制约因素，</w:t>
            </w:r>
            <w:r>
              <w:rPr>
                <w:rFonts w:hint="default"/>
                <w:color w:val="auto"/>
                <w:kern w:val="0"/>
                <w:szCs w:val="21"/>
                <w:highlight w:val="none"/>
                <w:lang w:val="en-US" w:eastAsia="zh-CN"/>
              </w:rPr>
              <w:t>本项目选址合理。</w:t>
            </w:r>
          </w:p>
          <w:p w14:paraId="79F393F2">
            <w:pPr>
              <w:keepNext w:val="0"/>
              <w:keepLines w:val="0"/>
              <w:widowControl/>
              <w:suppressLineNumbers w:val="0"/>
              <w:autoSpaceDE/>
              <w:autoSpaceDN/>
              <w:adjustRightInd/>
              <w:snapToGrid/>
              <w:spacing w:before="0" w:beforeAutospacing="0" w:after="0" w:afterAutospacing="0" w:line="360" w:lineRule="auto"/>
              <w:ind w:left="0" w:right="0" w:firstLine="420" w:firstLineChars="200"/>
              <w:rPr>
                <w:rFonts w:hint="default"/>
                <w:color w:val="auto"/>
                <w:kern w:val="0"/>
                <w:szCs w:val="21"/>
                <w:highlight w:val="none"/>
                <w:lang w:val="en-US" w:eastAsia="zh-CN"/>
              </w:rPr>
            </w:pPr>
            <w:r>
              <w:rPr>
                <w:rFonts w:hint="default"/>
                <w:color w:val="auto"/>
                <w:kern w:val="0"/>
                <w:szCs w:val="21"/>
                <w:highlight w:val="none"/>
                <w:lang w:val="en-US" w:eastAsia="zh-CN"/>
              </w:rPr>
              <w:t>（2）外环境相容性分析</w:t>
            </w:r>
          </w:p>
          <w:p w14:paraId="3B9008C3">
            <w:pPr>
              <w:keepNext w:val="0"/>
              <w:keepLines w:val="0"/>
              <w:widowControl/>
              <w:suppressLineNumbers w:val="0"/>
              <w:autoSpaceDE/>
              <w:autoSpaceDN/>
              <w:adjustRightInd/>
              <w:snapToGrid/>
              <w:spacing w:before="0" w:beforeAutospacing="0" w:after="0" w:afterAutospacing="0" w:line="360" w:lineRule="auto"/>
              <w:ind w:left="0" w:right="0" w:firstLine="420" w:firstLineChars="200"/>
              <w:rPr>
                <w:rFonts w:hint="default"/>
                <w:color w:val="auto"/>
                <w:kern w:val="0"/>
                <w:szCs w:val="21"/>
                <w:highlight w:val="none"/>
                <w:lang w:val="en-US" w:eastAsia="zh-CN"/>
              </w:rPr>
            </w:pPr>
            <w:r>
              <w:rPr>
                <w:rFonts w:hint="default"/>
                <w:color w:val="auto"/>
                <w:kern w:val="0"/>
                <w:szCs w:val="21"/>
                <w:highlight w:val="none"/>
                <w:lang w:val="en-US" w:eastAsia="zh-CN"/>
              </w:rPr>
              <w:t>本项目周边其他外环境现状为：本项目</w:t>
            </w:r>
            <w:r>
              <w:rPr>
                <w:rFonts w:hint="eastAsia"/>
                <w:color w:val="auto"/>
                <w:kern w:val="0"/>
                <w:szCs w:val="21"/>
                <w:highlight w:val="none"/>
                <w:lang w:val="en-US" w:eastAsia="zh-CN"/>
              </w:rPr>
              <w:t>厂区南</w:t>
            </w:r>
            <w:r>
              <w:rPr>
                <w:rFonts w:hint="default"/>
                <w:color w:val="auto"/>
                <w:kern w:val="0"/>
                <w:szCs w:val="21"/>
                <w:highlight w:val="none"/>
              </w:rPr>
              <w:t>侧</w:t>
            </w:r>
            <w:r>
              <w:rPr>
                <w:rFonts w:hint="eastAsia"/>
                <w:color w:val="auto"/>
                <w:kern w:val="0"/>
                <w:szCs w:val="21"/>
                <w:highlight w:val="none"/>
                <w:lang w:val="en-US" w:eastAsia="zh-CN"/>
              </w:rPr>
              <w:t>为拆迁区，厂区北侧为闲置厂房，厂区东侧为空地，厂区西侧为原有穆棱矿办事处，现已闲置</w:t>
            </w:r>
            <w:r>
              <w:rPr>
                <w:rFonts w:hint="default"/>
                <w:color w:val="auto"/>
                <w:kern w:val="0"/>
                <w:szCs w:val="21"/>
                <w:highlight w:val="none"/>
                <w:lang w:val="en-US" w:eastAsia="zh-CN"/>
              </w:rPr>
              <w:t>。</w:t>
            </w:r>
          </w:p>
          <w:p w14:paraId="30BB7129">
            <w:pPr>
              <w:keepNext w:val="0"/>
              <w:keepLines w:val="0"/>
              <w:widowControl/>
              <w:suppressLineNumbers w:val="0"/>
              <w:autoSpaceDE/>
              <w:autoSpaceDN/>
              <w:adjustRightInd/>
              <w:snapToGrid/>
              <w:spacing w:before="0" w:beforeAutospacing="0" w:after="0" w:afterAutospacing="0" w:line="360" w:lineRule="auto"/>
              <w:ind w:left="0" w:right="0" w:firstLine="420" w:firstLineChars="200"/>
              <w:rPr>
                <w:rFonts w:hint="default"/>
                <w:color w:val="auto"/>
                <w:kern w:val="0"/>
                <w:szCs w:val="21"/>
                <w:highlight w:val="none"/>
                <w:lang w:val="en-US" w:eastAsia="zh-CN"/>
              </w:rPr>
            </w:pPr>
            <w:r>
              <w:rPr>
                <w:rFonts w:hint="default"/>
                <w:color w:val="auto"/>
                <w:kern w:val="0"/>
                <w:szCs w:val="21"/>
                <w:highlight w:val="none"/>
                <w:lang w:val="en-US" w:eastAsia="zh-CN"/>
              </w:rPr>
              <w:t>①项目所在地具有方便的交通运输和水电条件，便于项目的建设。</w:t>
            </w:r>
          </w:p>
          <w:p w14:paraId="6750D7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cs="Times New Roman"/>
                <w:color w:val="auto"/>
                <w:sz w:val="21"/>
                <w:szCs w:val="21"/>
                <w:highlight w:val="none"/>
                <w:lang w:val="en-US" w:eastAsia="zh-CN"/>
              </w:rPr>
            </w:pPr>
            <w:r>
              <w:rPr>
                <w:rFonts w:hint="default"/>
                <w:color w:val="auto"/>
                <w:kern w:val="0"/>
                <w:szCs w:val="21"/>
                <w:highlight w:val="none"/>
                <w:lang w:val="en-US" w:eastAsia="zh-CN"/>
              </w:rPr>
              <w:t>②</w:t>
            </w:r>
            <w:r>
              <w:rPr>
                <w:rFonts w:hint="default"/>
                <w:color w:val="auto"/>
                <w:szCs w:val="21"/>
                <w:highlight w:val="none"/>
              </w:rPr>
              <w:t>本项目</w:t>
            </w:r>
            <w:r>
              <w:rPr>
                <w:rFonts w:hint="eastAsia"/>
                <w:color w:val="auto"/>
                <w:szCs w:val="21"/>
                <w:highlight w:val="none"/>
                <w:lang w:eastAsia="zh-CN"/>
              </w:rPr>
              <w:t>生物质燃烧器烟气</w:t>
            </w:r>
            <w:r>
              <w:rPr>
                <w:rFonts w:hint="eastAsia" w:cs="Times New Roman"/>
                <w:b w:val="0"/>
                <w:bCs w:val="0"/>
                <w:color w:val="auto"/>
                <w:sz w:val="21"/>
                <w:szCs w:val="21"/>
                <w:highlight w:val="none"/>
                <w:lang w:val="en-US" w:eastAsia="zh-CN"/>
              </w:rPr>
              <w:t>与烘干滚筒废气一同经</w:t>
            </w:r>
            <w:r>
              <w:rPr>
                <w:rFonts w:hint="eastAsia" w:ascii="Times New Roman" w:hAnsi="Times New Roman" w:eastAsia="宋体" w:cs="Times New Roman"/>
                <w:b w:val="0"/>
                <w:bCs w:val="0"/>
                <w:color w:val="auto"/>
                <w:sz w:val="21"/>
                <w:szCs w:val="21"/>
                <w:highlight w:val="none"/>
                <w:lang w:val="en-US" w:eastAsia="zh-CN"/>
              </w:rPr>
              <w:t>布袋除尘器处理后</w:t>
            </w:r>
            <w:r>
              <w:rPr>
                <w:rFonts w:hint="eastAsia" w:cs="Times New Roman"/>
                <w:b w:val="0"/>
                <w:bCs w:val="0"/>
                <w:color w:val="auto"/>
                <w:sz w:val="21"/>
                <w:szCs w:val="21"/>
                <w:highlight w:val="none"/>
                <w:lang w:val="en-US" w:eastAsia="zh-CN"/>
              </w:rPr>
              <w:t>通过</w:t>
            </w:r>
            <w:r>
              <w:rPr>
                <w:rFonts w:hint="eastAsia" w:ascii="Times New Roman" w:hAnsi="Times New Roman" w:eastAsia="宋体" w:cs="Times New Roman"/>
                <w:b w:val="0"/>
                <w:bCs w:val="0"/>
                <w:color w:val="auto"/>
                <w:sz w:val="21"/>
                <w:szCs w:val="21"/>
                <w:highlight w:val="none"/>
                <w:lang w:val="en-US" w:eastAsia="zh-CN"/>
              </w:rPr>
              <w:t>15m</w:t>
            </w:r>
            <w:r>
              <w:rPr>
                <w:rFonts w:hint="eastAsia" w:cs="Times New Roman"/>
                <w:color w:val="auto"/>
                <w:sz w:val="21"/>
                <w:szCs w:val="21"/>
                <w:highlight w:val="none"/>
                <w:lang w:val="en-US" w:eastAsia="zh-CN"/>
              </w:rPr>
              <w:t>排气筒</w:t>
            </w:r>
            <w:r>
              <w:rPr>
                <w:rFonts w:hint="eastAsia" w:ascii="Times New Roman" w:hAnsi="Times New Roman" w:eastAsia="宋体" w:cs="Times New Roman"/>
                <w:b w:val="0"/>
                <w:bCs w:val="0"/>
                <w:color w:val="auto"/>
                <w:sz w:val="21"/>
                <w:szCs w:val="21"/>
                <w:highlight w:val="none"/>
                <w:lang w:val="en-US" w:eastAsia="zh-CN"/>
              </w:rPr>
              <w:t>高空排放，SO</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lang w:val="en-US" w:eastAsia="zh-CN"/>
              </w:rPr>
              <w:t>排放浓度</w:t>
            </w:r>
            <w:r>
              <w:rPr>
                <w:rFonts w:hint="eastAsia" w:cs="Times New Roman"/>
                <w:b w:val="0"/>
                <w:bCs w:val="0"/>
                <w:color w:val="auto"/>
                <w:sz w:val="21"/>
                <w:szCs w:val="21"/>
                <w:highlight w:val="none"/>
                <w:lang w:val="en-US" w:eastAsia="zh-CN"/>
              </w:rPr>
              <w:t>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《工业炉窑大气污染物排放标准》（GB9078-1996）中表4中二级标准，</w:t>
            </w:r>
            <w:r>
              <w:rPr>
                <w:rFonts w:hint="eastAsia" w:cs="Times New Roman"/>
                <w:b w:val="0"/>
                <w:bCs w:val="0"/>
                <w:color w:val="auto"/>
                <w:sz w:val="21"/>
                <w:szCs w:val="21"/>
                <w:highlight w:val="none"/>
                <w:lang w:val="en-US" w:eastAsia="zh-CN"/>
              </w:rPr>
              <w:t>颗粒物排放浓度及烟气黑度符合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《工业炉窑大气污染物排放标准》（GB9078-1996）中表2中二级标准</w:t>
            </w:r>
            <w:r>
              <w:rPr>
                <w:rFonts w:hint="eastAsia" w:cs="Times New Roman"/>
                <w:b w:val="0"/>
                <w:bCs w:val="0"/>
                <w:color w:val="auto"/>
                <w:sz w:val="21"/>
                <w:szCs w:val="21"/>
                <w:highlight w:val="none"/>
                <w:lang w:val="en-US" w:eastAsia="zh-CN"/>
              </w:rPr>
              <w:t>；</w:t>
            </w:r>
            <w:r>
              <w:rPr>
                <w:rFonts w:hint="eastAsia" w:cs="Times New Roman"/>
                <w:color w:val="auto"/>
                <w:kern w:val="0"/>
                <w:sz w:val="21"/>
                <w:szCs w:val="21"/>
                <w:highlight w:val="none"/>
                <w:lang w:val="en-US" w:eastAsia="zh-CN"/>
              </w:rPr>
              <w:t>工业炉窑周边无组织排放浓度符合</w:t>
            </w:r>
            <w:r>
              <w:rPr>
                <w:rFonts w:hint="default" w:ascii="Times New Roman" w:hAnsi="Times New Roman" w:eastAsia="宋体" w:cs="Times New Roman"/>
                <w:color w:val="auto"/>
                <w:kern w:val="0"/>
                <w:sz w:val="21"/>
                <w:szCs w:val="21"/>
                <w:highlight w:val="none"/>
              </w:rPr>
              <w:t>《工业炉窑大气污染物排放标准》（GB9078-1996）表</w:t>
            </w:r>
            <w:r>
              <w:rPr>
                <w:rFonts w:hint="eastAsia" w:ascii="Times New Roman" w:hAnsi="Times New Roman" w:eastAsia="宋体" w:cs="Times New Roman"/>
                <w:color w:val="auto"/>
                <w:kern w:val="0"/>
                <w:sz w:val="21"/>
                <w:szCs w:val="21"/>
                <w:highlight w:val="none"/>
                <w:lang w:val="en-US" w:eastAsia="zh-CN"/>
              </w:rPr>
              <w:t>3中标准限值</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本项目生产工序</w:t>
            </w:r>
            <w:r>
              <w:rPr>
                <w:rFonts w:hint="eastAsia" w:cs="Times New Roman"/>
                <w:bCs/>
                <w:color w:val="auto"/>
                <w:kern w:val="0"/>
                <w:sz w:val="21"/>
                <w:szCs w:val="21"/>
                <w:highlight w:val="none"/>
                <w:lang w:val="en-US" w:eastAsia="zh-CN"/>
              </w:rPr>
              <w:t>粗破、粉碎、造粒工序</w:t>
            </w:r>
            <w:r>
              <w:rPr>
                <w:rFonts w:hint="eastAsia" w:ascii="Times New Roman" w:hAnsi="Times New Roman" w:cs="Times New Roman"/>
                <w:color w:val="auto"/>
                <w:sz w:val="21"/>
                <w:szCs w:val="21"/>
                <w:highlight w:val="none"/>
                <w:lang w:val="en-US" w:eastAsia="zh-CN"/>
              </w:rPr>
              <w:t>产生的颗粒物经集气罩+布袋除尘器处理后，由15</w:t>
            </w:r>
            <w:r>
              <w:rPr>
                <w:rFonts w:hint="eastAsia" w:cs="Times New Roman"/>
                <w:color w:val="auto"/>
                <w:sz w:val="21"/>
                <w:szCs w:val="21"/>
                <w:highlight w:val="none"/>
                <w:lang w:val="en-US" w:eastAsia="zh-CN"/>
              </w:rPr>
              <w:t>m</w:t>
            </w:r>
            <w:r>
              <w:rPr>
                <w:rFonts w:hint="eastAsia" w:ascii="Times New Roman" w:hAnsi="Times New Roman" w:cs="Times New Roman"/>
                <w:color w:val="auto"/>
                <w:sz w:val="21"/>
                <w:szCs w:val="21"/>
                <w:highlight w:val="none"/>
                <w:lang w:val="en-US" w:eastAsia="zh-CN"/>
              </w:rPr>
              <w:t>高排气筒排放，排放</w:t>
            </w:r>
            <w:r>
              <w:rPr>
                <w:rFonts w:hint="eastAsia" w:cs="Times New Roman"/>
                <w:color w:val="auto"/>
                <w:sz w:val="21"/>
                <w:szCs w:val="21"/>
                <w:highlight w:val="none"/>
                <w:lang w:val="en-US" w:eastAsia="zh-CN"/>
              </w:rPr>
              <w:t>浓度</w:t>
            </w:r>
            <w:r>
              <w:rPr>
                <w:rFonts w:hint="eastAsia" w:ascii="Times New Roman" w:hAnsi="Times New Roman" w:cs="Times New Roman"/>
                <w:color w:val="auto"/>
                <w:sz w:val="21"/>
                <w:szCs w:val="21"/>
                <w:highlight w:val="none"/>
                <w:lang w:val="en-US" w:eastAsia="zh-CN"/>
              </w:rPr>
              <w:t>符合</w:t>
            </w:r>
            <w:r>
              <w:rPr>
                <w:rFonts w:hint="default"/>
                <w:b w:val="0"/>
                <w:bCs w:val="0"/>
                <w:color w:val="auto"/>
                <w:kern w:val="0"/>
                <w:sz w:val="21"/>
                <w:szCs w:val="21"/>
                <w:highlight w:val="none"/>
              </w:rPr>
              <w:t>《大气污染物综合排放标准》（GB16297-1996）表2中二级排放标准</w:t>
            </w:r>
            <w:r>
              <w:rPr>
                <w:rFonts w:hint="eastAsia"/>
                <w:b w:val="0"/>
                <w:bCs w:val="0"/>
                <w:color w:val="auto"/>
                <w:kern w:val="0"/>
                <w:sz w:val="21"/>
                <w:szCs w:val="21"/>
                <w:highlight w:val="none"/>
                <w:lang w:eastAsia="zh-CN"/>
              </w:rPr>
              <w:t>，</w:t>
            </w:r>
            <w:r>
              <w:rPr>
                <w:rFonts w:hint="eastAsia"/>
                <w:color w:val="auto"/>
                <w:sz w:val="21"/>
                <w:szCs w:val="21"/>
                <w:highlight w:val="none"/>
                <w:shd w:val="clear"/>
                <w:lang w:val="en-US" w:eastAsia="zh-CN"/>
              </w:rPr>
              <w:t>灰渣间全封闭，灰渣及原料运输车辆采取苫布遮盖、封闭式运输。</w:t>
            </w:r>
            <w:r>
              <w:rPr>
                <w:rFonts w:hint="default"/>
                <w:color w:val="auto"/>
                <w:sz w:val="21"/>
                <w:szCs w:val="21"/>
                <w:highlight w:val="none"/>
                <w:shd w:val="clear"/>
                <w:lang w:val="en-US" w:eastAsia="zh-CN"/>
              </w:rPr>
              <w:t>由于原料含水率较高，</w:t>
            </w:r>
            <w:r>
              <w:rPr>
                <w:rFonts w:hint="eastAsia"/>
                <w:color w:val="auto"/>
                <w:sz w:val="21"/>
                <w:szCs w:val="21"/>
                <w:highlight w:val="none"/>
                <w:shd w:val="clear"/>
                <w:lang w:val="en-US" w:eastAsia="zh-CN"/>
              </w:rPr>
              <w:t>在储存及装卸、</w:t>
            </w:r>
            <w:r>
              <w:rPr>
                <w:rFonts w:hint="default"/>
                <w:color w:val="auto"/>
                <w:sz w:val="21"/>
                <w:szCs w:val="21"/>
                <w:highlight w:val="none"/>
                <w:shd w:val="clear"/>
                <w:lang w:val="en-US" w:eastAsia="zh-CN"/>
              </w:rPr>
              <w:t>投料</w:t>
            </w:r>
            <w:r>
              <w:rPr>
                <w:rFonts w:hint="eastAsia"/>
                <w:color w:val="auto"/>
                <w:sz w:val="21"/>
                <w:szCs w:val="21"/>
                <w:highlight w:val="none"/>
                <w:shd w:val="clear"/>
                <w:lang w:val="en-US" w:eastAsia="zh-CN"/>
              </w:rPr>
              <w:t>、筛分</w:t>
            </w:r>
            <w:r>
              <w:rPr>
                <w:rFonts w:hint="default"/>
                <w:color w:val="auto"/>
                <w:sz w:val="21"/>
                <w:szCs w:val="21"/>
                <w:highlight w:val="none"/>
                <w:shd w:val="clear"/>
                <w:lang w:val="en-US" w:eastAsia="zh-CN"/>
              </w:rPr>
              <w:t>时，产生的粉尘</w:t>
            </w:r>
            <w:r>
              <w:rPr>
                <w:rFonts w:hint="eastAsia"/>
                <w:color w:val="auto"/>
                <w:sz w:val="21"/>
                <w:szCs w:val="21"/>
                <w:highlight w:val="none"/>
                <w:shd w:val="clear"/>
                <w:lang w:val="en-US" w:eastAsia="zh-CN"/>
              </w:rPr>
              <w:t>较小，原料堆场四周设置2m高围挡，原料上方采取苫布遮盖，可有效控制扬尘。破碎过程</w:t>
            </w:r>
            <w:r>
              <w:rPr>
                <w:rFonts w:hint="eastAsia"/>
                <w:color w:val="auto"/>
                <w:sz w:val="21"/>
                <w:szCs w:val="21"/>
                <w:highlight w:val="none"/>
                <w:lang w:val="en-US" w:eastAsia="zh-CN"/>
              </w:rPr>
              <w:t>未被集气罩收集的粉尘采取</w:t>
            </w:r>
            <w:r>
              <w:rPr>
                <w:rFonts w:hint="eastAsia"/>
                <w:color w:val="auto"/>
                <w:sz w:val="21"/>
                <w:szCs w:val="21"/>
                <w:highlight w:val="none"/>
                <w:shd w:val="clear"/>
                <w:lang w:val="en-US" w:eastAsia="zh-CN"/>
              </w:rPr>
              <w:t>车间封闭、</w:t>
            </w:r>
            <w:r>
              <w:rPr>
                <w:rFonts w:hint="default"/>
                <w:color w:val="auto"/>
                <w:sz w:val="21"/>
                <w:szCs w:val="21"/>
                <w:highlight w:val="none"/>
                <w:shd w:val="clear"/>
                <w:lang w:val="en-US" w:eastAsia="zh-CN"/>
              </w:rPr>
              <w:t>定期洒水抑尘</w:t>
            </w:r>
            <w:r>
              <w:rPr>
                <w:rFonts w:hint="eastAsia"/>
                <w:color w:val="auto"/>
                <w:sz w:val="21"/>
                <w:szCs w:val="21"/>
                <w:highlight w:val="none"/>
                <w:shd w:val="clear"/>
                <w:lang w:val="en-US" w:eastAsia="zh-CN"/>
              </w:rPr>
              <w:t>等措施</w:t>
            </w:r>
            <w:r>
              <w:rPr>
                <w:rFonts w:hint="default"/>
                <w:color w:val="auto"/>
                <w:sz w:val="21"/>
                <w:szCs w:val="21"/>
                <w:highlight w:val="none"/>
                <w:shd w:val="clear"/>
                <w:lang w:val="en-US" w:eastAsia="zh-CN"/>
              </w:rPr>
              <w:t>，减少粉尘扩散</w:t>
            </w:r>
            <w:r>
              <w:rPr>
                <w:rFonts w:hint="eastAsia"/>
                <w:color w:val="auto"/>
                <w:sz w:val="21"/>
                <w:szCs w:val="21"/>
                <w:highlight w:val="none"/>
                <w:shd w:val="clear"/>
                <w:lang w:val="en-US" w:eastAsia="zh-CN"/>
              </w:rPr>
              <w:t>。</w:t>
            </w:r>
            <w:r>
              <w:rPr>
                <w:rFonts w:hint="default" w:ascii="Times New Roman" w:hAnsi="Times New Roman" w:cs="Times New Roman"/>
                <w:color w:val="auto"/>
                <w:sz w:val="21"/>
                <w:szCs w:val="21"/>
                <w:highlight w:val="none"/>
              </w:rPr>
              <w:t>厂界颗粒物排放浓度符合《大气污染物综合排放标准》（GB16297-1996）表2无组织排放浓度限值要求。</w:t>
            </w:r>
            <w:r>
              <w:rPr>
                <w:rFonts w:hint="eastAsia" w:ascii="Times New Roman" w:hAnsi="Times New Roman" w:cs="Times New Roman"/>
                <w:color w:val="auto"/>
                <w:sz w:val="21"/>
                <w:szCs w:val="21"/>
                <w:highlight w:val="none"/>
                <w:lang w:val="en-US" w:eastAsia="zh-CN"/>
              </w:rPr>
              <w:t xml:space="preserve">     </w:t>
            </w:r>
          </w:p>
          <w:p w14:paraId="5607F3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kern w:val="0"/>
                <w:szCs w:val="21"/>
                <w:highlight w:val="none"/>
                <w:lang w:val="en-US" w:eastAsia="zh-CN"/>
              </w:rPr>
            </w:pPr>
            <w:r>
              <w:rPr>
                <w:rFonts w:hint="eastAsia"/>
                <w:bCs/>
                <w:color w:val="auto"/>
                <w:szCs w:val="21"/>
                <w:highlight w:val="none"/>
              </w:rPr>
              <w:t>本项目生产过程中无废水产生，</w:t>
            </w:r>
            <w:r>
              <w:rPr>
                <w:rFonts w:hint="eastAsia"/>
                <w:bCs/>
                <w:color w:val="auto"/>
                <w:szCs w:val="21"/>
                <w:highlight w:val="none"/>
                <w:lang w:eastAsia="zh-CN"/>
              </w:rPr>
              <w:t>员工生活污水排入防渗旱厕，定期清掏外运堆肥，不外排。</w:t>
            </w:r>
            <w:r>
              <w:rPr>
                <w:rFonts w:hint="eastAsia" w:cs="Times New Roman"/>
                <w:color w:val="auto"/>
                <w:sz w:val="21"/>
                <w:szCs w:val="21"/>
                <w:highlight w:val="none"/>
                <w:lang w:val="en-US" w:eastAsia="zh-CN"/>
              </w:rPr>
              <w:t>；</w:t>
            </w:r>
            <w:r>
              <w:rPr>
                <w:rFonts w:hint="eastAsia" w:ascii="宋体" w:hAnsi="宋体" w:cs="宋体"/>
                <w:color w:val="auto"/>
                <w:sz w:val="21"/>
                <w:szCs w:val="21"/>
                <w:highlight w:val="none"/>
              </w:rPr>
              <w:t>本项目采用低噪声设备、厂房隔声、基础减振等措施</w:t>
            </w:r>
            <w:r>
              <w:rPr>
                <w:rFonts w:hint="eastAsia" w:ascii="宋体" w:hAnsi="宋体" w:cs="宋体"/>
                <w:color w:val="auto"/>
                <w:sz w:val="21"/>
                <w:szCs w:val="21"/>
                <w:highlight w:val="none"/>
                <w:lang w:eastAsia="zh-CN"/>
              </w:rPr>
              <w:t>；员工</w:t>
            </w:r>
            <w:r>
              <w:rPr>
                <w:rFonts w:hint="eastAsia"/>
                <w:color w:val="auto"/>
                <w:sz w:val="21"/>
                <w:szCs w:val="21"/>
                <w:highlight w:val="none"/>
                <w:lang w:val="en-US" w:eastAsia="zh-CN"/>
              </w:rPr>
              <w:t>生活垃圾集中收集委托环卫部门处理</w:t>
            </w:r>
            <w:r>
              <w:rPr>
                <w:rFonts w:hint="eastAsia"/>
                <w:color w:val="auto"/>
                <w:sz w:val="18"/>
                <w:szCs w:val="18"/>
                <w:highlight w:val="none"/>
                <w:lang w:val="en-US" w:eastAsia="zh-CN"/>
              </w:rPr>
              <w:t>；</w:t>
            </w:r>
            <w:r>
              <w:rPr>
                <w:rFonts w:hint="eastAsia"/>
                <w:color w:val="auto"/>
                <w:highlight w:val="none"/>
                <w:lang w:val="en-US" w:eastAsia="zh-CN"/>
              </w:rPr>
              <w:t>燃烧器</w:t>
            </w:r>
            <w:r>
              <w:rPr>
                <w:rFonts w:hint="eastAsia" w:cs="Times New Roman"/>
                <w:bCs/>
                <w:color w:val="auto"/>
                <w:sz w:val="21"/>
                <w:szCs w:val="21"/>
                <w:highlight w:val="none"/>
                <w:lang w:val="en-US" w:eastAsia="zh-CN"/>
              </w:rPr>
              <w:t>灰渣及烘干工序除尘器收尘</w:t>
            </w:r>
            <w:r>
              <w:rPr>
                <w:rFonts w:hint="default" w:ascii="Times New Roman" w:hAnsi="Times New Roman" w:cs="Times New Roman"/>
                <w:color w:val="auto"/>
                <w:sz w:val="21"/>
                <w:szCs w:val="21"/>
                <w:highlight w:val="none"/>
              </w:rPr>
              <w:t>集中收集</w:t>
            </w:r>
            <w:r>
              <w:rPr>
                <w:rFonts w:hint="eastAsia" w:cs="Times New Roman"/>
                <w:color w:val="auto"/>
                <w:sz w:val="21"/>
                <w:szCs w:val="21"/>
                <w:highlight w:val="none"/>
                <w:lang w:val="en-US" w:eastAsia="zh-CN"/>
              </w:rPr>
              <w:t>存储于灰渣间，</w:t>
            </w:r>
            <w:r>
              <w:rPr>
                <w:rFonts w:hint="default" w:ascii="Times New Roman" w:hAnsi="Times New Roman" w:cs="Times New Roman"/>
                <w:color w:val="auto"/>
                <w:sz w:val="21"/>
                <w:szCs w:val="21"/>
                <w:highlight w:val="none"/>
                <w:lang w:val="en-US" w:eastAsia="zh-CN"/>
              </w:rPr>
              <w:t>每</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天清运1</w:t>
            </w:r>
            <w:r>
              <w:rPr>
                <w:rFonts w:hint="eastAsia" w:cs="Times New Roman"/>
                <w:color w:val="auto"/>
                <w:sz w:val="21"/>
                <w:szCs w:val="21"/>
                <w:highlight w:val="none"/>
                <w:lang w:val="en-US" w:eastAsia="zh-CN"/>
              </w:rPr>
              <w:t>次，不在厂区长期储存，由周边农户作为肥料还田；</w:t>
            </w:r>
            <w:r>
              <w:rPr>
                <w:rFonts w:hint="eastAsia" w:ascii="Times New Roman" w:hAnsi="Times New Roman" w:cs="Times New Roman"/>
                <w:color w:val="auto"/>
                <w:sz w:val="21"/>
                <w:szCs w:val="21"/>
                <w:highlight w:val="none"/>
                <w:lang w:val="en-US" w:eastAsia="zh-CN"/>
              </w:rPr>
              <w:t>生产工序布袋除尘器</w:t>
            </w:r>
            <w:r>
              <w:rPr>
                <w:rFonts w:hint="eastAsia"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收尘</w:t>
            </w:r>
            <w:r>
              <w:rPr>
                <w:rFonts w:hint="eastAsia" w:cs="Times New Roman"/>
                <w:color w:val="auto"/>
                <w:sz w:val="21"/>
                <w:szCs w:val="21"/>
                <w:highlight w:val="none"/>
                <w:lang w:val="en-US" w:eastAsia="zh-CN"/>
              </w:rPr>
              <w:t>生产车间地面收尘、</w:t>
            </w:r>
            <w:r>
              <w:rPr>
                <w:rFonts w:hint="eastAsia"/>
                <w:color w:val="auto"/>
                <w:sz w:val="21"/>
                <w:szCs w:val="21"/>
                <w:highlight w:val="none"/>
                <w:lang w:val="en-US" w:eastAsia="zh-CN"/>
              </w:rPr>
              <w:t>不合格产品，回用于生产。</w:t>
            </w:r>
            <w:r>
              <w:rPr>
                <w:rFonts w:hint="eastAsia" w:cs="Times New Roman"/>
                <w:color w:val="auto"/>
                <w:kern w:val="2"/>
                <w:sz w:val="21"/>
                <w:szCs w:val="21"/>
                <w:highlight w:val="none"/>
                <w:lang w:val="en-US" w:eastAsia="zh-CN" w:bidi="ar-SA"/>
              </w:rPr>
              <w:t>筛分过程产生的砂石杂质集中收集，外送建材企业综合利用</w:t>
            </w:r>
            <w:r>
              <w:rPr>
                <w:rFonts w:hint="eastAsia"/>
                <w:color w:val="auto"/>
                <w:sz w:val="21"/>
                <w:szCs w:val="21"/>
                <w:highlight w:val="none"/>
                <w:lang w:val="en-US" w:eastAsia="zh-CN"/>
              </w:rPr>
              <w:t>；废布袋</w:t>
            </w:r>
            <w:r>
              <w:rPr>
                <w:rFonts w:hint="eastAsia" w:ascii="宋体" w:hAnsi="宋体" w:cs="宋体"/>
                <w:color w:val="auto"/>
                <w:sz w:val="21"/>
                <w:szCs w:val="21"/>
                <w:highlight w:val="none"/>
              </w:rPr>
              <w:t>由除尘器厂家更换后直接带走</w:t>
            </w:r>
            <w:r>
              <w:rPr>
                <w:rFonts w:hint="default" w:ascii="Times New Roman" w:hAnsi="Times New Roman" w:eastAsia="宋体" w:cs="Times New Roman"/>
                <w:color w:val="auto"/>
                <w:sz w:val="21"/>
                <w:szCs w:val="21"/>
                <w:highlight w:val="none"/>
              </w:rPr>
              <w:t>。</w:t>
            </w:r>
            <w:r>
              <w:rPr>
                <w:rFonts w:hint="default"/>
                <w:color w:val="auto"/>
                <w:kern w:val="0"/>
                <w:sz w:val="21"/>
                <w:szCs w:val="21"/>
                <w:highlight w:val="none"/>
                <w:lang w:val="en-US" w:eastAsia="zh-CN"/>
              </w:rPr>
              <w:t>项目采取的各项环保措施可以有效降低其对外环境的不利影响。</w:t>
            </w:r>
          </w:p>
          <w:p w14:paraId="2D18285A">
            <w:pPr>
              <w:keepNext w:val="0"/>
              <w:keepLines w:val="0"/>
              <w:widowControl/>
              <w:suppressLineNumbers w:val="0"/>
              <w:autoSpaceDE/>
              <w:autoSpaceDN/>
              <w:adjustRightInd/>
              <w:snapToGrid/>
              <w:spacing w:before="0" w:beforeAutospacing="0" w:after="0" w:afterAutospacing="0" w:line="360" w:lineRule="auto"/>
              <w:ind w:left="0" w:right="0" w:firstLine="420" w:firstLineChars="200"/>
              <w:rPr>
                <w:rFonts w:hint="default"/>
                <w:color w:val="auto"/>
                <w:kern w:val="0"/>
                <w:szCs w:val="21"/>
                <w:highlight w:val="none"/>
                <w:lang w:val="en-US" w:eastAsia="zh-CN"/>
              </w:rPr>
            </w:pPr>
            <w:r>
              <w:rPr>
                <w:rFonts w:hint="default"/>
                <w:color w:val="auto"/>
                <w:kern w:val="0"/>
                <w:szCs w:val="21"/>
                <w:highlight w:val="none"/>
                <w:lang w:val="en-US" w:eastAsia="zh-CN"/>
              </w:rPr>
              <w:t>③本项目评价范围内无自然保护区、风景名胜区、饮用水水源保护区等环境敏感目标。</w:t>
            </w:r>
          </w:p>
          <w:p w14:paraId="0E2F544A">
            <w:pPr>
              <w:keepNext w:val="0"/>
              <w:keepLines w:val="0"/>
              <w:widowControl/>
              <w:suppressLineNumbers w:val="0"/>
              <w:autoSpaceDE/>
              <w:autoSpaceDN/>
              <w:adjustRightInd/>
              <w:snapToGrid/>
              <w:spacing w:before="0" w:beforeAutospacing="0" w:after="0" w:afterAutospacing="0" w:line="360" w:lineRule="auto"/>
              <w:ind w:left="0" w:right="0" w:firstLine="420" w:firstLineChars="200"/>
              <w:rPr>
                <w:rFonts w:hint="default"/>
                <w:color w:val="auto"/>
                <w:kern w:val="0"/>
                <w:szCs w:val="21"/>
                <w:highlight w:val="none"/>
                <w:lang w:val="en-US" w:eastAsia="zh-CN"/>
              </w:rPr>
            </w:pPr>
            <w:r>
              <w:rPr>
                <w:rFonts w:hint="default"/>
                <w:color w:val="auto"/>
                <w:kern w:val="0"/>
                <w:szCs w:val="21"/>
                <w:highlight w:val="none"/>
                <w:lang w:val="en-US" w:eastAsia="zh-CN"/>
              </w:rPr>
              <w:t>（3）环境功能一致性分析</w:t>
            </w:r>
          </w:p>
          <w:p w14:paraId="7D297B64">
            <w:pPr>
              <w:keepNext w:val="0"/>
              <w:keepLines w:val="0"/>
              <w:widowControl/>
              <w:suppressLineNumbers w:val="0"/>
              <w:autoSpaceDE/>
              <w:autoSpaceDN/>
              <w:adjustRightInd/>
              <w:snapToGrid/>
              <w:spacing w:before="0" w:beforeAutospacing="0" w:after="0" w:afterAutospacing="0" w:line="360" w:lineRule="auto"/>
              <w:ind w:left="0" w:right="0" w:firstLine="420" w:firstLineChars="200"/>
              <w:rPr>
                <w:rFonts w:hint="default"/>
                <w:color w:val="auto"/>
                <w:kern w:val="0"/>
                <w:szCs w:val="21"/>
                <w:highlight w:val="none"/>
                <w:lang w:val="en-US" w:eastAsia="zh-CN"/>
              </w:rPr>
            </w:pPr>
            <w:r>
              <w:rPr>
                <w:rFonts w:hint="default"/>
                <w:color w:val="auto"/>
                <w:kern w:val="0"/>
                <w:szCs w:val="21"/>
                <w:highlight w:val="none"/>
                <w:lang w:val="en-US" w:eastAsia="zh-CN"/>
              </w:rPr>
              <w:t>根据工程分析确定的污染物源强，通过大气环境、水环境、声环境影响分析，说明项目建成后污染物达标排放对区域环境空气、水环境、声环境影响较小。项目建设不会使得环境功能发生改变。</w:t>
            </w:r>
          </w:p>
          <w:p w14:paraId="08C331D9">
            <w:pPr>
              <w:keepNext w:val="0"/>
              <w:keepLines w:val="0"/>
              <w:widowControl/>
              <w:suppressLineNumbers w:val="0"/>
              <w:autoSpaceDE/>
              <w:autoSpaceDN/>
              <w:adjustRightInd/>
              <w:snapToGrid/>
              <w:spacing w:before="0" w:beforeAutospacing="0" w:after="0" w:afterAutospacing="0" w:line="360" w:lineRule="auto"/>
              <w:ind w:left="0" w:right="0" w:firstLine="420" w:firstLineChars="200"/>
              <w:rPr>
                <w:rFonts w:hint="default"/>
                <w:color w:val="auto"/>
                <w:kern w:val="0"/>
                <w:szCs w:val="21"/>
                <w:highlight w:val="none"/>
                <w:lang w:val="en-US" w:eastAsia="zh-CN"/>
              </w:rPr>
            </w:pPr>
            <w:r>
              <w:rPr>
                <w:rFonts w:hint="default"/>
                <w:color w:val="auto"/>
                <w:kern w:val="0"/>
                <w:szCs w:val="21"/>
                <w:highlight w:val="none"/>
                <w:lang w:val="en-US" w:eastAsia="zh-CN"/>
              </w:rPr>
              <w:t>在严格落实本报告表提出的污染防治措施，保证各项污染物稳定达标排放前提下，项目选址可行。</w:t>
            </w:r>
          </w:p>
          <w:p w14:paraId="3EBE7C80">
            <w:pPr>
              <w:keepNext w:val="0"/>
              <w:keepLines w:val="0"/>
              <w:widowControl/>
              <w:suppressLineNumbers w:val="0"/>
              <w:autoSpaceDE/>
              <w:autoSpaceDN/>
              <w:adjustRightInd/>
              <w:snapToGrid/>
              <w:spacing w:before="0" w:beforeAutospacing="0" w:after="0" w:afterAutospacing="0" w:line="360" w:lineRule="auto"/>
              <w:ind w:left="0" w:right="0" w:firstLine="422" w:firstLineChars="200"/>
              <w:rPr>
                <w:rFonts w:hint="default"/>
                <w:color w:val="auto"/>
                <w:highlight w:val="none"/>
              </w:rPr>
            </w:pPr>
            <w:r>
              <w:rPr>
                <w:rFonts w:hint="eastAsia"/>
                <w:b/>
                <w:bCs/>
                <w:color w:val="auto"/>
                <w:kern w:val="0"/>
                <w:szCs w:val="21"/>
                <w:highlight w:val="none"/>
                <w:lang w:val="en-US" w:eastAsia="zh-CN"/>
              </w:rPr>
              <w:t>3</w:t>
            </w:r>
            <w:r>
              <w:rPr>
                <w:rFonts w:hint="eastAsia"/>
                <w:b/>
                <w:bCs/>
                <w:color w:val="auto"/>
                <w:kern w:val="0"/>
                <w:szCs w:val="21"/>
                <w:highlight w:val="none"/>
              </w:rPr>
              <w:t>、产业政策符合性</w:t>
            </w:r>
          </w:p>
          <w:p w14:paraId="394502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eastAsia" w:hAnsi="宋体"/>
                <w:color w:val="auto"/>
                <w:kern w:val="0"/>
                <w:sz w:val="21"/>
                <w:szCs w:val="21"/>
                <w:highlight w:val="none"/>
                <w:lang w:eastAsia="zh-CN"/>
              </w:rPr>
            </w:pPr>
            <w:r>
              <w:rPr>
                <w:rFonts w:hint="eastAsia" w:ascii="宋体" w:hAnsi="宋体" w:cs="宋体"/>
                <w:b w:val="0"/>
                <w:bCs w:val="0"/>
                <w:color w:val="auto"/>
                <w:sz w:val="21"/>
                <w:szCs w:val="21"/>
                <w:highlight w:val="none"/>
              </w:rPr>
              <w:t>根据《产业结构调整指导目录（</w:t>
            </w:r>
            <w:r>
              <w:rPr>
                <w:rFonts w:hint="default" w:ascii="Times New Roman" w:hAnsi="Times New Roman" w:cs="Times New Roman"/>
                <w:b w:val="0"/>
                <w:bCs w:val="0"/>
                <w:color w:val="auto"/>
                <w:sz w:val="21"/>
                <w:szCs w:val="21"/>
                <w:highlight w:val="none"/>
              </w:rPr>
              <w:t>2024</w:t>
            </w:r>
            <w:r>
              <w:rPr>
                <w:rFonts w:hint="eastAsia" w:ascii="宋体" w:hAnsi="宋体" w:cs="宋体"/>
                <w:b w:val="0"/>
                <w:bCs w:val="0"/>
                <w:color w:val="auto"/>
                <w:sz w:val="21"/>
                <w:szCs w:val="21"/>
                <w:highlight w:val="none"/>
              </w:rPr>
              <w:t>年本）》，</w:t>
            </w:r>
            <w:r>
              <w:rPr>
                <w:rFonts w:hint="eastAsia"/>
                <w:color w:val="auto"/>
                <w:sz w:val="21"/>
                <w:szCs w:val="21"/>
                <w:highlight w:val="none"/>
                <w:lang w:val="en-US" w:eastAsia="zh-CN"/>
              </w:rPr>
              <w:t>本项目属于“第一类 鼓励类”中“17、可再生资源综合利用：</w:t>
            </w:r>
            <w:r>
              <w:rPr>
                <w:rFonts w:hint="default" w:ascii="Times New Roman" w:hAnsi="Times New Roman" w:eastAsia="宋体" w:cs="Times New Roman"/>
                <w:color w:val="auto"/>
                <w:kern w:val="0"/>
                <w:sz w:val="21"/>
                <w:szCs w:val="21"/>
                <w:highlight w:val="none"/>
                <w:lang w:val="en-US" w:eastAsia="zh-CN" w:bidi="ar"/>
              </w:rPr>
              <w:t>农作物秸秆综合利用（秸秆收储运体系建设、秸秆肥料化利用、秸秆饲料化利用、秸秆能源化利用、秸秆基料化利用、秸秆原料化利用等</w:t>
            </w:r>
            <w:r>
              <w:rPr>
                <w:rFonts w:hint="default" w:ascii="Times New Roman" w:hAnsi="Times New Roman" w:eastAsia="宋体" w:cs="Times New Roman"/>
                <w:color w:val="auto"/>
                <w:sz w:val="21"/>
                <w:szCs w:val="21"/>
                <w:highlight w:val="none"/>
                <w:lang w:eastAsia="zh-CN"/>
              </w:rPr>
              <w:t>）</w:t>
            </w: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中</w:t>
            </w:r>
            <w:r>
              <w:rPr>
                <w:rFonts w:hint="default" w:ascii="Times New Roman" w:hAnsi="Times New Roman" w:eastAsia="宋体" w:cs="Times New Roman"/>
                <w:color w:val="auto"/>
                <w:kern w:val="0"/>
                <w:sz w:val="21"/>
                <w:szCs w:val="21"/>
                <w:highlight w:val="none"/>
                <w:lang w:val="en-US" w:eastAsia="zh-CN" w:bidi="ar"/>
              </w:rPr>
              <w:t>（秸秆收储运体系建设、秸秆能源化利用</w:t>
            </w:r>
            <w:r>
              <w:rPr>
                <w:rFonts w:hint="eastAsia" w:cs="Times New Roman"/>
                <w:color w:val="auto"/>
                <w:kern w:val="0"/>
                <w:sz w:val="21"/>
                <w:szCs w:val="21"/>
                <w:highlight w:val="none"/>
                <w:lang w:val="en-US" w:eastAsia="zh-CN" w:bidi="ar"/>
              </w:rPr>
              <w:t>、</w:t>
            </w:r>
            <w:r>
              <w:rPr>
                <w:rFonts w:hint="default" w:ascii="Times New Roman" w:hAnsi="Times New Roman" w:eastAsia="宋体" w:cs="Times New Roman"/>
                <w:color w:val="auto"/>
                <w:kern w:val="0"/>
                <w:sz w:val="21"/>
                <w:szCs w:val="21"/>
                <w:highlight w:val="none"/>
                <w:lang w:val="en-US" w:eastAsia="zh-CN" w:bidi="ar"/>
              </w:rPr>
              <w:t>秸秆原料化利用</w:t>
            </w:r>
            <w:r>
              <w:rPr>
                <w:rFonts w:hint="default" w:ascii="Times New Roman" w:hAnsi="Times New Roman" w:eastAsia="宋体" w:cs="Times New Roman"/>
                <w:color w:val="auto"/>
                <w:sz w:val="21"/>
                <w:szCs w:val="21"/>
                <w:highlight w:val="none"/>
              </w:rPr>
              <w:t>，</w:t>
            </w:r>
            <w:r>
              <w:rPr>
                <w:rFonts w:hint="eastAsia" w:ascii="宋体" w:hAnsi="宋体" w:cs="宋体"/>
                <w:b w:val="0"/>
                <w:bCs w:val="0"/>
                <w:color w:val="auto"/>
                <w:sz w:val="21"/>
                <w:szCs w:val="21"/>
                <w:highlight w:val="none"/>
              </w:rPr>
              <w:t>因此</w:t>
            </w:r>
            <w:r>
              <w:rPr>
                <w:rFonts w:hint="eastAsia" w:ascii="宋体" w:hAnsi="宋体" w:cs="宋体"/>
                <w:b w:val="0"/>
                <w:bCs w:val="0"/>
                <w:color w:val="auto"/>
                <w:sz w:val="21"/>
                <w:szCs w:val="21"/>
                <w:highlight w:val="none"/>
                <w:lang w:eastAsia="zh-CN"/>
              </w:rPr>
              <w:t>，</w:t>
            </w:r>
            <w:r>
              <w:rPr>
                <w:rFonts w:hint="eastAsia" w:ascii="宋体" w:hAnsi="宋体" w:cs="宋体"/>
                <w:b w:val="0"/>
                <w:bCs w:val="0"/>
                <w:color w:val="auto"/>
                <w:sz w:val="21"/>
                <w:szCs w:val="21"/>
                <w:highlight w:val="none"/>
              </w:rPr>
              <w:t>本项目建设符合产业政策要求</w:t>
            </w:r>
            <w:r>
              <w:rPr>
                <w:rFonts w:hint="eastAsia" w:hAnsi="宋体"/>
                <w:color w:val="auto"/>
                <w:kern w:val="0"/>
                <w:sz w:val="21"/>
                <w:szCs w:val="21"/>
                <w:highlight w:val="none"/>
                <w:lang w:eastAsia="zh-CN"/>
              </w:rPr>
              <w:t>。</w:t>
            </w:r>
          </w:p>
          <w:p w14:paraId="3CA594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eastAsia" w:eastAsia="宋体"/>
                <w:b/>
                <w:bCs/>
                <w:color w:val="auto"/>
                <w:kern w:val="0"/>
                <w:szCs w:val="21"/>
                <w:highlight w:val="none"/>
                <w:lang w:eastAsia="zh-CN"/>
              </w:rPr>
            </w:pPr>
            <w:r>
              <w:rPr>
                <w:rFonts w:hint="default" w:ascii="Times New Roman" w:hAnsi="Times New Roman" w:cs="Times New Roman"/>
                <w:b/>
                <w:color w:val="auto"/>
                <w:kern w:val="0"/>
                <w:szCs w:val="21"/>
                <w:highlight w:val="none"/>
              </w:rPr>
              <w:t>4、</w:t>
            </w:r>
            <w:r>
              <w:rPr>
                <w:rFonts w:hint="eastAsia"/>
                <w:b/>
                <w:bCs/>
                <w:color w:val="auto"/>
                <w:kern w:val="0"/>
                <w:szCs w:val="21"/>
                <w:highlight w:val="none"/>
                <w:lang w:eastAsia="zh-CN"/>
              </w:rPr>
              <w:t>与《</w:t>
            </w:r>
            <w:r>
              <w:rPr>
                <w:rFonts w:hint="eastAsia"/>
                <w:b/>
                <w:bCs/>
                <w:color w:val="auto"/>
                <w:kern w:val="0"/>
                <w:szCs w:val="21"/>
                <w:highlight w:val="none"/>
              </w:rPr>
              <w:t>黑龙江省大气污染防治条例</w:t>
            </w:r>
            <w:r>
              <w:rPr>
                <w:rFonts w:hint="eastAsia"/>
                <w:b/>
                <w:bCs/>
                <w:color w:val="auto"/>
                <w:kern w:val="0"/>
                <w:szCs w:val="21"/>
                <w:highlight w:val="none"/>
                <w:lang w:eastAsia="zh-CN"/>
              </w:rPr>
              <w:t>》</w:t>
            </w:r>
            <w:r>
              <w:rPr>
                <w:rFonts w:hint="eastAsia"/>
                <w:b/>
                <w:bCs/>
                <w:color w:val="auto"/>
                <w:kern w:val="0"/>
                <w:szCs w:val="21"/>
                <w:highlight w:val="none"/>
              </w:rPr>
              <w:t>（2018年修订本）</w:t>
            </w:r>
            <w:r>
              <w:rPr>
                <w:rFonts w:hint="eastAsia"/>
                <w:b/>
                <w:bCs/>
                <w:color w:val="auto"/>
                <w:kern w:val="0"/>
                <w:szCs w:val="21"/>
                <w:highlight w:val="none"/>
                <w:lang w:eastAsia="zh-CN"/>
              </w:rPr>
              <w:t>符合性分析</w:t>
            </w:r>
          </w:p>
          <w:p w14:paraId="43C04E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b w:val="0"/>
                <w:bCs w:val="0"/>
                <w:color w:val="auto"/>
                <w:kern w:val="0"/>
                <w:szCs w:val="21"/>
                <w:highlight w:val="none"/>
                <w:lang w:eastAsia="zh-CN"/>
              </w:rPr>
            </w:pPr>
            <w:r>
              <w:rPr>
                <w:rFonts w:hint="eastAsia"/>
                <w:b w:val="0"/>
                <w:bCs w:val="0"/>
                <w:color w:val="auto"/>
                <w:kern w:val="0"/>
                <w:szCs w:val="21"/>
                <w:highlight w:val="none"/>
                <w:lang w:eastAsia="zh-CN"/>
              </w:rPr>
              <w:t>“</w:t>
            </w:r>
            <w:r>
              <w:rPr>
                <w:rFonts w:hint="eastAsia"/>
                <w:b w:val="0"/>
                <w:bCs w:val="0"/>
                <w:color w:val="auto"/>
                <w:kern w:val="0"/>
                <w:szCs w:val="21"/>
                <w:highlight w:val="none"/>
              </w:rPr>
              <w:t>第四十二条 各级人民政府应当推进转变农业发展方式，调整农业结构，发展农业循环经济，加大对废弃物综合处理的支持力度，加强对农业生产经营活动排放大气污染物的控制。第四十四条 各级人民政府应当制定鼓励和支持政策，推广秸秆肥料化、饲料化、能源化、原料化、基料化等综合利用，组织建立秸秆收集、贮存、运输和综合利用服务体系，采用财政补贴等措施支持农村集体经济组织、农民专业合作经济组织、企业等开展秸秆收集、贮存、运输和综合利用服务。</w:t>
            </w:r>
            <w:r>
              <w:rPr>
                <w:rFonts w:hint="eastAsia"/>
                <w:b w:val="0"/>
                <w:bCs w:val="0"/>
                <w:color w:val="auto"/>
                <w:kern w:val="0"/>
                <w:szCs w:val="21"/>
                <w:highlight w:val="none"/>
                <w:lang w:eastAsia="zh-CN"/>
              </w:rPr>
              <w:t>”</w:t>
            </w:r>
          </w:p>
          <w:p w14:paraId="1A6FA89A">
            <w:pPr>
              <w:keepNext w:val="0"/>
              <w:keepLines w:val="0"/>
              <w:widowControl/>
              <w:suppressLineNumbers w:val="0"/>
              <w:spacing w:before="0" w:beforeAutospacing="0" w:after="0" w:afterAutospacing="0" w:line="360" w:lineRule="auto"/>
              <w:ind w:left="0" w:right="0" w:firstLine="420" w:firstLineChars="200"/>
              <w:rPr>
                <w:rFonts w:hint="default"/>
                <w:color w:val="auto"/>
                <w:sz w:val="21"/>
                <w:szCs w:val="21"/>
                <w:highlight w:val="none"/>
              </w:rPr>
            </w:pPr>
            <w:r>
              <w:rPr>
                <w:rFonts w:hint="eastAsia"/>
                <w:b w:val="0"/>
                <w:bCs w:val="0"/>
                <w:color w:val="auto"/>
                <w:kern w:val="0"/>
                <w:sz w:val="21"/>
                <w:szCs w:val="21"/>
                <w:highlight w:val="none"/>
                <w:lang w:eastAsia="zh-CN"/>
              </w:rPr>
              <w:t>本项目生产原料包括秸秆、玉米芯，符合</w:t>
            </w:r>
            <w:r>
              <w:rPr>
                <w:rFonts w:hint="eastAsia"/>
                <w:b w:val="0"/>
                <w:bCs w:val="0"/>
                <w:color w:val="auto"/>
                <w:kern w:val="0"/>
                <w:szCs w:val="21"/>
                <w:highlight w:val="none"/>
              </w:rPr>
              <w:t>秸秆</w:t>
            </w:r>
            <w:r>
              <w:rPr>
                <w:rFonts w:hint="eastAsia"/>
                <w:b w:val="0"/>
                <w:bCs w:val="0"/>
                <w:color w:val="auto"/>
                <w:kern w:val="0"/>
                <w:szCs w:val="21"/>
                <w:highlight w:val="none"/>
                <w:lang w:eastAsia="zh-CN"/>
              </w:rPr>
              <w:t>能源化、</w:t>
            </w:r>
            <w:r>
              <w:rPr>
                <w:rFonts w:hint="eastAsia"/>
                <w:b w:val="0"/>
                <w:bCs w:val="0"/>
                <w:color w:val="auto"/>
                <w:kern w:val="0"/>
                <w:szCs w:val="21"/>
                <w:highlight w:val="none"/>
              </w:rPr>
              <w:t>原料化</w:t>
            </w:r>
            <w:r>
              <w:rPr>
                <w:rFonts w:hint="eastAsia"/>
                <w:b w:val="0"/>
                <w:bCs w:val="0"/>
                <w:color w:val="auto"/>
                <w:kern w:val="0"/>
                <w:sz w:val="21"/>
                <w:szCs w:val="21"/>
                <w:highlight w:val="none"/>
                <w:lang w:eastAsia="zh-CN"/>
              </w:rPr>
              <w:t>综合利用的要求，</w:t>
            </w:r>
            <w:r>
              <w:rPr>
                <w:rFonts w:hint="eastAsia"/>
                <w:color w:val="auto"/>
                <w:szCs w:val="21"/>
                <w:highlight w:val="none"/>
                <w:lang w:eastAsia="zh-CN"/>
              </w:rPr>
              <w:t>生物质燃烧器烟气</w:t>
            </w:r>
            <w:r>
              <w:rPr>
                <w:rFonts w:hint="eastAsia" w:cs="Times New Roman"/>
                <w:b w:val="0"/>
                <w:bCs w:val="0"/>
                <w:color w:val="auto"/>
                <w:sz w:val="21"/>
                <w:szCs w:val="21"/>
                <w:highlight w:val="none"/>
                <w:lang w:val="en-US" w:eastAsia="zh-CN"/>
              </w:rPr>
              <w:t>与烘干滚筒废气一同经</w:t>
            </w:r>
            <w:r>
              <w:rPr>
                <w:rFonts w:hint="eastAsia" w:ascii="Times New Roman" w:hAnsi="Times New Roman" w:eastAsia="宋体" w:cs="Times New Roman"/>
                <w:b w:val="0"/>
                <w:bCs w:val="0"/>
                <w:color w:val="auto"/>
                <w:sz w:val="21"/>
                <w:szCs w:val="21"/>
                <w:highlight w:val="none"/>
                <w:lang w:val="en-US" w:eastAsia="zh-CN"/>
              </w:rPr>
              <w:t>布袋除尘器处理后</w:t>
            </w:r>
            <w:r>
              <w:rPr>
                <w:rFonts w:hint="eastAsia" w:cs="Times New Roman"/>
                <w:b w:val="0"/>
                <w:bCs w:val="0"/>
                <w:color w:val="auto"/>
                <w:sz w:val="21"/>
                <w:szCs w:val="21"/>
                <w:highlight w:val="none"/>
                <w:lang w:val="en-US" w:eastAsia="zh-CN"/>
              </w:rPr>
              <w:t>通过</w:t>
            </w:r>
            <w:r>
              <w:rPr>
                <w:rFonts w:hint="eastAsia" w:ascii="Times New Roman" w:hAnsi="Times New Roman" w:eastAsia="宋体" w:cs="Times New Roman"/>
                <w:b w:val="0"/>
                <w:bCs w:val="0"/>
                <w:color w:val="auto"/>
                <w:sz w:val="21"/>
                <w:szCs w:val="21"/>
                <w:highlight w:val="none"/>
                <w:lang w:val="en-US" w:eastAsia="zh-CN"/>
              </w:rPr>
              <w:t>15m</w:t>
            </w:r>
            <w:r>
              <w:rPr>
                <w:rFonts w:hint="eastAsia" w:cs="Times New Roman"/>
                <w:color w:val="auto"/>
                <w:sz w:val="21"/>
                <w:szCs w:val="21"/>
                <w:highlight w:val="none"/>
                <w:lang w:val="en-US" w:eastAsia="zh-CN"/>
              </w:rPr>
              <w:t>排气筒</w:t>
            </w:r>
            <w:r>
              <w:rPr>
                <w:rFonts w:hint="eastAsia" w:ascii="Times New Roman" w:hAnsi="Times New Roman" w:eastAsia="宋体" w:cs="Times New Roman"/>
                <w:b w:val="0"/>
                <w:bCs w:val="0"/>
                <w:color w:val="auto"/>
                <w:sz w:val="21"/>
                <w:szCs w:val="21"/>
                <w:highlight w:val="none"/>
                <w:lang w:val="en-US" w:eastAsia="zh-CN"/>
              </w:rPr>
              <w:t>高空排放，SO</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lang w:val="en-US" w:eastAsia="zh-CN"/>
              </w:rPr>
              <w:t>排放浓度</w:t>
            </w:r>
            <w:r>
              <w:rPr>
                <w:rFonts w:hint="eastAsia" w:cs="Times New Roman"/>
                <w:b w:val="0"/>
                <w:bCs w:val="0"/>
                <w:color w:val="auto"/>
                <w:sz w:val="21"/>
                <w:szCs w:val="21"/>
                <w:highlight w:val="none"/>
                <w:lang w:val="en-US" w:eastAsia="zh-CN"/>
              </w:rPr>
              <w:t>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《工业炉窑大气污染物排放标准》（GB9078-1996）中表4中二级标准，</w:t>
            </w:r>
            <w:r>
              <w:rPr>
                <w:rFonts w:hint="eastAsia" w:cs="Times New Roman"/>
                <w:b w:val="0"/>
                <w:bCs w:val="0"/>
                <w:color w:val="auto"/>
                <w:sz w:val="21"/>
                <w:szCs w:val="21"/>
                <w:highlight w:val="none"/>
                <w:lang w:val="en-US" w:eastAsia="zh-CN"/>
              </w:rPr>
              <w:t>颗粒物排放浓度及烟气黑度符合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《工业炉窑大气污染物排放标准》（GB9078-1996）中表2中二级标准</w:t>
            </w:r>
            <w:r>
              <w:rPr>
                <w:rFonts w:hint="eastAsia" w:cs="Times New Roman"/>
                <w:b w:val="0"/>
                <w:bCs w:val="0"/>
                <w:color w:val="auto"/>
                <w:sz w:val="21"/>
                <w:szCs w:val="21"/>
                <w:highlight w:val="none"/>
                <w:lang w:val="en-US" w:eastAsia="zh-CN"/>
              </w:rPr>
              <w:t>；</w:t>
            </w:r>
            <w:r>
              <w:rPr>
                <w:rFonts w:hint="eastAsia" w:cs="Times New Roman"/>
                <w:color w:val="auto"/>
                <w:kern w:val="0"/>
                <w:sz w:val="21"/>
                <w:szCs w:val="21"/>
                <w:highlight w:val="none"/>
                <w:lang w:val="en-US" w:eastAsia="zh-CN"/>
              </w:rPr>
              <w:t>工业炉窑周边无组织排放浓度符合</w:t>
            </w:r>
            <w:r>
              <w:rPr>
                <w:rFonts w:hint="default" w:ascii="Times New Roman" w:hAnsi="Times New Roman" w:eastAsia="宋体" w:cs="Times New Roman"/>
                <w:color w:val="auto"/>
                <w:kern w:val="0"/>
                <w:sz w:val="21"/>
                <w:szCs w:val="21"/>
                <w:highlight w:val="none"/>
              </w:rPr>
              <w:t>《工业炉窑大气污染物排放标准》（GB9078-1996）表</w:t>
            </w:r>
            <w:r>
              <w:rPr>
                <w:rFonts w:hint="eastAsia" w:ascii="Times New Roman" w:hAnsi="Times New Roman" w:eastAsia="宋体" w:cs="Times New Roman"/>
                <w:color w:val="auto"/>
                <w:kern w:val="0"/>
                <w:sz w:val="21"/>
                <w:szCs w:val="21"/>
                <w:highlight w:val="none"/>
                <w:lang w:val="en-US" w:eastAsia="zh-CN"/>
              </w:rPr>
              <w:t>3中标准限值</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本项目生产工序</w:t>
            </w:r>
            <w:r>
              <w:rPr>
                <w:rFonts w:hint="eastAsia" w:cs="Times New Roman"/>
                <w:bCs/>
                <w:color w:val="auto"/>
                <w:kern w:val="0"/>
                <w:sz w:val="21"/>
                <w:szCs w:val="21"/>
                <w:highlight w:val="none"/>
                <w:lang w:val="en-US" w:eastAsia="zh-CN"/>
              </w:rPr>
              <w:t>粗破、粉碎、造粒工序</w:t>
            </w:r>
            <w:r>
              <w:rPr>
                <w:rFonts w:hint="eastAsia" w:ascii="Times New Roman" w:hAnsi="Times New Roman" w:cs="Times New Roman"/>
                <w:color w:val="auto"/>
                <w:sz w:val="21"/>
                <w:szCs w:val="21"/>
                <w:highlight w:val="none"/>
                <w:lang w:val="en-US" w:eastAsia="zh-CN"/>
              </w:rPr>
              <w:t>产生的颗粒物经集气罩+布袋除尘器处理后，由15</w:t>
            </w:r>
            <w:r>
              <w:rPr>
                <w:rFonts w:hint="eastAsia" w:cs="Times New Roman"/>
                <w:color w:val="auto"/>
                <w:sz w:val="21"/>
                <w:szCs w:val="21"/>
                <w:highlight w:val="none"/>
                <w:lang w:val="en-US" w:eastAsia="zh-CN"/>
              </w:rPr>
              <w:t>m</w:t>
            </w:r>
            <w:r>
              <w:rPr>
                <w:rFonts w:hint="eastAsia" w:ascii="Times New Roman" w:hAnsi="Times New Roman" w:cs="Times New Roman"/>
                <w:color w:val="auto"/>
                <w:sz w:val="21"/>
                <w:szCs w:val="21"/>
                <w:highlight w:val="none"/>
                <w:lang w:val="en-US" w:eastAsia="zh-CN"/>
              </w:rPr>
              <w:t>高排气筒排放，排放</w:t>
            </w:r>
            <w:r>
              <w:rPr>
                <w:rFonts w:hint="eastAsia" w:cs="Times New Roman"/>
                <w:color w:val="auto"/>
                <w:sz w:val="21"/>
                <w:szCs w:val="21"/>
                <w:highlight w:val="none"/>
                <w:lang w:val="en-US" w:eastAsia="zh-CN"/>
              </w:rPr>
              <w:t>浓度</w:t>
            </w:r>
            <w:r>
              <w:rPr>
                <w:rFonts w:hint="eastAsia" w:ascii="Times New Roman" w:hAnsi="Times New Roman" w:cs="Times New Roman"/>
                <w:color w:val="auto"/>
                <w:sz w:val="21"/>
                <w:szCs w:val="21"/>
                <w:highlight w:val="none"/>
                <w:lang w:val="en-US" w:eastAsia="zh-CN"/>
              </w:rPr>
              <w:t>符合</w:t>
            </w:r>
            <w:r>
              <w:rPr>
                <w:rFonts w:hint="default"/>
                <w:b w:val="0"/>
                <w:bCs w:val="0"/>
                <w:color w:val="auto"/>
                <w:kern w:val="0"/>
                <w:sz w:val="21"/>
                <w:szCs w:val="21"/>
                <w:highlight w:val="none"/>
              </w:rPr>
              <w:t>《大气污染物综合排放标准》（GB16297-1996）表2中二级排放标准</w:t>
            </w:r>
            <w:r>
              <w:rPr>
                <w:rFonts w:hint="eastAsia"/>
                <w:b w:val="0"/>
                <w:bCs w:val="0"/>
                <w:color w:val="auto"/>
                <w:kern w:val="0"/>
                <w:sz w:val="21"/>
                <w:szCs w:val="21"/>
                <w:highlight w:val="none"/>
                <w:lang w:eastAsia="zh-CN"/>
              </w:rPr>
              <w:t>，</w:t>
            </w:r>
            <w:r>
              <w:rPr>
                <w:rFonts w:hint="eastAsia"/>
                <w:color w:val="auto"/>
                <w:sz w:val="21"/>
                <w:szCs w:val="21"/>
                <w:highlight w:val="none"/>
                <w:shd w:val="clear"/>
                <w:lang w:val="en-US" w:eastAsia="zh-CN"/>
              </w:rPr>
              <w:t>灰渣间全封闭，灰渣及原料运输车辆采取苫布遮盖、封闭式运输。</w:t>
            </w:r>
            <w:r>
              <w:rPr>
                <w:rFonts w:hint="default"/>
                <w:color w:val="auto"/>
                <w:sz w:val="21"/>
                <w:szCs w:val="21"/>
                <w:highlight w:val="none"/>
                <w:shd w:val="clear"/>
                <w:lang w:val="en-US" w:eastAsia="zh-CN"/>
              </w:rPr>
              <w:t>由于原料含水率较高，</w:t>
            </w:r>
            <w:r>
              <w:rPr>
                <w:rFonts w:hint="eastAsia"/>
                <w:color w:val="auto"/>
                <w:sz w:val="21"/>
                <w:szCs w:val="21"/>
                <w:highlight w:val="none"/>
                <w:shd w:val="clear"/>
                <w:lang w:val="en-US" w:eastAsia="zh-CN"/>
              </w:rPr>
              <w:t>在储存及装卸、</w:t>
            </w:r>
            <w:r>
              <w:rPr>
                <w:rFonts w:hint="default"/>
                <w:color w:val="auto"/>
                <w:sz w:val="21"/>
                <w:szCs w:val="21"/>
                <w:highlight w:val="none"/>
                <w:shd w:val="clear"/>
                <w:lang w:val="en-US" w:eastAsia="zh-CN"/>
              </w:rPr>
              <w:t>投料</w:t>
            </w:r>
            <w:r>
              <w:rPr>
                <w:rFonts w:hint="eastAsia"/>
                <w:color w:val="auto"/>
                <w:sz w:val="21"/>
                <w:szCs w:val="21"/>
                <w:highlight w:val="none"/>
                <w:shd w:val="clear"/>
                <w:lang w:val="en-US" w:eastAsia="zh-CN"/>
              </w:rPr>
              <w:t>、筛分</w:t>
            </w:r>
            <w:r>
              <w:rPr>
                <w:rFonts w:hint="default"/>
                <w:color w:val="auto"/>
                <w:sz w:val="21"/>
                <w:szCs w:val="21"/>
                <w:highlight w:val="none"/>
                <w:shd w:val="clear"/>
                <w:lang w:val="en-US" w:eastAsia="zh-CN"/>
              </w:rPr>
              <w:t>时，产生的粉尘</w:t>
            </w:r>
            <w:r>
              <w:rPr>
                <w:rFonts w:hint="eastAsia"/>
                <w:color w:val="auto"/>
                <w:sz w:val="21"/>
                <w:szCs w:val="21"/>
                <w:highlight w:val="none"/>
                <w:shd w:val="clear"/>
                <w:lang w:val="en-US" w:eastAsia="zh-CN"/>
              </w:rPr>
              <w:t>较小，原料堆场四周设置2m高围挡，原料上方采取苫布遮盖，可有效控制扬尘。破碎过程</w:t>
            </w:r>
            <w:r>
              <w:rPr>
                <w:rFonts w:hint="eastAsia"/>
                <w:color w:val="auto"/>
                <w:sz w:val="21"/>
                <w:szCs w:val="21"/>
                <w:highlight w:val="none"/>
                <w:lang w:val="en-US" w:eastAsia="zh-CN"/>
              </w:rPr>
              <w:t>未被集气罩收集的粉尘采取</w:t>
            </w:r>
            <w:r>
              <w:rPr>
                <w:rFonts w:hint="eastAsia"/>
                <w:color w:val="auto"/>
                <w:sz w:val="21"/>
                <w:szCs w:val="21"/>
                <w:highlight w:val="none"/>
                <w:shd w:val="clear"/>
                <w:lang w:val="en-US" w:eastAsia="zh-CN"/>
              </w:rPr>
              <w:t>车间封闭、</w:t>
            </w:r>
            <w:r>
              <w:rPr>
                <w:rFonts w:hint="default"/>
                <w:color w:val="auto"/>
                <w:sz w:val="21"/>
                <w:szCs w:val="21"/>
                <w:highlight w:val="none"/>
                <w:shd w:val="clear"/>
                <w:lang w:val="en-US" w:eastAsia="zh-CN"/>
              </w:rPr>
              <w:t>定期洒水抑尘</w:t>
            </w:r>
            <w:r>
              <w:rPr>
                <w:rFonts w:hint="eastAsia"/>
                <w:color w:val="auto"/>
                <w:sz w:val="21"/>
                <w:szCs w:val="21"/>
                <w:highlight w:val="none"/>
                <w:shd w:val="clear"/>
                <w:lang w:val="en-US" w:eastAsia="zh-CN"/>
              </w:rPr>
              <w:t>等措施</w:t>
            </w:r>
            <w:r>
              <w:rPr>
                <w:rFonts w:hint="default"/>
                <w:color w:val="auto"/>
                <w:sz w:val="21"/>
                <w:szCs w:val="21"/>
                <w:highlight w:val="none"/>
                <w:shd w:val="clear"/>
                <w:lang w:val="en-US" w:eastAsia="zh-CN"/>
              </w:rPr>
              <w:t>，减少粉尘扩散</w:t>
            </w:r>
            <w:r>
              <w:rPr>
                <w:rFonts w:hint="eastAsia"/>
                <w:color w:val="auto"/>
                <w:sz w:val="21"/>
                <w:szCs w:val="21"/>
                <w:highlight w:val="none"/>
                <w:shd w:val="clear"/>
                <w:lang w:val="en-US" w:eastAsia="zh-CN"/>
              </w:rPr>
              <w:t>。</w:t>
            </w:r>
            <w:r>
              <w:rPr>
                <w:rFonts w:hint="default" w:ascii="Times New Roman" w:hAnsi="Times New Roman" w:cs="Times New Roman"/>
                <w:color w:val="auto"/>
                <w:sz w:val="21"/>
                <w:szCs w:val="21"/>
                <w:highlight w:val="none"/>
              </w:rPr>
              <w:t>厂界颗粒物排放浓度符合《大气污染物综合排放标准》（GB16297-1996）表2无组织排放浓度限值要求。</w:t>
            </w:r>
          </w:p>
          <w:p w14:paraId="3E705D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宋体" w:hAnsi="宋体" w:cs="宋体"/>
                <w:color w:val="auto"/>
                <w:highlight w:val="none"/>
              </w:rPr>
            </w:pPr>
            <w:r>
              <w:rPr>
                <w:rFonts w:hint="eastAsia" w:cs="Times New Roman"/>
                <w:color w:val="auto"/>
                <w:sz w:val="21"/>
                <w:szCs w:val="21"/>
                <w:highlight w:val="none"/>
                <w:lang w:val="en-US" w:eastAsia="zh-CN"/>
              </w:rPr>
              <w:t>因此，项目</w:t>
            </w:r>
            <w:r>
              <w:rPr>
                <w:rFonts w:hint="eastAsia"/>
                <w:b w:val="0"/>
                <w:bCs w:val="0"/>
                <w:color w:val="auto"/>
                <w:kern w:val="0"/>
                <w:szCs w:val="21"/>
                <w:highlight w:val="none"/>
                <w:lang w:eastAsia="zh-CN"/>
              </w:rPr>
              <w:t>符合《黑龙江省大气污染防治条例》（2018年修订本）要求。</w:t>
            </w:r>
          </w:p>
          <w:p w14:paraId="49159089">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textAlignment w:val="auto"/>
              <w:rPr>
                <w:rFonts w:hint="default" w:ascii="Times New Roman" w:hAnsi="Times New Roman" w:eastAsia="宋体" w:cs="Times New Roman"/>
                <w:b/>
                <w:color w:val="auto"/>
                <w:kern w:val="0"/>
                <w:sz w:val="21"/>
                <w:szCs w:val="21"/>
                <w:highlight w:val="none"/>
              </w:rPr>
            </w:pPr>
            <w:r>
              <w:rPr>
                <w:rFonts w:hint="eastAsia"/>
                <w:b/>
                <w:bCs/>
                <w:color w:val="auto"/>
                <w:kern w:val="0"/>
                <w:szCs w:val="21"/>
                <w:highlight w:val="none"/>
                <w:lang w:val="en-US" w:eastAsia="zh-CN"/>
              </w:rPr>
              <w:t>5</w:t>
            </w:r>
            <w:r>
              <w:rPr>
                <w:rFonts w:hint="eastAsia" w:eastAsia="宋体"/>
                <w:b/>
                <w:bCs/>
                <w:color w:val="auto"/>
                <w:kern w:val="0"/>
                <w:szCs w:val="21"/>
                <w:highlight w:val="none"/>
                <w:lang w:val="en-US" w:eastAsia="zh-CN"/>
              </w:rPr>
              <w:t>、</w:t>
            </w:r>
            <w:r>
              <w:rPr>
                <w:rFonts w:hint="default" w:ascii="Times New Roman" w:hAnsi="Times New Roman" w:eastAsia="宋体" w:cs="Times New Roman"/>
                <w:b/>
                <w:color w:val="auto"/>
                <w:kern w:val="0"/>
                <w:sz w:val="21"/>
                <w:szCs w:val="21"/>
                <w:highlight w:val="none"/>
              </w:rPr>
              <w:t>与</w:t>
            </w:r>
            <w:r>
              <w:rPr>
                <w:rFonts w:hint="default" w:ascii="Times New Roman" w:hAnsi="Times New Roman" w:eastAsia="宋体" w:cs="Times New Roman"/>
                <w:b/>
                <w:color w:val="auto"/>
                <w:kern w:val="0"/>
                <w:sz w:val="21"/>
                <w:szCs w:val="21"/>
                <w:highlight w:val="none"/>
                <w:lang w:val="en-US" w:eastAsia="zh-CN"/>
              </w:rPr>
              <w:t>《环境空气细颗粒物污染综合防治技术政策》</w:t>
            </w:r>
            <w:r>
              <w:rPr>
                <w:rFonts w:hint="default" w:ascii="Times New Roman" w:hAnsi="Times New Roman" w:eastAsia="宋体" w:cs="Times New Roman"/>
                <w:b/>
                <w:color w:val="auto"/>
                <w:kern w:val="0"/>
                <w:sz w:val="21"/>
                <w:szCs w:val="21"/>
                <w:highlight w:val="none"/>
              </w:rPr>
              <w:t>符合性分析</w:t>
            </w:r>
          </w:p>
          <w:p w14:paraId="43A457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0"/>
                <w:sz w:val="21"/>
                <w:szCs w:val="21"/>
                <w:highlight w:val="none"/>
                <w:lang w:val="en-US" w:eastAsia="zh-CN" w:bidi="ar-SA"/>
              </w:rPr>
            </w:pPr>
            <w:r>
              <w:rPr>
                <w:rFonts w:hint="default" w:ascii="Times New Roman" w:hAnsi="Times New Roman" w:eastAsia="宋体" w:cs="Times New Roman"/>
                <w:color w:val="auto"/>
                <w:kern w:val="0"/>
                <w:sz w:val="21"/>
                <w:szCs w:val="21"/>
                <w:highlight w:val="none"/>
                <w:lang w:val="en-US" w:eastAsia="zh-CN" w:bidi="ar-SA"/>
              </w:rPr>
              <w:t>根据《环境空气细颗粒物污染综合防治技术政策》，</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三、防治工业污染，对于排放细颗粒物的工业污染源，应按照生产工艺、排放方式和烟（废）气组成的特点，选取适用的污染防治技术。工业污染源有组织排放的颗粒物，宜采取袋除尘、电除尘、电袋除尘等高效除尘技术，鼓励火电机组和大型燃煤锅炉采用湿式电除尘等新技术</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细颗粒物污染防治技术简要说明中，一、工业污染防治技术，（一）有组织排放颗粒物（烟、粉尘）污染防治技术，包括袋式除尘、湿式电除尘技术、电袋复合除尘技术。（二）前体污染物（NO、SO</w:t>
            </w:r>
            <w:r>
              <w:rPr>
                <w:rFonts w:hint="default" w:ascii="Times New Roman" w:hAnsi="Times New Roman" w:eastAsia="宋体" w:cs="Times New Roman"/>
                <w:color w:val="auto"/>
                <w:kern w:val="0"/>
                <w:sz w:val="21"/>
                <w:szCs w:val="21"/>
                <w:highlight w:val="none"/>
                <w:vertAlign w:val="subscript"/>
                <w:lang w:val="en-US" w:eastAsia="zh-CN" w:bidi="ar-SA"/>
              </w:rPr>
              <w:t>2</w:t>
            </w:r>
            <w:r>
              <w:rPr>
                <w:rFonts w:hint="default" w:ascii="Times New Roman" w:hAnsi="Times New Roman" w:eastAsia="宋体" w:cs="Times New Roman"/>
                <w:color w:val="auto"/>
                <w:kern w:val="0"/>
                <w:sz w:val="21"/>
                <w:szCs w:val="21"/>
                <w:highlight w:val="none"/>
                <w:lang w:val="en-US" w:eastAsia="zh-CN" w:bidi="ar-SA"/>
              </w:rPr>
              <w:t>、VOCs、NH</w:t>
            </w:r>
            <w:r>
              <w:rPr>
                <w:rFonts w:hint="default" w:ascii="Times New Roman" w:hAnsi="Times New Roman" w:eastAsia="宋体" w:cs="Times New Roman"/>
                <w:color w:val="auto"/>
                <w:kern w:val="0"/>
                <w:sz w:val="21"/>
                <w:szCs w:val="21"/>
                <w:highlight w:val="none"/>
                <w:vertAlign w:val="subscript"/>
                <w:lang w:val="en-US" w:eastAsia="zh-CN" w:bidi="ar-SA"/>
              </w:rPr>
              <w:t>3</w:t>
            </w:r>
            <w:r>
              <w:rPr>
                <w:rFonts w:hint="default" w:ascii="Times New Roman" w:hAnsi="Times New Roman" w:eastAsia="宋体" w:cs="Times New Roman"/>
                <w:color w:val="auto"/>
                <w:kern w:val="0"/>
                <w:sz w:val="21"/>
                <w:szCs w:val="21"/>
                <w:highlight w:val="none"/>
                <w:lang w:val="en-US" w:eastAsia="zh-CN" w:bidi="ar-SA"/>
              </w:rPr>
              <w:t>等）净化技术，包括各种脱硫技术、氮氧化物的催化还原技术及烟气脱硝技术、挥发性有机物的燃烧净化与吸附回收技术、氨的水洗涤净化技术。（三）无组织排放颗粒物和前体污染物治理技术，包括适用于大气颗粒物及其前体物污染控制的密闭生产技术、粉状物料堆放场的遮风与抑尘技术</w:t>
            </w:r>
            <w:r>
              <w:rPr>
                <w:rFonts w:hint="eastAsia" w:ascii="Times New Roman" w:hAnsi="Times New Roman" w:eastAsia="宋体" w:cs="Times New Roman"/>
                <w:color w:val="auto"/>
                <w:kern w:val="0"/>
                <w:sz w:val="21"/>
                <w:szCs w:val="21"/>
                <w:highlight w:val="none"/>
                <w:lang w:val="en-US" w:eastAsia="zh-CN" w:bidi="ar-SA"/>
              </w:rPr>
              <w:t>”</w:t>
            </w:r>
            <w:r>
              <w:rPr>
                <w:rFonts w:hint="default" w:ascii="Times New Roman" w:hAnsi="Times New Roman" w:eastAsia="宋体" w:cs="Times New Roman"/>
                <w:color w:val="auto"/>
                <w:kern w:val="0"/>
                <w:sz w:val="21"/>
                <w:szCs w:val="21"/>
                <w:highlight w:val="none"/>
                <w:lang w:val="en-US" w:eastAsia="zh-CN" w:bidi="ar-SA"/>
              </w:rPr>
              <w:t>。</w:t>
            </w:r>
          </w:p>
          <w:p w14:paraId="19191E28">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eastAsia"/>
                <w:color w:val="auto"/>
                <w:szCs w:val="21"/>
                <w:highlight w:val="none"/>
                <w:lang w:eastAsia="zh-CN"/>
              </w:rPr>
              <w:t>本项目生物质燃烧器烟气</w:t>
            </w:r>
            <w:r>
              <w:rPr>
                <w:rFonts w:hint="eastAsia" w:cs="Times New Roman"/>
                <w:b w:val="0"/>
                <w:bCs w:val="0"/>
                <w:color w:val="auto"/>
                <w:sz w:val="21"/>
                <w:szCs w:val="21"/>
                <w:highlight w:val="none"/>
                <w:lang w:val="en-US" w:eastAsia="zh-CN"/>
              </w:rPr>
              <w:t>与烘干滚筒废气一同经</w:t>
            </w:r>
            <w:r>
              <w:rPr>
                <w:rFonts w:hint="eastAsia" w:ascii="Times New Roman" w:hAnsi="Times New Roman" w:eastAsia="宋体" w:cs="Times New Roman"/>
                <w:b w:val="0"/>
                <w:bCs w:val="0"/>
                <w:color w:val="auto"/>
                <w:sz w:val="21"/>
                <w:szCs w:val="21"/>
                <w:highlight w:val="none"/>
                <w:lang w:val="en-US" w:eastAsia="zh-CN"/>
              </w:rPr>
              <w:t>布袋除尘器处理后</w:t>
            </w:r>
            <w:r>
              <w:rPr>
                <w:rFonts w:hint="eastAsia" w:cs="Times New Roman"/>
                <w:b w:val="0"/>
                <w:bCs w:val="0"/>
                <w:color w:val="auto"/>
                <w:sz w:val="21"/>
                <w:szCs w:val="21"/>
                <w:highlight w:val="none"/>
                <w:lang w:val="en-US" w:eastAsia="zh-CN"/>
              </w:rPr>
              <w:t>通过</w:t>
            </w:r>
            <w:r>
              <w:rPr>
                <w:rFonts w:hint="eastAsia" w:ascii="Times New Roman" w:hAnsi="Times New Roman" w:eastAsia="宋体" w:cs="Times New Roman"/>
                <w:b w:val="0"/>
                <w:bCs w:val="0"/>
                <w:color w:val="auto"/>
                <w:sz w:val="21"/>
                <w:szCs w:val="21"/>
                <w:highlight w:val="none"/>
                <w:lang w:val="en-US" w:eastAsia="zh-CN"/>
              </w:rPr>
              <w:t>15m</w:t>
            </w:r>
            <w:r>
              <w:rPr>
                <w:rFonts w:hint="eastAsia" w:cs="Times New Roman"/>
                <w:color w:val="auto"/>
                <w:sz w:val="21"/>
                <w:szCs w:val="21"/>
                <w:highlight w:val="none"/>
                <w:lang w:val="en-US" w:eastAsia="zh-CN"/>
              </w:rPr>
              <w:t>排气筒</w:t>
            </w:r>
            <w:r>
              <w:rPr>
                <w:rFonts w:hint="eastAsia" w:ascii="Times New Roman" w:hAnsi="Times New Roman" w:eastAsia="宋体" w:cs="Times New Roman"/>
                <w:b w:val="0"/>
                <w:bCs w:val="0"/>
                <w:color w:val="auto"/>
                <w:sz w:val="21"/>
                <w:szCs w:val="21"/>
                <w:highlight w:val="none"/>
                <w:lang w:val="en-US" w:eastAsia="zh-CN"/>
              </w:rPr>
              <w:t>高空排放，SO</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lang w:val="en-US" w:eastAsia="zh-CN"/>
              </w:rPr>
              <w:t>排放浓度</w:t>
            </w:r>
            <w:r>
              <w:rPr>
                <w:rFonts w:hint="eastAsia" w:cs="Times New Roman"/>
                <w:b w:val="0"/>
                <w:bCs w:val="0"/>
                <w:color w:val="auto"/>
                <w:sz w:val="21"/>
                <w:szCs w:val="21"/>
                <w:highlight w:val="none"/>
                <w:lang w:val="en-US" w:eastAsia="zh-CN"/>
              </w:rPr>
              <w:t>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《工业炉窑大气污染物排放标准》（GB9078-1996）中表4中二级标准，</w:t>
            </w:r>
            <w:r>
              <w:rPr>
                <w:rFonts w:hint="eastAsia" w:cs="Times New Roman"/>
                <w:b w:val="0"/>
                <w:bCs w:val="0"/>
                <w:color w:val="auto"/>
                <w:sz w:val="21"/>
                <w:szCs w:val="21"/>
                <w:highlight w:val="none"/>
                <w:lang w:val="en-US" w:eastAsia="zh-CN"/>
              </w:rPr>
              <w:t>颗粒物排放浓度及烟气黑度符合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《工业炉窑大气污染物排放标准》（GB9078-1996）中表2中二级标准</w:t>
            </w:r>
            <w:r>
              <w:rPr>
                <w:rFonts w:hint="eastAsia" w:cs="Times New Roman"/>
                <w:b w:val="0"/>
                <w:bCs w:val="0"/>
                <w:color w:val="auto"/>
                <w:sz w:val="21"/>
                <w:szCs w:val="21"/>
                <w:highlight w:val="none"/>
                <w:lang w:val="en-US" w:eastAsia="zh-CN"/>
              </w:rPr>
              <w:t>；</w:t>
            </w:r>
            <w:r>
              <w:rPr>
                <w:rFonts w:hint="eastAsia" w:cs="Times New Roman"/>
                <w:color w:val="auto"/>
                <w:kern w:val="0"/>
                <w:sz w:val="21"/>
                <w:szCs w:val="21"/>
                <w:highlight w:val="none"/>
                <w:lang w:val="en-US" w:eastAsia="zh-CN"/>
              </w:rPr>
              <w:t>工业炉窑周边无组织排放浓度符合</w:t>
            </w:r>
            <w:r>
              <w:rPr>
                <w:rFonts w:hint="default" w:ascii="Times New Roman" w:hAnsi="Times New Roman" w:eastAsia="宋体" w:cs="Times New Roman"/>
                <w:color w:val="auto"/>
                <w:kern w:val="0"/>
                <w:sz w:val="21"/>
                <w:szCs w:val="21"/>
                <w:highlight w:val="none"/>
              </w:rPr>
              <w:t>《工业炉窑大气污染物排放标准》（GB9078-1996）表</w:t>
            </w:r>
            <w:r>
              <w:rPr>
                <w:rFonts w:hint="eastAsia" w:ascii="Times New Roman" w:hAnsi="Times New Roman" w:eastAsia="宋体" w:cs="Times New Roman"/>
                <w:color w:val="auto"/>
                <w:kern w:val="0"/>
                <w:sz w:val="21"/>
                <w:szCs w:val="21"/>
                <w:highlight w:val="none"/>
                <w:lang w:val="en-US" w:eastAsia="zh-CN"/>
              </w:rPr>
              <w:t>3中标准限值</w:t>
            </w:r>
            <w:r>
              <w:rPr>
                <w:rFonts w:hint="eastAsia" w:ascii="Times New Roman" w:hAnsi="Times New Roman" w:eastAsia="宋体" w:cs="Times New Roman"/>
                <w:b w:val="0"/>
                <w:bCs/>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本项目生产工序</w:t>
            </w:r>
            <w:r>
              <w:rPr>
                <w:rFonts w:hint="eastAsia" w:cs="Times New Roman"/>
                <w:bCs/>
                <w:color w:val="auto"/>
                <w:kern w:val="0"/>
                <w:sz w:val="21"/>
                <w:szCs w:val="21"/>
                <w:highlight w:val="none"/>
                <w:lang w:val="en-US" w:eastAsia="zh-CN"/>
              </w:rPr>
              <w:t>粗破、粉碎、造粒工序</w:t>
            </w:r>
            <w:r>
              <w:rPr>
                <w:rFonts w:hint="eastAsia" w:ascii="Times New Roman" w:hAnsi="Times New Roman" w:cs="Times New Roman"/>
                <w:color w:val="auto"/>
                <w:sz w:val="21"/>
                <w:szCs w:val="21"/>
                <w:highlight w:val="none"/>
                <w:lang w:val="en-US" w:eastAsia="zh-CN"/>
              </w:rPr>
              <w:t>产生的颗粒物经集气罩+布袋除尘器处理后，由15</w:t>
            </w:r>
            <w:r>
              <w:rPr>
                <w:rFonts w:hint="eastAsia" w:cs="Times New Roman"/>
                <w:color w:val="auto"/>
                <w:sz w:val="21"/>
                <w:szCs w:val="21"/>
                <w:highlight w:val="none"/>
                <w:lang w:val="en-US" w:eastAsia="zh-CN"/>
              </w:rPr>
              <w:t>m</w:t>
            </w:r>
            <w:r>
              <w:rPr>
                <w:rFonts w:hint="eastAsia" w:ascii="Times New Roman" w:hAnsi="Times New Roman" w:cs="Times New Roman"/>
                <w:color w:val="auto"/>
                <w:sz w:val="21"/>
                <w:szCs w:val="21"/>
                <w:highlight w:val="none"/>
                <w:lang w:val="en-US" w:eastAsia="zh-CN"/>
              </w:rPr>
              <w:t>高排气筒排放，排放</w:t>
            </w:r>
            <w:r>
              <w:rPr>
                <w:rFonts w:hint="eastAsia" w:cs="Times New Roman"/>
                <w:color w:val="auto"/>
                <w:sz w:val="21"/>
                <w:szCs w:val="21"/>
                <w:highlight w:val="none"/>
                <w:lang w:val="en-US" w:eastAsia="zh-CN"/>
              </w:rPr>
              <w:t>浓度</w:t>
            </w:r>
            <w:r>
              <w:rPr>
                <w:rFonts w:hint="eastAsia" w:ascii="Times New Roman" w:hAnsi="Times New Roman" w:cs="Times New Roman"/>
                <w:color w:val="auto"/>
                <w:sz w:val="21"/>
                <w:szCs w:val="21"/>
                <w:highlight w:val="none"/>
                <w:lang w:val="en-US" w:eastAsia="zh-CN"/>
              </w:rPr>
              <w:t>符合</w:t>
            </w:r>
            <w:r>
              <w:rPr>
                <w:rFonts w:hint="default"/>
                <w:b w:val="0"/>
                <w:bCs w:val="0"/>
                <w:color w:val="auto"/>
                <w:kern w:val="0"/>
                <w:sz w:val="21"/>
                <w:szCs w:val="21"/>
                <w:highlight w:val="none"/>
              </w:rPr>
              <w:t>《大气污染物综合排放标准》（GB16297-1996）表2中二级排放标准</w:t>
            </w:r>
            <w:r>
              <w:rPr>
                <w:rFonts w:hint="eastAsia"/>
                <w:b w:val="0"/>
                <w:bCs w:val="0"/>
                <w:color w:val="auto"/>
                <w:kern w:val="0"/>
                <w:sz w:val="21"/>
                <w:szCs w:val="21"/>
                <w:highlight w:val="none"/>
                <w:lang w:eastAsia="zh-CN"/>
              </w:rPr>
              <w:t>，</w:t>
            </w:r>
            <w:r>
              <w:rPr>
                <w:rFonts w:hint="eastAsia"/>
                <w:color w:val="auto"/>
                <w:sz w:val="21"/>
                <w:szCs w:val="21"/>
                <w:highlight w:val="none"/>
                <w:shd w:val="clear"/>
                <w:lang w:val="en-US" w:eastAsia="zh-CN"/>
              </w:rPr>
              <w:t>灰渣间全封闭，灰渣及原料运输车辆采取苫布遮盖、封闭式运输。</w:t>
            </w:r>
            <w:r>
              <w:rPr>
                <w:rFonts w:hint="default"/>
                <w:color w:val="auto"/>
                <w:sz w:val="21"/>
                <w:szCs w:val="21"/>
                <w:highlight w:val="none"/>
                <w:shd w:val="clear"/>
                <w:lang w:val="en-US" w:eastAsia="zh-CN"/>
              </w:rPr>
              <w:t>由于原料含水率较高，</w:t>
            </w:r>
            <w:r>
              <w:rPr>
                <w:rFonts w:hint="eastAsia"/>
                <w:color w:val="auto"/>
                <w:sz w:val="21"/>
                <w:szCs w:val="21"/>
                <w:highlight w:val="none"/>
                <w:shd w:val="clear"/>
                <w:lang w:val="en-US" w:eastAsia="zh-CN"/>
              </w:rPr>
              <w:t>在储存及装卸、</w:t>
            </w:r>
            <w:r>
              <w:rPr>
                <w:rFonts w:hint="default"/>
                <w:color w:val="auto"/>
                <w:sz w:val="21"/>
                <w:szCs w:val="21"/>
                <w:highlight w:val="none"/>
                <w:shd w:val="clear"/>
                <w:lang w:val="en-US" w:eastAsia="zh-CN"/>
              </w:rPr>
              <w:t>投料</w:t>
            </w:r>
            <w:r>
              <w:rPr>
                <w:rFonts w:hint="eastAsia"/>
                <w:color w:val="auto"/>
                <w:sz w:val="21"/>
                <w:szCs w:val="21"/>
                <w:highlight w:val="none"/>
                <w:shd w:val="clear"/>
                <w:lang w:val="en-US" w:eastAsia="zh-CN"/>
              </w:rPr>
              <w:t>、筛分</w:t>
            </w:r>
            <w:r>
              <w:rPr>
                <w:rFonts w:hint="default"/>
                <w:color w:val="auto"/>
                <w:sz w:val="21"/>
                <w:szCs w:val="21"/>
                <w:highlight w:val="none"/>
                <w:shd w:val="clear"/>
                <w:lang w:val="en-US" w:eastAsia="zh-CN"/>
              </w:rPr>
              <w:t>时，产生的粉尘</w:t>
            </w:r>
            <w:r>
              <w:rPr>
                <w:rFonts w:hint="eastAsia"/>
                <w:color w:val="auto"/>
                <w:sz w:val="21"/>
                <w:szCs w:val="21"/>
                <w:highlight w:val="none"/>
                <w:shd w:val="clear"/>
                <w:lang w:val="en-US" w:eastAsia="zh-CN"/>
              </w:rPr>
              <w:t>较小，原料堆场四周设置2m高围挡，原料上方采取苫布遮盖，可有效控制扬尘。破碎过程</w:t>
            </w:r>
            <w:r>
              <w:rPr>
                <w:rFonts w:hint="eastAsia"/>
                <w:color w:val="auto"/>
                <w:sz w:val="21"/>
                <w:szCs w:val="21"/>
                <w:highlight w:val="none"/>
                <w:lang w:val="en-US" w:eastAsia="zh-CN"/>
              </w:rPr>
              <w:t>未被集气罩收集的粉尘采取</w:t>
            </w:r>
            <w:r>
              <w:rPr>
                <w:rFonts w:hint="eastAsia"/>
                <w:color w:val="auto"/>
                <w:sz w:val="21"/>
                <w:szCs w:val="21"/>
                <w:highlight w:val="none"/>
                <w:shd w:val="clear"/>
                <w:lang w:val="en-US" w:eastAsia="zh-CN"/>
              </w:rPr>
              <w:t>车间封闭、</w:t>
            </w:r>
            <w:r>
              <w:rPr>
                <w:rFonts w:hint="default"/>
                <w:color w:val="auto"/>
                <w:sz w:val="21"/>
                <w:szCs w:val="21"/>
                <w:highlight w:val="none"/>
                <w:shd w:val="clear"/>
                <w:lang w:val="en-US" w:eastAsia="zh-CN"/>
              </w:rPr>
              <w:t>定期洒水抑尘</w:t>
            </w:r>
            <w:r>
              <w:rPr>
                <w:rFonts w:hint="eastAsia"/>
                <w:color w:val="auto"/>
                <w:sz w:val="21"/>
                <w:szCs w:val="21"/>
                <w:highlight w:val="none"/>
                <w:shd w:val="clear"/>
                <w:lang w:val="en-US" w:eastAsia="zh-CN"/>
              </w:rPr>
              <w:t>等措施</w:t>
            </w:r>
            <w:r>
              <w:rPr>
                <w:rFonts w:hint="default"/>
                <w:color w:val="auto"/>
                <w:sz w:val="21"/>
                <w:szCs w:val="21"/>
                <w:highlight w:val="none"/>
                <w:shd w:val="clear"/>
                <w:lang w:val="en-US" w:eastAsia="zh-CN"/>
              </w:rPr>
              <w:t>，减少粉尘扩散</w:t>
            </w:r>
            <w:r>
              <w:rPr>
                <w:rFonts w:hint="eastAsia"/>
                <w:color w:val="auto"/>
                <w:sz w:val="21"/>
                <w:szCs w:val="21"/>
                <w:highlight w:val="none"/>
                <w:shd w:val="clear"/>
                <w:lang w:val="en-US" w:eastAsia="zh-CN"/>
              </w:rPr>
              <w:t>。</w:t>
            </w:r>
            <w:r>
              <w:rPr>
                <w:rFonts w:hint="default" w:ascii="Times New Roman" w:hAnsi="Times New Roman" w:cs="Times New Roman"/>
                <w:color w:val="auto"/>
                <w:sz w:val="21"/>
                <w:szCs w:val="21"/>
                <w:highlight w:val="none"/>
              </w:rPr>
              <w:t>厂界颗粒物排放浓度符合《大气污染物综合排放标准》（GB16297-1996）表2无组织排放浓度限值要求。</w:t>
            </w:r>
          </w:p>
          <w:p w14:paraId="1F98E85F">
            <w:pPr>
              <w:keepNext w:val="0"/>
              <w:keepLines w:val="0"/>
              <w:pageBreakBefore w:val="0"/>
              <w:suppressLineNumbers w:val="0"/>
              <w:kinsoku/>
              <w:wordWrap/>
              <w:overflowPunct/>
              <w:topLinePunct w:val="0"/>
              <w:bidi w:val="0"/>
              <w:spacing w:before="0" w:beforeAutospacing="0" w:after="0" w:afterAutospacing="0" w:line="360" w:lineRule="auto"/>
              <w:ind w:left="0" w:right="0" w:firstLine="422"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b/>
                <w:color w:val="auto"/>
                <w:kern w:val="0"/>
                <w:sz w:val="21"/>
                <w:szCs w:val="21"/>
                <w:highlight w:val="none"/>
                <w:lang w:val="en-US" w:eastAsia="zh-CN"/>
              </w:rPr>
              <w:t>6</w:t>
            </w:r>
            <w:r>
              <w:rPr>
                <w:rFonts w:hint="eastAsia"/>
                <w:b/>
                <w:color w:val="auto"/>
                <w:kern w:val="0"/>
                <w:sz w:val="21"/>
                <w:szCs w:val="21"/>
                <w:highlight w:val="none"/>
              </w:rPr>
              <w:t>、</w:t>
            </w:r>
            <w:r>
              <w:rPr>
                <w:rFonts w:hint="eastAsia" w:ascii="Times New Roman" w:hAnsi="Times New Roman" w:eastAsia="宋体" w:cs="Times New Roman"/>
                <w:b/>
                <w:bCs w:val="0"/>
                <w:color w:val="auto"/>
                <w:sz w:val="21"/>
                <w:szCs w:val="21"/>
                <w:highlight w:val="none"/>
                <w:lang w:eastAsia="zh-CN"/>
              </w:rPr>
              <w:t>与《工业炉窑大气污染综合治理方案》（环大气[2019]56号）符合性分析</w:t>
            </w:r>
          </w:p>
          <w:p w14:paraId="72044D06">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cs="Times New Roman"/>
                <w:b w:val="0"/>
                <w:bCs/>
                <w:color w:val="auto"/>
                <w:sz w:val="21"/>
                <w:szCs w:val="21"/>
                <w:highlight w:val="none"/>
                <w:lang w:val="en-US" w:eastAsia="zh-CN"/>
              </w:rPr>
              <w:t>根据</w:t>
            </w:r>
            <w:r>
              <w:rPr>
                <w:rFonts w:hint="eastAsia" w:ascii="Times New Roman" w:hAnsi="Times New Roman" w:eastAsia="宋体" w:cs="Times New Roman"/>
                <w:b w:val="0"/>
                <w:bCs/>
                <w:color w:val="auto"/>
                <w:sz w:val="21"/>
                <w:szCs w:val="21"/>
                <w:highlight w:val="none"/>
                <w:lang w:eastAsia="zh-CN"/>
              </w:rPr>
              <w:t>《工业炉窑大气污染综合治理方案》（环大气[2019]56号）</w:t>
            </w:r>
            <w:r>
              <w:rPr>
                <w:rFonts w:hint="eastAsia" w:ascii="Times New Roman" w:hAnsi="Times New Roman"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加大产业结构调整力度。严格建设项目环境准入。新建涉工业炉窑的建设项目，原则上要入园区，配套建设高效环保治理设施。重点区域严格控制涉工业炉窑建设项目，严禁新增钢铁、焦化、电解铝、铸造、水泥和平板玻璃等产能；严格执行钢铁、水泥、平板玻璃等行业产能置换实施办法；原则上禁止新建燃料类煤气发生炉（园区现有企业统一建设的清洁煤制气中心除外）。</w:t>
            </w:r>
            <w:r>
              <w:rPr>
                <w:rFonts w:hint="eastAsia" w:cs="Times New Roman"/>
                <w:b w:val="0"/>
                <w:bCs/>
                <w:color w:val="auto"/>
                <w:sz w:val="21"/>
                <w:szCs w:val="21"/>
                <w:highlight w:val="none"/>
                <w:lang w:eastAsia="zh-CN"/>
              </w:rPr>
              <w:t>”</w:t>
            </w:r>
          </w:p>
          <w:p w14:paraId="45A27FE4">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eastAsia" w:cs="Times New Roman"/>
                <w:b w:val="0"/>
                <w:bCs/>
                <w:color w:val="auto"/>
                <w:sz w:val="21"/>
                <w:szCs w:val="21"/>
                <w:highlight w:val="none"/>
                <w:lang w:eastAsia="zh-CN"/>
              </w:rPr>
              <w:t>“</w:t>
            </w:r>
            <w:r>
              <w:rPr>
                <w:rFonts w:hint="eastAsia" w:ascii="Times New Roman" w:hAnsi="Times New Roman" w:eastAsia="宋体" w:cs="Times New Roman"/>
                <w:b w:val="0"/>
                <w:bCs/>
                <w:color w:val="auto"/>
                <w:sz w:val="21"/>
                <w:szCs w:val="21"/>
                <w:highlight w:val="none"/>
                <w:lang w:eastAsia="zh-CN"/>
              </w:rPr>
              <w:t>实施污染深度治理。推进工业炉窑全面达标排放。已有行业排放标准的工业炉窑，严格执行行业排放标准相关规定，配套建设高效脱硫脱硝除尘设施，确保稳定达标排放。已制定更严格地方排放标准的，按地方标准执行。重点区域钢铁、水泥、焦化、石化、化工、有色等行业，二氧化硫、氮氧化物、颗粒物、挥发性有机物（VOCs）排放全面执行大气污染物特别排放限值。已核发排污许可证的，应严格执行许可要求。</w:t>
            </w:r>
            <w:r>
              <w:rPr>
                <w:rFonts w:hint="eastAsia" w:cs="Times New Roman"/>
                <w:b w:val="0"/>
                <w:bCs/>
                <w:color w:val="auto"/>
                <w:sz w:val="21"/>
                <w:szCs w:val="21"/>
                <w:highlight w:val="none"/>
                <w:lang w:eastAsia="zh-CN"/>
              </w:rPr>
              <w:t>”</w:t>
            </w:r>
          </w:p>
          <w:p w14:paraId="3C35602A">
            <w:pPr>
              <w:keepNext w:val="0"/>
              <w:keepLines w:val="0"/>
              <w:pageBreakBefore w:val="0"/>
              <w:suppressLineNumbers w:val="0"/>
              <w:kinsoku/>
              <w:wordWrap/>
              <w:overflowPunct/>
              <w:topLinePunct w:val="0"/>
              <w:bidi w:val="0"/>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21"/>
                <w:szCs w:val="21"/>
                <w:highlight w:val="none"/>
                <w:lang w:eastAsia="zh-CN"/>
              </w:rPr>
            </w:pPr>
            <w:r>
              <w:rPr>
                <w:rFonts w:hint="eastAsia" w:ascii="Times New Roman" w:hAnsi="Times New Roman" w:eastAsia="宋体" w:cs="Times New Roman"/>
                <w:b w:val="0"/>
                <w:bCs/>
                <w:color w:val="auto"/>
                <w:sz w:val="21"/>
                <w:szCs w:val="21"/>
                <w:highlight w:val="none"/>
                <w:lang w:eastAsia="zh-CN"/>
              </w:rPr>
              <w:t>本项目厂址位于</w:t>
            </w:r>
            <w:r>
              <w:rPr>
                <w:rFonts w:hint="eastAsia"/>
                <w:color w:val="auto"/>
                <w:sz w:val="21"/>
                <w:szCs w:val="21"/>
                <w:highlight w:val="none"/>
                <w:lang w:eastAsia="zh-CN"/>
              </w:rPr>
              <w:t>黑龙江省鸡西市梨树区穆棱矿</w:t>
            </w:r>
            <w:r>
              <w:rPr>
                <w:rFonts w:hint="eastAsia" w:ascii="Times New Roman" w:hAnsi="Times New Roman" w:eastAsia="宋体" w:cs="Times New Roman"/>
                <w:b w:val="0"/>
                <w:bCs/>
                <w:color w:val="auto"/>
                <w:sz w:val="21"/>
                <w:szCs w:val="21"/>
                <w:highlight w:val="none"/>
                <w:lang w:eastAsia="zh-CN"/>
              </w:rPr>
              <w:t>，不属于《工业炉窑大气污染综合治理方案》重点区域，也不属于其附件4中的重点行业工业炉窑。</w:t>
            </w:r>
          </w:p>
          <w:p w14:paraId="44277557">
            <w:pPr>
              <w:keepNext w:val="0"/>
              <w:keepLines w:val="0"/>
              <w:widowControl/>
              <w:suppressLineNumbers w:val="0"/>
              <w:autoSpaceDE/>
              <w:autoSpaceDN/>
              <w:adjustRightInd/>
              <w:snapToGrid/>
              <w:spacing w:before="0" w:beforeAutospacing="0" w:after="0" w:afterAutospacing="0" w:line="360" w:lineRule="auto"/>
              <w:ind w:left="0" w:right="0" w:firstLine="420" w:firstLineChars="200"/>
              <w:rPr>
                <w:rFonts w:hint="default"/>
                <w:color w:val="auto"/>
                <w:szCs w:val="21"/>
                <w:highlight w:val="none"/>
              </w:rPr>
            </w:pPr>
            <w:r>
              <w:rPr>
                <w:rFonts w:hint="eastAsia"/>
                <w:color w:val="auto"/>
                <w:szCs w:val="21"/>
                <w:highlight w:val="none"/>
                <w:lang w:eastAsia="zh-CN"/>
              </w:rPr>
              <w:t>生物质燃烧器烟气</w:t>
            </w:r>
            <w:r>
              <w:rPr>
                <w:rFonts w:hint="eastAsia" w:cs="Times New Roman"/>
                <w:b w:val="0"/>
                <w:bCs w:val="0"/>
                <w:color w:val="auto"/>
                <w:sz w:val="21"/>
                <w:szCs w:val="21"/>
                <w:highlight w:val="none"/>
                <w:lang w:val="en-US" w:eastAsia="zh-CN"/>
              </w:rPr>
              <w:t>与烘干滚筒废气一同经</w:t>
            </w:r>
            <w:r>
              <w:rPr>
                <w:rFonts w:hint="eastAsia" w:ascii="Times New Roman" w:hAnsi="Times New Roman" w:eastAsia="宋体" w:cs="Times New Roman"/>
                <w:b w:val="0"/>
                <w:bCs w:val="0"/>
                <w:color w:val="auto"/>
                <w:sz w:val="21"/>
                <w:szCs w:val="21"/>
                <w:highlight w:val="none"/>
                <w:lang w:val="en-US" w:eastAsia="zh-CN"/>
              </w:rPr>
              <w:t>布袋除尘器处理后</w:t>
            </w:r>
            <w:r>
              <w:rPr>
                <w:rFonts w:hint="eastAsia" w:cs="Times New Roman"/>
                <w:b w:val="0"/>
                <w:bCs w:val="0"/>
                <w:color w:val="auto"/>
                <w:sz w:val="21"/>
                <w:szCs w:val="21"/>
                <w:highlight w:val="none"/>
                <w:lang w:val="en-US" w:eastAsia="zh-CN"/>
              </w:rPr>
              <w:t>通过</w:t>
            </w:r>
            <w:r>
              <w:rPr>
                <w:rFonts w:hint="eastAsia" w:ascii="Times New Roman" w:hAnsi="Times New Roman" w:eastAsia="宋体" w:cs="Times New Roman"/>
                <w:b w:val="0"/>
                <w:bCs w:val="0"/>
                <w:color w:val="auto"/>
                <w:sz w:val="21"/>
                <w:szCs w:val="21"/>
                <w:highlight w:val="none"/>
                <w:lang w:val="en-US" w:eastAsia="zh-CN"/>
              </w:rPr>
              <w:t>15m</w:t>
            </w:r>
            <w:r>
              <w:rPr>
                <w:rFonts w:hint="eastAsia" w:cs="Times New Roman"/>
                <w:color w:val="auto"/>
                <w:sz w:val="21"/>
                <w:szCs w:val="21"/>
                <w:highlight w:val="none"/>
                <w:lang w:val="en-US" w:eastAsia="zh-CN"/>
              </w:rPr>
              <w:t>排气筒</w:t>
            </w:r>
            <w:r>
              <w:rPr>
                <w:rFonts w:hint="eastAsia" w:ascii="Times New Roman" w:hAnsi="Times New Roman" w:eastAsia="宋体" w:cs="Times New Roman"/>
                <w:b w:val="0"/>
                <w:bCs w:val="0"/>
                <w:color w:val="auto"/>
                <w:sz w:val="21"/>
                <w:szCs w:val="21"/>
                <w:highlight w:val="none"/>
                <w:lang w:val="en-US" w:eastAsia="zh-CN"/>
              </w:rPr>
              <w:t>高空排放，，SO</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lang w:val="en-US" w:eastAsia="zh-CN"/>
              </w:rPr>
              <w:t>排放浓度</w:t>
            </w:r>
            <w:r>
              <w:rPr>
                <w:rFonts w:hint="eastAsia" w:cs="Times New Roman"/>
                <w:b w:val="0"/>
                <w:bCs w:val="0"/>
                <w:color w:val="auto"/>
                <w:sz w:val="21"/>
                <w:szCs w:val="21"/>
                <w:highlight w:val="none"/>
                <w:lang w:val="en-US" w:eastAsia="zh-CN"/>
              </w:rPr>
              <w:t>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《工业炉窑大气污染物排放标准》（GB9078-1996）中表4中二级标准，</w:t>
            </w:r>
            <w:r>
              <w:rPr>
                <w:rFonts w:hint="eastAsia" w:cs="Times New Roman"/>
                <w:b w:val="0"/>
                <w:bCs w:val="0"/>
                <w:color w:val="auto"/>
                <w:sz w:val="21"/>
                <w:szCs w:val="21"/>
                <w:highlight w:val="none"/>
                <w:lang w:val="en-US" w:eastAsia="zh-CN"/>
              </w:rPr>
              <w:t>颗粒物排放浓度及烟气黑度符合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《工业炉窑大气污染物排放标准》（GB9078-1996）中表2中二级标准</w:t>
            </w:r>
            <w:r>
              <w:rPr>
                <w:rFonts w:hint="eastAsia" w:ascii="Times New Roman" w:hAnsi="Times New Roman" w:eastAsia="宋体" w:cs="Times New Roman"/>
                <w:b w:val="0"/>
                <w:bCs/>
                <w:color w:val="auto"/>
                <w:sz w:val="21"/>
                <w:szCs w:val="21"/>
                <w:highlight w:val="none"/>
                <w:lang w:eastAsia="zh-CN"/>
              </w:rPr>
              <w:t>。</w:t>
            </w:r>
            <w:r>
              <w:rPr>
                <w:rFonts w:hint="eastAsia" w:cs="Times New Roman"/>
                <w:color w:val="auto"/>
                <w:kern w:val="0"/>
                <w:sz w:val="21"/>
                <w:szCs w:val="21"/>
                <w:highlight w:val="none"/>
                <w:lang w:val="en-US" w:eastAsia="zh-CN"/>
              </w:rPr>
              <w:t>工业炉窑周边无组织排放烟尘浓度执行</w:t>
            </w:r>
            <w:r>
              <w:rPr>
                <w:rFonts w:hint="default" w:ascii="Times New Roman" w:hAnsi="Times New Roman" w:eastAsia="宋体" w:cs="Times New Roman"/>
                <w:color w:val="auto"/>
                <w:kern w:val="0"/>
                <w:sz w:val="21"/>
                <w:szCs w:val="21"/>
                <w:highlight w:val="none"/>
              </w:rPr>
              <w:t>《工业炉窑大气污染物排放标准》（GB9078-1996）表</w:t>
            </w:r>
            <w:r>
              <w:rPr>
                <w:rFonts w:hint="eastAsia" w:ascii="Times New Roman" w:hAnsi="Times New Roman" w:eastAsia="宋体" w:cs="Times New Roman"/>
                <w:color w:val="auto"/>
                <w:kern w:val="0"/>
                <w:sz w:val="21"/>
                <w:szCs w:val="21"/>
                <w:highlight w:val="none"/>
                <w:lang w:val="en-US" w:eastAsia="zh-CN"/>
              </w:rPr>
              <w:t>3中标准限值</w:t>
            </w:r>
            <w:r>
              <w:rPr>
                <w:rFonts w:hint="eastAsia" w:ascii="Times New Roman" w:hAnsi="Times New Roman" w:eastAsia="宋体" w:cs="Times New Roman"/>
                <w:b w:val="0"/>
                <w:bCs/>
                <w:color w:val="auto"/>
                <w:sz w:val="21"/>
                <w:szCs w:val="21"/>
                <w:highlight w:val="none"/>
                <w:lang w:eastAsia="zh-CN"/>
              </w:rPr>
              <w:t>。因此本项目建设符合《工业炉窑大气污染综合治理方案》（环大气[2019]56号）相关要求</w:t>
            </w:r>
            <w:r>
              <w:rPr>
                <w:rFonts w:hint="eastAsia" w:cs="Times New Roman"/>
                <w:b w:val="0"/>
                <w:bCs/>
                <w:color w:val="auto"/>
                <w:sz w:val="21"/>
                <w:szCs w:val="21"/>
                <w:highlight w:val="none"/>
                <w:lang w:eastAsia="zh-CN"/>
              </w:rPr>
              <w:t>。</w:t>
            </w:r>
          </w:p>
          <w:p w14:paraId="14FC0E70">
            <w:pPr>
              <w:pStyle w:val="4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7、与《黑龙江省工业炉窑大气污染综合治理方案》（黑环发[2019]144号）符合性分析</w:t>
            </w:r>
          </w:p>
          <w:p w14:paraId="0B0BA961">
            <w:pPr>
              <w:pStyle w:val="4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根据《黑龙江省工业炉窑大气污染综合治理方案》（黑环发〔2019〕144号）文件中</w:t>
            </w: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优化调整产业结构。严格项目环境准入。新建涉工业炉窑的建设项目，原则上要入园区，配套建设高效环保治理设施。加大落后产能和不达标工业炉窑淘汰力度。分行业清理《产业结构调整指导目录(2019年本)》（2021年修改版）淘汰类工业炉窑。对热效率低下、敞开未封闭，装备简易落后、自动化程度低，无组织排放突出，以及无治理设施或治理设施工作落后等严重污染环境的工业炉窑，依法责令停业关闭。</w:t>
            </w:r>
            <w:r>
              <w:rPr>
                <w:rFonts w:hint="eastAsia" w:ascii="Times New Roman" w:hAnsi="Times New Roman" w:cs="Times New Roman"/>
                <w:b w:val="0"/>
                <w:bCs w:val="0"/>
                <w:color w:val="auto"/>
                <w:sz w:val="21"/>
                <w:szCs w:val="21"/>
                <w:highlight w:val="none"/>
                <w:lang w:val="en-US" w:eastAsia="zh-CN"/>
              </w:rPr>
              <w:t>”</w:t>
            </w:r>
          </w:p>
          <w:p w14:paraId="708F4195">
            <w:pPr>
              <w:pStyle w:val="4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本项目位于</w:t>
            </w:r>
            <w:r>
              <w:rPr>
                <w:rFonts w:hint="eastAsia"/>
                <w:color w:val="auto"/>
                <w:sz w:val="21"/>
                <w:szCs w:val="21"/>
                <w:highlight w:val="none"/>
                <w:lang w:eastAsia="zh-CN"/>
              </w:rPr>
              <w:t>黑龙江省鸡西市梨树区穆棱矿</w:t>
            </w:r>
            <w:r>
              <w:rPr>
                <w:rFonts w:hint="default" w:ascii="Times New Roman" w:hAnsi="Times New Roman" w:cs="Times New Roman"/>
                <w:b w:val="0"/>
                <w:bCs w:val="0"/>
                <w:color w:val="auto"/>
                <w:sz w:val="21"/>
                <w:szCs w:val="21"/>
                <w:highlight w:val="none"/>
                <w:lang w:val="en-US" w:eastAsia="zh-CN"/>
              </w:rPr>
              <w:t>，不涉及相关园区</w:t>
            </w:r>
            <w:r>
              <w:rPr>
                <w:rFonts w:hint="eastAsia" w:ascii="Times New Roman" w:hAnsi="Times New Roman" w:cs="Times New Roman"/>
                <w:b w:val="0"/>
                <w:bCs w:val="0"/>
                <w:color w:val="auto"/>
                <w:sz w:val="21"/>
                <w:szCs w:val="21"/>
                <w:highlight w:val="none"/>
                <w:lang w:val="en-US" w:eastAsia="zh-CN"/>
              </w:rPr>
              <w:t>，根据黑龙江省炉窑实际建设情况，暂无进入园区情况</w:t>
            </w:r>
            <w:r>
              <w:rPr>
                <w:rFonts w:hint="default" w:ascii="Times New Roman" w:hAnsi="Times New Roman" w:cs="Times New Roman"/>
                <w:b w:val="0"/>
                <w:bCs w:val="0"/>
                <w:color w:val="auto"/>
                <w:sz w:val="21"/>
                <w:szCs w:val="21"/>
                <w:highlight w:val="none"/>
                <w:lang w:val="en-US" w:eastAsia="zh-CN"/>
              </w:rPr>
              <w:t>；且本项目使用的生物质</w:t>
            </w:r>
            <w:r>
              <w:rPr>
                <w:rFonts w:hint="eastAsia" w:ascii="Times New Roman" w:hAnsi="Times New Roman" w:cs="Times New Roman"/>
                <w:b w:val="0"/>
                <w:bCs w:val="0"/>
                <w:color w:val="auto"/>
                <w:sz w:val="21"/>
                <w:szCs w:val="21"/>
                <w:highlight w:val="none"/>
                <w:lang w:val="en-US" w:eastAsia="zh-CN"/>
              </w:rPr>
              <w:t>燃烧器</w:t>
            </w:r>
            <w:r>
              <w:rPr>
                <w:rFonts w:hint="default" w:ascii="Times New Roman" w:hAnsi="Times New Roman" w:cs="Times New Roman"/>
                <w:b w:val="0"/>
                <w:bCs w:val="0"/>
                <w:color w:val="auto"/>
                <w:sz w:val="21"/>
                <w:szCs w:val="21"/>
                <w:highlight w:val="none"/>
                <w:lang w:val="en-US" w:eastAsia="zh-CN"/>
              </w:rPr>
              <w:t>不属于《产业结构调整指导目录(2024 )》中淘汰类工业炉窑，因此本项目符合优化调整产业结构的要求。</w:t>
            </w:r>
          </w:p>
          <w:p w14:paraId="52BF273A">
            <w:pPr>
              <w:pStyle w:val="4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加快燃料清洁低碳化替代。对以煤、石油焦、渣油、重油等为燃料 的工业炉窑，加快使用清洁低碳能源以及利用工厂余热、电厂热力等进行替代。</w:t>
            </w:r>
            <w:r>
              <w:rPr>
                <w:rFonts w:hint="eastAsia" w:ascii="Times New Roman" w:hAnsi="Times New Roman" w:cs="Times New Roman"/>
                <w:b w:val="0"/>
                <w:bCs w:val="0"/>
                <w:color w:val="auto"/>
                <w:sz w:val="21"/>
                <w:szCs w:val="21"/>
                <w:highlight w:val="none"/>
                <w:lang w:val="en-US" w:eastAsia="zh-CN"/>
              </w:rPr>
              <w:t>”</w:t>
            </w:r>
          </w:p>
          <w:p w14:paraId="5DC0B4B4">
            <w:pPr>
              <w:pStyle w:val="4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w:t>
            </w:r>
            <w:r>
              <w:rPr>
                <w:rFonts w:hint="eastAsia" w:ascii="Times New Roman" w:hAnsi="Times New Roman" w:cs="Times New Roman"/>
                <w:b w:val="0"/>
                <w:bCs w:val="0"/>
                <w:color w:val="auto"/>
                <w:sz w:val="21"/>
                <w:szCs w:val="21"/>
                <w:highlight w:val="none"/>
                <w:lang w:val="en-US" w:eastAsia="zh-CN"/>
              </w:rPr>
              <w:t>烘干用燃烧器</w:t>
            </w:r>
            <w:r>
              <w:rPr>
                <w:rFonts w:hint="default" w:ascii="Times New Roman" w:hAnsi="Times New Roman" w:cs="Times New Roman"/>
                <w:b w:val="0"/>
                <w:bCs w:val="0"/>
                <w:color w:val="auto"/>
                <w:sz w:val="21"/>
                <w:szCs w:val="21"/>
                <w:highlight w:val="none"/>
                <w:lang w:val="en-US" w:eastAsia="zh-CN"/>
              </w:rPr>
              <w:t>采用生物质</w:t>
            </w:r>
            <w:r>
              <w:rPr>
                <w:rFonts w:hint="eastAsia" w:ascii="Times New Roman" w:hAnsi="Times New Roman" w:cs="Times New Roman"/>
                <w:b w:val="0"/>
                <w:bCs w:val="0"/>
                <w:color w:val="auto"/>
                <w:sz w:val="21"/>
                <w:szCs w:val="21"/>
                <w:highlight w:val="none"/>
                <w:lang w:val="en-US" w:eastAsia="zh-CN"/>
              </w:rPr>
              <w:t>燃料</w:t>
            </w:r>
            <w:r>
              <w:rPr>
                <w:rFonts w:hint="default" w:ascii="Times New Roman" w:hAnsi="Times New Roman" w:cs="Times New Roman"/>
                <w:b w:val="0"/>
                <w:bCs w:val="0"/>
                <w:color w:val="auto"/>
                <w:sz w:val="21"/>
                <w:szCs w:val="21"/>
                <w:highlight w:val="none"/>
                <w:lang w:val="en-US" w:eastAsia="zh-CN"/>
              </w:rPr>
              <w:t>，不涉及燃煤及煤气发生炉设备，因此本项目符合加快燃料清洁低碳化替代的要求。</w:t>
            </w:r>
          </w:p>
          <w:p w14:paraId="147056F5">
            <w:pPr>
              <w:pStyle w:val="4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实施污染深度治理。推进工业炉窑全面达标排放。已有行业排放标准的工业炉窑，严格执行行业排放标准相关规定，配套建设高效脱硫脱硝除设施，确保稳定达标排放。</w:t>
            </w:r>
            <w:r>
              <w:rPr>
                <w:rFonts w:hint="eastAsia" w:ascii="Times New Roman" w:hAnsi="Times New Roman" w:cs="Times New Roman"/>
                <w:b w:val="0"/>
                <w:bCs w:val="0"/>
                <w:color w:val="auto"/>
                <w:sz w:val="21"/>
                <w:szCs w:val="21"/>
                <w:highlight w:val="none"/>
                <w:lang w:val="en-US" w:eastAsia="zh-CN"/>
              </w:rPr>
              <w:t>”</w:t>
            </w:r>
          </w:p>
          <w:p w14:paraId="5047527B">
            <w:pPr>
              <w:pStyle w:val="4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w:t>
            </w:r>
            <w:r>
              <w:rPr>
                <w:rFonts w:hint="eastAsia"/>
                <w:color w:val="auto"/>
                <w:szCs w:val="21"/>
                <w:highlight w:val="none"/>
                <w:lang w:eastAsia="zh-CN"/>
              </w:rPr>
              <w:t>生物质燃烧器烟气</w:t>
            </w:r>
            <w:r>
              <w:rPr>
                <w:rFonts w:hint="eastAsia" w:cs="Times New Roman"/>
                <w:b w:val="0"/>
                <w:bCs w:val="0"/>
                <w:color w:val="auto"/>
                <w:sz w:val="21"/>
                <w:szCs w:val="21"/>
                <w:highlight w:val="none"/>
                <w:lang w:val="en-US" w:eastAsia="zh-CN"/>
              </w:rPr>
              <w:t>与烘干滚筒废气一同经</w:t>
            </w:r>
            <w:r>
              <w:rPr>
                <w:rFonts w:hint="eastAsia" w:ascii="Times New Roman" w:hAnsi="Times New Roman" w:eastAsia="宋体" w:cs="Times New Roman"/>
                <w:b w:val="0"/>
                <w:bCs w:val="0"/>
                <w:color w:val="auto"/>
                <w:sz w:val="21"/>
                <w:szCs w:val="21"/>
                <w:highlight w:val="none"/>
                <w:lang w:val="en-US" w:eastAsia="zh-CN"/>
              </w:rPr>
              <w:t>布袋除尘器处理后</w:t>
            </w:r>
            <w:r>
              <w:rPr>
                <w:rFonts w:hint="eastAsia" w:cs="Times New Roman"/>
                <w:b w:val="0"/>
                <w:bCs w:val="0"/>
                <w:color w:val="auto"/>
                <w:sz w:val="21"/>
                <w:szCs w:val="21"/>
                <w:highlight w:val="none"/>
                <w:lang w:val="en-US" w:eastAsia="zh-CN"/>
              </w:rPr>
              <w:t>通过</w:t>
            </w:r>
            <w:r>
              <w:rPr>
                <w:rFonts w:hint="eastAsia" w:ascii="Times New Roman" w:hAnsi="Times New Roman" w:eastAsia="宋体" w:cs="Times New Roman"/>
                <w:b w:val="0"/>
                <w:bCs w:val="0"/>
                <w:color w:val="auto"/>
                <w:sz w:val="21"/>
                <w:szCs w:val="21"/>
                <w:highlight w:val="none"/>
                <w:lang w:val="en-US" w:eastAsia="zh-CN"/>
              </w:rPr>
              <w:t>15m</w:t>
            </w:r>
            <w:r>
              <w:rPr>
                <w:rFonts w:hint="eastAsia" w:cs="Times New Roman"/>
                <w:color w:val="auto"/>
                <w:sz w:val="21"/>
                <w:szCs w:val="21"/>
                <w:highlight w:val="none"/>
                <w:lang w:val="en-US" w:eastAsia="zh-CN"/>
              </w:rPr>
              <w:t>排气筒</w:t>
            </w:r>
            <w:r>
              <w:rPr>
                <w:rFonts w:hint="eastAsia" w:ascii="Times New Roman" w:hAnsi="Times New Roman" w:eastAsia="宋体" w:cs="Times New Roman"/>
                <w:b w:val="0"/>
                <w:bCs w:val="0"/>
                <w:color w:val="auto"/>
                <w:sz w:val="21"/>
                <w:szCs w:val="21"/>
                <w:highlight w:val="none"/>
                <w:lang w:val="en-US" w:eastAsia="zh-CN"/>
              </w:rPr>
              <w:t>高空排放，SO</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lang w:val="en-US" w:eastAsia="zh-CN"/>
              </w:rPr>
              <w:t>排放浓度</w:t>
            </w:r>
            <w:r>
              <w:rPr>
                <w:rFonts w:hint="eastAsia" w:cs="Times New Roman"/>
                <w:b w:val="0"/>
                <w:bCs w:val="0"/>
                <w:color w:val="auto"/>
                <w:sz w:val="21"/>
                <w:szCs w:val="21"/>
                <w:highlight w:val="none"/>
                <w:lang w:val="en-US" w:eastAsia="zh-CN"/>
              </w:rPr>
              <w:t>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《工业炉窑大气污染物排放标准》（GB9078-1996）中表4中二级标准，</w:t>
            </w:r>
            <w:r>
              <w:rPr>
                <w:rFonts w:hint="eastAsia" w:cs="Times New Roman"/>
                <w:b w:val="0"/>
                <w:bCs w:val="0"/>
                <w:color w:val="auto"/>
                <w:sz w:val="21"/>
                <w:szCs w:val="21"/>
                <w:highlight w:val="none"/>
                <w:lang w:val="en-US" w:eastAsia="zh-CN"/>
              </w:rPr>
              <w:t>颗粒物排放浓度及烟气黑度符合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《工业炉窑大气污染物排放标准》（GB9078-1996）中表2中二级标准</w:t>
            </w:r>
            <w:r>
              <w:rPr>
                <w:rFonts w:hint="eastAsia" w:ascii="Times New Roman" w:hAnsi="Times New Roman" w:eastAsia="宋体" w:cs="Times New Roman"/>
                <w:b w:val="0"/>
                <w:bCs/>
                <w:color w:val="auto"/>
                <w:sz w:val="21"/>
                <w:szCs w:val="21"/>
                <w:highlight w:val="none"/>
                <w:lang w:eastAsia="zh-CN"/>
              </w:rPr>
              <w:t>。</w:t>
            </w:r>
            <w:r>
              <w:rPr>
                <w:rFonts w:hint="eastAsia" w:cs="Times New Roman"/>
                <w:color w:val="auto"/>
                <w:kern w:val="0"/>
                <w:sz w:val="21"/>
                <w:szCs w:val="21"/>
                <w:highlight w:val="none"/>
                <w:lang w:val="en-US" w:eastAsia="zh-CN"/>
              </w:rPr>
              <w:t>工业炉窑周边无组织排放烟尘浓度执行</w:t>
            </w:r>
            <w:r>
              <w:rPr>
                <w:rFonts w:hint="default" w:ascii="Times New Roman" w:hAnsi="Times New Roman" w:eastAsia="宋体" w:cs="Times New Roman"/>
                <w:color w:val="auto"/>
                <w:kern w:val="0"/>
                <w:sz w:val="21"/>
                <w:szCs w:val="21"/>
                <w:highlight w:val="none"/>
              </w:rPr>
              <w:t>《工业炉窑大气污染物排放标准》（GB9078-1996）表</w:t>
            </w:r>
            <w:r>
              <w:rPr>
                <w:rFonts w:hint="eastAsia" w:ascii="Times New Roman" w:hAnsi="Times New Roman" w:eastAsia="宋体" w:cs="Times New Roman"/>
                <w:color w:val="auto"/>
                <w:kern w:val="0"/>
                <w:sz w:val="21"/>
                <w:szCs w:val="21"/>
                <w:highlight w:val="none"/>
                <w:lang w:val="en-US" w:eastAsia="zh-CN"/>
              </w:rPr>
              <w:t>3中标准限</w:t>
            </w:r>
            <w:r>
              <w:rPr>
                <w:rFonts w:hint="default" w:ascii="Times New Roman" w:hAnsi="Times New Roman" w:cs="Times New Roman"/>
                <w:b w:val="0"/>
                <w:bCs w:val="0"/>
                <w:color w:val="auto"/>
                <w:sz w:val="21"/>
                <w:szCs w:val="21"/>
                <w:highlight w:val="none"/>
                <w:lang w:val="en-US" w:eastAsia="zh-CN"/>
              </w:rPr>
              <w:t>值，因此本项目符合实施污染深度治理的要求。</w:t>
            </w:r>
          </w:p>
          <w:p w14:paraId="78649DD5">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rPr>
            </w:pPr>
            <w:r>
              <w:rPr>
                <w:rFonts w:hint="default" w:ascii="Times New Roman" w:hAnsi="Times New Roman" w:cs="Times New Roman"/>
                <w:b w:val="0"/>
                <w:bCs w:val="0"/>
                <w:color w:val="auto"/>
                <w:sz w:val="21"/>
                <w:szCs w:val="21"/>
                <w:highlight w:val="none"/>
                <w:lang w:val="en-US" w:eastAsia="zh-CN"/>
              </w:rPr>
              <w:t>综上所述，本项目符合《黑龙江省工业炉窑大气污染综合治理方案》要求</w:t>
            </w:r>
            <w:r>
              <w:rPr>
                <w:rFonts w:hint="default" w:ascii="Times New Roman" w:hAnsi="Times New Roman" w:eastAsia="宋体" w:cs="Times New Roman"/>
                <w:bCs/>
                <w:color w:val="auto"/>
                <w:kern w:val="0"/>
                <w:sz w:val="21"/>
                <w:szCs w:val="21"/>
                <w:highlight w:val="none"/>
              </w:rPr>
              <w:t>。</w:t>
            </w:r>
          </w:p>
          <w:p w14:paraId="12ADBF36">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textAlignment w:val="auto"/>
              <w:rPr>
                <w:rFonts w:hint="default"/>
                <w:color w:val="auto"/>
                <w:sz w:val="21"/>
                <w:szCs w:val="21"/>
                <w:highlight w:val="none"/>
              </w:rPr>
            </w:pPr>
            <w:r>
              <w:rPr>
                <w:rFonts w:hint="eastAsia" w:cs="Times New Roman"/>
                <w:b/>
                <w:bCs/>
                <w:color w:val="auto"/>
                <w:kern w:val="0"/>
                <w:sz w:val="21"/>
                <w:szCs w:val="21"/>
                <w:highlight w:val="none"/>
                <w:lang w:val="en-US" w:eastAsia="zh-CN"/>
              </w:rPr>
              <w:t>8</w:t>
            </w:r>
            <w:r>
              <w:rPr>
                <w:rFonts w:hint="default" w:ascii="Times New Roman" w:hAnsi="Times New Roman" w:eastAsia="宋体" w:cs="Times New Roman"/>
                <w:b/>
                <w:bCs/>
                <w:color w:val="auto"/>
                <w:kern w:val="0"/>
                <w:sz w:val="21"/>
                <w:szCs w:val="21"/>
                <w:highlight w:val="none"/>
                <w:lang w:val="en-US" w:eastAsia="zh-CN"/>
              </w:rPr>
              <w:t>、</w:t>
            </w:r>
            <w:r>
              <w:rPr>
                <w:rFonts w:hint="eastAsia" w:ascii="宋体" w:hAnsi="宋体" w:eastAsia="宋体" w:cs="宋体"/>
                <w:b/>
                <w:bCs/>
                <w:color w:val="auto"/>
                <w:sz w:val="21"/>
                <w:szCs w:val="21"/>
                <w:highlight w:val="none"/>
              </w:rPr>
              <w:t>与《黑龙江省“十四五”生态环境保护规划》符合性分析</w:t>
            </w:r>
          </w:p>
          <w:p w14:paraId="666DE6CB">
            <w:pPr>
              <w:pStyle w:val="30"/>
              <w:keepNext w:val="0"/>
              <w:keepLines w:val="0"/>
              <w:suppressLineNumbers w:val="0"/>
              <w:spacing w:before="0" w:beforeAutospacing="0" w:after="0" w:afterAutospacing="0" w:line="360" w:lineRule="auto"/>
              <w:ind w:left="0" w:right="0" w:firstLine="420" w:firstLineChars="200"/>
              <w:jc w:val="both"/>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《黑龙</w:t>
            </w:r>
            <w:r>
              <w:rPr>
                <w:rFonts w:hint="eastAsia" w:ascii="宋体" w:hAnsi="宋体" w:eastAsia="宋体" w:cs="宋体"/>
                <w:color w:val="auto"/>
                <w:kern w:val="2"/>
                <w:sz w:val="21"/>
                <w:szCs w:val="21"/>
                <w:highlight w:val="none"/>
              </w:rPr>
              <w:t>江省“十四五”生</w:t>
            </w:r>
            <w:r>
              <w:rPr>
                <w:rFonts w:hint="default" w:ascii="Times New Roman" w:hAnsi="Times New Roman"/>
                <w:color w:val="auto"/>
                <w:kern w:val="2"/>
                <w:sz w:val="21"/>
                <w:szCs w:val="21"/>
                <w:highlight w:val="none"/>
              </w:rPr>
              <w:t>态环境保护规划》中要求：（三）深化协同防治，全面改善空气质量。加强生物质锅炉燃料品质及排放管控，禁止掺烧煤炭、垃圾和工业固废，对不能稳定达标排放的生物质锅炉进行整改。（四）强化系统治理，持续提升水环境质量。加强农副产品加工、化工、印染等行业综合治理，推进玉米淀粉、糖醇生产、肉类及水产品加工、印染企业等清洁化改造。实现省级及以上工业园区污水集中处理全覆盖，工业企业污水稳定排放全覆盖。（五）保护寒地黑土，维护土壤环境安全。保障黑土地资源可持续利用。严格建设地块准入管理。实行建设用地土壤污染风险管控和修复名录制度。加强污染源头预防与风险管控。持续开展地下水环境状况调查评估。逐步开展地下水污染风险管控。</w:t>
            </w:r>
            <w:r>
              <w:rPr>
                <w:rFonts w:hint="eastAsia" w:ascii="宋体" w:hAnsi="宋体" w:eastAsia="宋体" w:cs="宋体"/>
                <w:color w:val="auto"/>
                <w:kern w:val="2"/>
                <w:sz w:val="21"/>
                <w:szCs w:val="21"/>
                <w:highlight w:val="none"/>
              </w:rPr>
              <w:t>实现“双源”点位</w:t>
            </w:r>
            <w:r>
              <w:rPr>
                <w:rFonts w:hint="default" w:ascii="Times New Roman" w:hAnsi="Times New Roman"/>
                <w:color w:val="auto"/>
                <w:kern w:val="2"/>
                <w:sz w:val="21"/>
                <w:szCs w:val="21"/>
                <w:highlight w:val="none"/>
              </w:rPr>
              <w:t>水质总体保持稳定。</w:t>
            </w:r>
          </w:p>
          <w:p w14:paraId="16CDCC4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eastAsia"/>
                <w:color w:val="auto"/>
                <w:szCs w:val="21"/>
                <w:highlight w:val="none"/>
                <w:lang w:eastAsia="zh-CN"/>
              </w:rPr>
              <w:t>本项目生物质燃烧器烟气</w:t>
            </w:r>
            <w:r>
              <w:rPr>
                <w:rFonts w:hint="eastAsia" w:cs="Times New Roman"/>
                <w:b w:val="0"/>
                <w:bCs w:val="0"/>
                <w:color w:val="auto"/>
                <w:sz w:val="21"/>
                <w:szCs w:val="21"/>
                <w:highlight w:val="none"/>
                <w:lang w:val="en-US" w:eastAsia="zh-CN"/>
              </w:rPr>
              <w:t>与烘干滚筒废气一同经</w:t>
            </w:r>
            <w:r>
              <w:rPr>
                <w:rFonts w:hint="eastAsia" w:ascii="Times New Roman" w:hAnsi="Times New Roman" w:eastAsia="宋体" w:cs="Times New Roman"/>
                <w:b w:val="0"/>
                <w:bCs w:val="0"/>
                <w:color w:val="auto"/>
                <w:sz w:val="21"/>
                <w:szCs w:val="21"/>
                <w:highlight w:val="none"/>
                <w:lang w:val="en-US" w:eastAsia="zh-CN"/>
              </w:rPr>
              <w:t>布袋除尘器处理后</w:t>
            </w:r>
            <w:r>
              <w:rPr>
                <w:rFonts w:hint="eastAsia" w:cs="Times New Roman"/>
                <w:b w:val="0"/>
                <w:bCs w:val="0"/>
                <w:color w:val="auto"/>
                <w:sz w:val="21"/>
                <w:szCs w:val="21"/>
                <w:highlight w:val="none"/>
                <w:lang w:val="en-US" w:eastAsia="zh-CN"/>
              </w:rPr>
              <w:t>通过</w:t>
            </w:r>
            <w:r>
              <w:rPr>
                <w:rFonts w:hint="eastAsia" w:ascii="Times New Roman" w:hAnsi="Times New Roman" w:eastAsia="宋体" w:cs="Times New Roman"/>
                <w:b w:val="0"/>
                <w:bCs w:val="0"/>
                <w:color w:val="auto"/>
                <w:sz w:val="21"/>
                <w:szCs w:val="21"/>
                <w:highlight w:val="none"/>
                <w:lang w:val="en-US" w:eastAsia="zh-CN"/>
              </w:rPr>
              <w:t>15m</w:t>
            </w:r>
            <w:r>
              <w:rPr>
                <w:rFonts w:hint="eastAsia" w:cs="Times New Roman"/>
                <w:color w:val="auto"/>
                <w:sz w:val="21"/>
                <w:szCs w:val="21"/>
                <w:highlight w:val="none"/>
                <w:lang w:val="en-US" w:eastAsia="zh-CN"/>
              </w:rPr>
              <w:t>排气筒</w:t>
            </w:r>
            <w:r>
              <w:rPr>
                <w:rFonts w:hint="eastAsia" w:ascii="Times New Roman" w:hAnsi="Times New Roman" w:eastAsia="宋体" w:cs="Times New Roman"/>
                <w:b w:val="0"/>
                <w:bCs w:val="0"/>
                <w:color w:val="auto"/>
                <w:sz w:val="21"/>
                <w:szCs w:val="21"/>
                <w:highlight w:val="none"/>
                <w:lang w:val="en-US" w:eastAsia="zh-CN"/>
              </w:rPr>
              <w:t>高空排放，SO</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lang w:val="en-US" w:eastAsia="zh-CN"/>
              </w:rPr>
              <w:t>排放浓度</w:t>
            </w:r>
            <w:r>
              <w:rPr>
                <w:rFonts w:hint="eastAsia" w:cs="Times New Roman"/>
                <w:b w:val="0"/>
                <w:bCs w:val="0"/>
                <w:color w:val="auto"/>
                <w:sz w:val="21"/>
                <w:szCs w:val="21"/>
                <w:highlight w:val="none"/>
                <w:lang w:val="en-US" w:eastAsia="zh-CN"/>
              </w:rPr>
              <w:t>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《工业炉窑大气污染物排放标准》（GB9078-1996）中表4中二级标准，</w:t>
            </w:r>
            <w:r>
              <w:rPr>
                <w:rFonts w:hint="eastAsia" w:cs="Times New Roman"/>
                <w:b w:val="0"/>
                <w:bCs w:val="0"/>
                <w:color w:val="auto"/>
                <w:sz w:val="21"/>
                <w:szCs w:val="21"/>
                <w:highlight w:val="none"/>
                <w:lang w:val="en-US" w:eastAsia="zh-CN"/>
              </w:rPr>
              <w:t>颗粒物排放浓度及烟气黑度符合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《工业炉窑大气污染物排放标准》（GB9078-1996）中表2中二级标准</w:t>
            </w:r>
            <w:r>
              <w:rPr>
                <w:rFonts w:hint="eastAsia" w:ascii="Times New Roman" w:hAnsi="Times New Roman" w:eastAsia="宋体" w:cs="Times New Roman"/>
                <w:b w:val="0"/>
                <w:bCs/>
                <w:color w:val="auto"/>
                <w:sz w:val="21"/>
                <w:szCs w:val="21"/>
                <w:highlight w:val="none"/>
                <w:lang w:eastAsia="zh-CN"/>
              </w:rPr>
              <w:t>。</w:t>
            </w:r>
            <w:r>
              <w:rPr>
                <w:rFonts w:hint="eastAsia" w:cs="Times New Roman"/>
                <w:color w:val="auto"/>
                <w:kern w:val="0"/>
                <w:sz w:val="21"/>
                <w:szCs w:val="21"/>
                <w:highlight w:val="none"/>
                <w:lang w:val="en-US" w:eastAsia="zh-CN"/>
              </w:rPr>
              <w:t>工业炉窑周边无组织排放烟尘浓度执行</w:t>
            </w:r>
            <w:r>
              <w:rPr>
                <w:rFonts w:hint="default" w:ascii="Times New Roman" w:hAnsi="Times New Roman" w:eastAsia="宋体" w:cs="Times New Roman"/>
                <w:color w:val="auto"/>
                <w:kern w:val="0"/>
                <w:sz w:val="21"/>
                <w:szCs w:val="21"/>
                <w:highlight w:val="none"/>
              </w:rPr>
              <w:t>《工业炉窑大气污染物排放标准》（GB9078-1996）表</w:t>
            </w:r>
            <w:r>
              <w:rPr>
                <w:rFonts w:hint="eastAsia" w:ascii="Times New Roman" w:hAnsi="Times New Roman" w:eastAsia="宋体" w:cs="Times New Roman"/>
                <w:color w:val="auto"/>
                <w:kern w:val="0"/>
                <w:sz w:val="21"/>
                <w:szCs w:val="21"/>
                <w:highlight w:val="none"/>
                <w:lang w:val="en-US" w:eastAsia="zh-CN"/>
              </w:rPr>
              <w:t>3中标准限值</w:t>
            </w:r>
            <w:r>
              <w:rPr>
                <w:rFonts w:hint="default"/>
                <w:color w:val="auto"/>
                <w:highlight w:val="none"/>
              </w:rPr>
              <w:t>。</w:t>
            </w:r>
            <w:r>
              <w:rPr>
                <w:rFonts w:hint="eastAsia"/>
                <w:bCs/>
                <w:color w:val="auto"/>
                <w:szCs w:val="21"/>
                <w:highlight w:val="none"/>
              </w:rPr>
              <w:t>本项目生产过程中无废水产生，</w:t>
            </w:r>
            <w:r>
              <w:rPr>
                <w:rFonts w:hint="eastAsia"/>
                <w:bCs/>
                <w:color w:val="auto"/>
                <w:szCs w:val="21"/>
                <w:highlight w:val="none"/>
                <w:lang w:eastAsia="zh-CN"/>
              </w:rPr>
              <w:t>员工生活污水排入防渗旱厕，定期清掏外运堆肥，不外排。</w:t>
            </w:r>
            <w:r>
              <w:rPr>
                <w:rFonts w:hint="default"/>
                <w:color w:val="auto"/>
                <w:highlight w:val="none"/>
              </w:rPr>
              <w:t>该项目建设不属于《黑龙江</w:t>
            </w:r>
            <w:r>
              <w:rPr>
                <w:rFonts w:hint="eastAsia" w:ascii="宋体" w:hAnsi="宋体" w:eastAsia="宋体" w:cs="宋体"/>
                <w:color w:val="auto"/>
                <w:highlight w:val="none"/>
              </w:rPr>
              <w:t>省“十四五”生</w:t>
            </w:r>
            <w:r>
              <w:rPr>
                <w:rFonts w:hint="default"/>
                <w:color w:val="auto"/>
                <w:highlight w:val="none"/>
              </w:rPr>
              <w:t>态环境保护规划》中</w:t>
            </w:r>
            <w:r>
              <w:rPr>
                <w:rFonts w:hint="eastAsia" w:ascii="宋体" w:hAnsi="宋体" w:eastAsia="宋体" w:cs="宋体"/>
                <w:color w:val="auto"/>
                <w:highlight w:val="none"/>
              </w:rPr>
              <w:t>“重点行业大气污染治理工程、水生态环境提升重大工程、土壤和地下水污染治理重大工程”中</w:t>
            </w:r>
            <w:r>
              <w:rPr>
                <w:rFonts w:hint="default"/>
                <w:color w:val="auto"/>
                <w:highlight w:val="none"/>
              </w:rPr>
              <w:t>要求内容，项目建设符合《黑龙江</w:t>
            </w:r>
            <w:r>
              <w:rPr>
                <w:rFonts w:hint="eastAsia" w:ascii="宋体" w:hAnsi="宋体" w:eastAsia="宋体" w:cs="宋体"/>
                <w:color w:val="auto"/>
                <w:highlight w:val="none"/>
              </w:rPr>
              <w:t>省“十四五”生态</w:t>
            </w:r>
            <w:r>
              <w:rPr>
                <w:rFonts w:hint="default"/>
                <w:color w:val="auto"/>
                <w:highlight w:val="none"/>
              </w:rPr>
              <w:t>环境保护规划》要求。</w:t>
            </w:r>
          </w:p>
          <w:p w14:paraId="1FBAA1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bCs/>
                <w:color w:val="auto"/>
                <w:sz w:val="21"/>
                <w:szCs w:val="21"/>
                <w:highlight w:val="none"/>
                <w:lang w:val="en-US" w:eastAsia="zh-CN"/>
              </w:rPr>
              <w:t>9</w:t>
            </w:r>
            <w:r>
              <w:rPr>
                <w:rFonts w:hint="default" w:ascii="Times New Roman" w:hAnsi="Times New Roman" w:eastAsia="宋体" w:cs="Times New Roman"/>
                <w:b/>
                <w:bCs/>
                <w:color w:val="auto"/>
                <w:sz w:val="21"/>
                <w:szCs w:val="21"/>
                <w:highlight w:val="none"/>
                <w:lang w:val="en-US" w:eastAsia="zh-CN"/>
              </w:rPr>
              <w:t>、与《黑龙江省空气质量持续改善行动计划实施方案》</w:t>
            </w:r>
            <w:r>
              <w:rPr>
                <w:rFonts w:hint="default" w:ascii="Times New Roman" w:hAnsi="Times New Roman" w:eastAsia="宋体" w:cs="Times New Roman"/>
                <w:b/>
                <w:bCs/>
                <w:color w:val="auto"/>
                <w:kern w:val="0"/>
                <w:sz w:val="21"/>
                <w:szCs w:val="21"/>
                <w:highlight w:val="none"/>
                <w:u w:val="none"/>
              </w:rPr>
              <w:t>符合性分析</w:t>
            </w:r>
          </w:p>
          <w:p w14:paraId="690127F9">
            <w:pPr>
              <w:pStyle w:val="4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i w:val="0"/>
                <w:iCs w:val="0"/>
                <w:caps w:val="0"/>
                <w:color w:val="auto"/>
                <w:spacing w:val="0"/>
                <w:sz w:val="21"/>
                <w:szCs w:val="21"/>
                <w:highlight w:val="none"/>
                <w:lang w:eastAsia="zh-CN"/>
              </w:rPr>
            </w:pPr>
            <w:r>
              <w:rPr>
                <w:rFonts w:hint="default" w:ascii="Times New Roman" w:hAnsi="Times New Roman" w:eastAsia="宋体" w:cs="Times New Roman"/>
                <w:b w:val="0"/>
                <w:bCs w:val="0"/>
                <w:color w:val="auto"/>
                <w:sz w:val="21"/>
                <w:szCs w:val="21"/>
                <w:highlight w:val="none"/>
                <w:lang w:val="en-US" w:eastAsia="zh-CN"/>
              </w:rPr>
              <w:t>《黑龙江省空气质量持续改善行动计划实施方案》中</w:t>
            </w:r>
            <w:r>
              <w:rPr>
                <w:rFonts w:hint="eastAsia" w:ascii="Times New Roman" w:hAnsi="Times New Roman" w:eastAsia="宋体" w:cs="Times New Roman"/>
                <w:b w:val="0"/>
                <w:bCs w:val="0"/>
                <w:color w:val="auto"/>
                <w:sz w:val="21"/>
                <w:szCs w:val="21"/>
                <w:highlight w:val="none"/>
                <w:lang w:val="en-US" w:eastAsia="zh-CN"/>
              </w:rPr>
              <w:t>指出</w:t>
            </w:r>
            <w:r>
              <w:rPr>
                <w:rFonts w:hint="eastAsia" w:ascii="宋体" w:hAnsi="宋体" w:eastAsia="宋体" w:cs="宋体"/>
                <w:b w:val="0"/>
                <w:bCs w:val="0"/>
                <w:color w:val="auto"/>
                <w:sz w:val="21"/>
                <w:szCs w:val="21"/>
                <w:highlight w:val="none"/>
                <w:lang w:val="en-US" w:eastAsia="zh-CN"/>
              </w:rPr>
              <w:t>“</w:t>
            </w:r>
            <w:r>
              <w:rPr>
                <w:rFonts w:hint="default" w:ascii="Times New Roman" w:hAnsi="Times New Roman" w:eastAsia="宋体" w:cs="Times New Roman"/>
                <w:b w:val="0"/>
                <w:bCs w:val="0"/>
                <w:i w:val="0"/>
                <w:iCs w:val="0"/>
                <w:caps w:val="0"/>
                <w:color w:val="auto"/>
                <w:spacing w:val="0"/>
                <w:sz w:val="21"/>
                <w:szCs w:val="21"/>
                <w:highlight w:val="none"/>
              </w:rPr>
              <w:t>在持续优化改善能源结构方面，加快推进能源结构优化，严格控制煤炭消费总量，积极推进燃煤锅炉淘汰改造，加快工业炉窑燃料清洁替代，以试点城市为引领持续推进清洁取暖，积极推进散煤污染治理</w:t>
            </w:r>
            <w:r>
              <w:rPr>
                <w:rFonts w:hint="eastAsia" w:ascii="Times New Roman" w:hAnsi="Times New Roman" w:eastAsia="宋体" w:cs="Times New Roman"/>
                <w:b w:val="0"/>
                <w:bCs w:val="0"/>
                <w:i w:val="0"/>
                <w:iCs w:val="0"/>
                <w:caps w:val="0"/>
                <w:color w:val="auto"/>
                <w:spacing w:val="0"/>
                <w:sz w:val="21"/>
                <w:szCs w:val="21"/>
                <w:highlight w:val="none"/>
                <w:lang w:eastAsia="zh-CN"/>
              </w:rPr>
              <w:t>。”“</w:t>
            </w:r>
            <w:r>
              <w:rPr>
                <w:rFonts w:hint="default" w:ascii="Times New Roman" w:hAnsi="Times New Roman" w:eastAsia="宋体" w:cs="Times New Roman"/>
                <w:b w:val="0"/>
                <w:bCs w:val="0"/>
                <w:i w:val="0"/>
                <w:iCs w:val="0"/>
                <w:caps w:val="0"/>
                <w:color w:val="auto"/>
                <w:spacing w:val="0"/>
                <w:sz w:val="21"/>
                <w:szCs w:val="21"/>
                <w:highlight w:val="none"/>
              </w:rPr>
              <w:t>在持续加强面源污染治理方面，深化扬尘污染综合治理，推进矿山生态环境综合整治，加强秸秆综合利用和禁烧管控，加强秸秆综合利用和禁烧管控。</w:t>
            </w:r>
            <w:r>
              <w:rPr>
                <w:rFonts w:hint="eastAsia" w:ascii="Times New Roman" w:hAnsi="Times New Roman" w:eastAsia="宋体" w:cs="Times New Roman"/>
                <w:b w:val="0"/>
                <w:bCs w:val="0"/>
                <w:i w:val="0"/>
                <w:iCs w:val="0"/>
                <w:caps w:val="0"/>
                <w:color w:val="auto"/>
                <w:spacing w:val="0"/>
                <w:sz w:val="21"/>
                <w:szCs w:val="21"/>
                <w:highlight w:val="none"/>
                <w:lang w:eastAsia="zh-CN"/>
              </w:rPr>
              <w:t>”</w:t>
            </w:r>
          </w:p>
          <w:p w14:paraId="630AD9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b w:val="0"/>
                <w:bCs w:val="0"/>
                <w:color w:val="auto"/>
                <w:sz w:val="21"/>
                <w:szCs w:val="21"/>
                <w:highlight w:val="none"/>
                <w:lang w:val="en-US" w:eastAsia="zh-CN"/>
              </w:rPr>
            </w:pPr>
            <w:r>
              <w:rPr>
                <w:rFonts w:hint="eastAsia" w:cs="Times New Roman"/>
                <w:color w:val="auto"/>
                <w:kern w:val="21"/>
                <w:sz w:val="21"/>
                <w:szCs w:val="21"/>
                <w:highlight w:val="none"/>
                <w:vertAlign w:val="baseline"/>
                <w:lang w:val="en-US" w:eastAsia="zh-CN"/>
              </w:rPr>
              <w:t>本项目属于秸秆综合利用项目，</w:t>
            </w:r>
            <w:r>
              <w:rPr>
                <w:rFonts w:hint="eastAsia" w:cs="Times New Roman"/>
                <w:bCs/>
                <w:color w:val="auto"/>
                <w:kern w:val="0"/>
                <w:sz w:val="21"/>
                <w:szCs w:val="21"/>
                <w:highlight w:val="none"/>
                <w:lang w:val="en-US" w:eastAsia="zh-CN"/>
              </w:rPr>
              <w:t>新建2台360万kcal/h</w:t>
            </w:r>
            <w:r>
              <w:rPr>
                <w:rFonts w:hint="eastAsia" w:cs="Times New Roman"/>
                <w:bCs/>
                <w:color w:val="auto"/>
                <w:kern w:val="0"/>
                <w:sz w:val="21"/>
                <w:szCs w:val="21"/>
                <w:highlight w:val="none"/>
                <w:lang w:eastAsia="zh-CN"/>
              </w:rPr>
              <w:t>生物质燃烧器</w:t>
            </w:r>
            <w:r>
              <w:rPr>
                <w:rFonts w:hint="eastAsia" w:ascii="Times New Roman" w:hAnsi="Times New Roman" w:eastAsia="宋体" w:cs="Times New Roman"/>
                <w:bCs/>
                <w:color w:val="auto"/>
                <w:kern w:val="0"/>
                <w:sz w:val="21"/>
                <w:szCs w:val="21"/>
                <w:highlight w:val="none"/>
                <w:lang w:val="en-US" w:eastAsia="zh-CN"/>
              </w:rPr>
              <w:t>用于烘干用热，</w:t>
            </w:r>
            <w:r>
              <w:rPr>
                <w:rFonts w:hint="eastAsia" w:cs="Times New Roman"/>
                <w:bCs/>
                <w:color w:val="auto"/>
                <w:kern w:val="0"/>
                <w:sz w:val="21"/>
                <w:szCs w:val="21"/>
                <w:highlight w:val="none"/>
                <w:lang w:val="en-US" w:eastAsia="zh-CN"/>
              </w:rPr>
              <w:t>燃料为生物质成型颗粒，不涉及燃煤使用。</w:t>
            </w:r>
            <w:r>
              <w:rPr>
                <w:rFonts w:hint="eastAsia" w:cs="Times New Roman"/>
                <w:b w:val="0"/>
                <w:bCs w:val="0"/>
                <w:i w:val="0"/>
                <w:iCs w:val="0"/>
                <w:caps w:val="0"/>
                <w:color w:val="auto"/>
                <w:spacing w:val="0"/>
                <w:sz w:val="21"/>
                <w:szCs w:val="21"/>
                <w:highlight w:val="none"/>
                <w:lang w:val="en-US" w:eastAsia="zh-CN"/>
              </w:rPr>
              <w:t>本项目</w:t>
            </w:r>
            <w:r>
              <w:rPr>
                <w:rFonts w:hint="eastAsia" w:cs="Times New Roman"/>
                <w:b w:val="0"/>
                <w:bCs w:val="0"/>
                <w:color w:val="auto"/>
                <w:sz w:val="21"/>
                <w:szCs w:val="21"/>
                <w:highlight w:val="none"/>
                <w:lang w:val="en-US" w:eastAsia="zh-CN"/>
              </w:rPr>
              <w:t>符合</w:t>
            </w:r>
            <w:r>
              <w:rPr>
                <w:rFonts w:hint="default" w:ascii="Times New Roman" w:hAnsi="Times New Roman" w:eastAsia="宋体" w:cs="Times New Roman"/>
                <w:b w:val="0"/>
                <w:bCs w:val="0"/>
                <w:color w:val="auto"/>
                <w:sz w:val="21"/>
                <w:szCs w:val="21"/>
                <w:highlight w:val="none"/>
                <w:lang w:val="en-US" w:eastAsia="zh-CN"/>
              </w:rPr>
              <w:t>《黑龙江省空气质量持续改善行动计划实施方案》</w:t>
            </w:r>
            <w:r>
              <w:rPr>
                <w:rFonts w:hint="eastAsia" w:cs="Times New Roman"/>
                <w:b w:val="0"/>
                <w:bCs w:val="0"/>
                <w:color w:val="auto"/>
                <w:sz w:val="21"/>
                <w:szCs w:val="21"/>
                <w:highlight w:val="none"/>
                <w:lang w:val="en-US" w:eastAsia="zh-CN"/>
              </w:rPr>
              <w:t>中要求。</w:t>
            </w:r>
          </w:p>
          <w:p w14:paraId="294CA804">
            <w:pPr>
              <w:pStyle w:val="16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ind w:left="0" w:right="0" w:firstLine="422" w:firstLineChars="200"/>
              <w:jc w:val="both"/>
              <w:textAlignment w:val="auto"/>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cs="Times New Roman"/>
                <w:b/>
                <w:bCs/>
                <w:color w:val="auto"/>
                <w:sz w:val="21"/>
                <w:szCs w:val="21"/>
                <w:highlight w:val="none"/>
                <w:lang w:val="en-US" w:eastAsia="zh-CN"/>
              </w:rPr>
              <w:t>10</w:t>
            </w:r>
            <w:r>
              <w:rPr>
                <w:rFonts w:hint="default" w:ascii="Times New Roman" w:hAnsi="Times New Roman" w:cs="Times New Roman"/>
                <w:b/>
                <w:bCs/>
                <w:color w:val="auto"/>
                <w:sz w:val="21"/>
                <w:szCs w:val="21"/>
                <w:highlight w:val="none"/>
              </w:rPr>
              <w:t>、</w:t>
            </w:r>
            <w:r>
              <w:rPr>
                <w:rFonts w:hint="default" w:ascii="Times New Roman" w:hAnsi="Times New Roman" w:eastAsia="宋体" w:cs="Times New Roman"/>
                <w:b/>
                <w:bCs/>
                <w:color w:val="auto"/>
                <w:kern w:val="2"/>
                <w:sz w:val="21"/>
                <w:szCs w:val="21"/>
                <w:highlight w:val="none"/>
                <w:lang w:val="en-US" w:eastAsia="zh-CN" w:bidi="ar-SA"/>
              </w:rPr>
              <w:t>与《鸡西市人民政府印发鸡西市“十四五”生态环境保护规划的通知》，（鸡政规〔2022〕7号）符合性分析</w:t>
            </w:r>
          </w:p>
          <w:p w14:paraId="2ECE7E4C">
            <w:pPr>
              <w:pStyle w:val="1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eastAsia="宋体" w:cs="Times New Roman"/>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w:t>
            </w:r>
            <w:r>
              <w:rPr>
                <w:rFonts w:hint="eastAsia" w:ascii="Times New Roman" w:hAnsi="Times New Roman" w:eastAsia="宋体" w:cs="Times New Roman"/>
                <w:color w:val="auto"/>
                <w:kern w:val="0"/>
                <w:sz w:val="21"/>
                <w:szCs w:val="21"/>
                <w:highlight w:val="none"/>
                <w:lang w:val="en-US" w:eastAsia="zh-CN" w:bidi="ar"/>
              </w:rPr>
              <w:t>鸡西市“十四五”生态环境保护规划</w:t>
            </w:r>
            <w:r>
              <w:rPr>
                <w:rFonts w:hint="default" w:ascii="Times New Roman" w:hAnsi="Times New Roman" w:eastAsia="宋体" w:cs="Times New Roman"/>
                <w:color w:val="auto"/>
                <w:kern w:val="0"/>
                <w:sz w:val="21"/>
                <w:szCs w:val="21"/>
                <w:highlight w:val="none"/>
                <w:lang w:val="en-US" w:eastAsia="zh-CN" w:bidi="ar"/>
              </w:rPr>
              <w:t>》中</w:t>
            </w:r>
            <w:r>
              <w:rPr>
                <w:rFonts w:hint="eastAsia" w:ascii="Times New Roman" w:hAnsi="Times New Roman" w:eastAsia="宋体" w:cs="Times New Roman"/>
                <w:color w:val="auto"/>
                <w:kern w:val="0"/>
                <w:sz w:val="21"/>
                <w:szCs w:val="21"/>
                <w:highlight w:val="none"/>
                <w:lang w:val="en-US" w:eastAsia="zh-CN" w:bidi="ar"/>
              </w:rPr>
              <w:t>提出：“优化能源供给结构。建设清洁低碳、安全高效的能源体系。严格控制煤炭消费总量增速，实施煤炭消费减量替代，推动煤炭等化石能源清洁高效利用。实施能耗总量和强度双控，大幅降低能耗强度。实施可再生能源替代行动，促进非化石能源成为能源消费增量的主体。优化电力生产和输送通道布局，提高能源输配效率。优化风电、光伏发电布局。优先发展新能源产业，探索开展绿色能源利用。实施终端用能清洁化替代。重点削减小型燃煤锅炉、民用散煤与农业用煤消费量，降低煤炭在终端分散利用比例，对以煤、石焦油、渣油、重油等为燃料的锅炉和工业炉窑，加快使用清洁低碳能源以及工厂余热、电力热力等进行替代。加快推进煤城新能源项目建设。到2025年，全市清洁取暖率提高到40%以上。加大燃煤污染治理力度。深入实施散煤污染治理“三重一改”攻坚行动，统筹全市棚户区、城中村、城乡结合部、商户和农村地区散煤污染治理，按照“煤炭集中使用、清洁利用”原则，重点削减散煤、工业锅炉、工业炉窑等非电用煤，以“煤改气”“煤改电”为主要方式，降低煤炭在能源消费中的比重。持续推进清洁取暖，加快生物质成型燃料供暖，构建绿色、节约、高效、协调、适用的清洁供暖体系。市主城区建成区基本实现散煤清零。加快淘汰全市建成区10—35蒸吨/小时燃煤锅炉，推进65蒸吨/小时及以上燃煤锅炉（含电力）超低排放改造，实现20蒸吨/小时及以上锅炉稳定达标排放全覆盖。”</w:t>
            </w:r>
          </w:p>
          <w:p w14:paraId="7A153F8F">
            <w:pPr>
              <w:pStyle w:val="1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cs="Times New Roman"/>
                <w:b w:val="0"/>
                <w:bCs w:val="0"/>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本项目使用生物质成型燃料，</w:t>
            </w:r>
            <w:r>
              <w:rPr>
                <w:rFonts w:hint="eastAsia" w:ascii="Times New Roman" w:hAnsi="Times New Roman" w:eastAsia="宋体" w:cs="Times New Roman"/>
                <w:color w:val="auto"/>
                <w:kern w:val="0"/>
                <w:sz w:val="21"/>
                <w:szCs w:val="21"/>
                <w:highlight w:val="none"/>
                <w:lang w:val="en-US" w:eastAsia="zh-CN" w:bidi="ar"/>
              </w:rPr>
              <w:t>不燃烧煤炭，生物质成型燃料是一种洁净低碳的可再生能源，符合</w:t>
            </w:r>
            <w:r>
              <w:rPr>
                <w:rFonts w:hint="default" w:ascii="Times New Roman" w:hAnsi="Times New Roman" w:eastAsia="宋体" w:cs="Times New Roman"/>
                <w:color w:val="auto"/>
                <w:kern w:val="0"/>
                <w:sz w:val="21"/>
                <w:szCs w:val="21"/>
                <w:highlight w:val="none"/>
                <w:lang w:val="en-US" w:eastAsia="zh-CN" w:bidi="ar"/>
              </w:rPr>
              <w:t>《</w:t>
            </w:r>
            <w:r>
              <w:rPr>
                <w:rFonts w:hint="eastAsia" w:ascii="Times New Roman" w:hAnsi="Times New Roman" w:eastAsia="宋体" w:cs="Times New Roman"/>
                <w:color w:val="auto"/>
                <w:kern w:val="0"/>
                <w:sz w:val="21"/>
                <w:szCs w:val="21"/>
                <w:highlight w:val="none"/>
                <w:lang w:val="en-US" w:eastAsia="zh-CN" w:bidi="ar"/>
              </w:rPr>
              <w:t>鸡西市“十四五”生态环境保护规划》中提出：优化能源供给结构。建设清洁低碳、安全高效的能源体系。</w:t>
            </w:r>
          </w:p>
          <w:p w14:paraId="33770B83">
            <w:pPr>
              <w:pStyle w:val="108"/>
              <w:keepNext w:val="0"/>
              <w:keepLines w:val="0"/>
              <w:suppressLineNumbers w:val="0"/>
              <w:spacing w:before="0" w:beforeAutospacing="0" w:after="0" w:afterAutospacing="0"/>
              <w:ind w:left="0" w:leftChars="0" w:right="0" w:firstLine="422" w:firstLineChars="200"/>
              <w:jc w:val="both"/>
              <w:rPr>
                <w:rFonts w:hint="default" w:ascii="Times New Roman" w:hAnsi="Times New Roman" w:eastAsia="宋体" w:cs="Times New Roman"/>
                <w:b/>
                <w:bCs/>
                <w:color w:val="auto"/>
                <w:kern w:val="2"/>
                <w:sz w:val="21"/>
                <w:szCs w:val="21"/>
                <w:highlight w:val="none"/>
                <w:lang w:val="en-US" w:eastAsia="zh-CN" w:bidi="ar-SA"/>
              </w:rPr>
            </w:pPr>
            <w:r>
              <w:rPr>
                <w:rFonts w:hint="eastAsia" w:cs="Times New Roman"/>
                <w:b/>
                <w:bCs/>
                <w:color w:val="auto"/>
                <w:sz w:val="21"/>
                <w:szCs w:val="21"/>
                <w:highlight w:val="none"/>
                <w:lang w:val="en-US" w:eastAsia="zh-CN"/>
              </w:rPr>
              <w:t>11、</w:t>
            </w:r>
            <w:r>
              <w:rPr>
                <w:rFonts w:hint="default" w:ascii="Times New Roman" w:hAnsi="Times New Roman" w:eastAsia="宋体" w:cs="Times New Roman"/>
                <w:b/>
                <w:bCs/>
                <w:color w:val="auto"/>
                <w:kern w:val="2"/>
                <w:sz w:val="21"/>
                <w:szCs w:val="21"/>
                <w:highlight w:val="none"/>
                <w:lang w:val="en-US" w:eastAsia="zh-CN" w:bidi="ar-SA"/>
              </w:rPr>
              <w:t>与《鸡西市人民政府印发鸡西市空气质量持续改善行动计划贯彻落实方案的通知》（鸡政发〔2024〕6号）符合性分析</w:t>
            </w:r>
          </w:p>
          <w:p w14:paraId="33C4C09F">
            <w:pPr>
              <w:pStyle w:val="1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《鸡西市人民政府印发鸡西市空气质量持续改善行动计划贯彻落实方案的通知》（鸡政发〔2024〕6号）</w:t>
            </w:r>
            <w:r>
              <w:rPr>
                <w:rFonts w:hint="eastAsia" w:ascii="Times New Roman" w:hAnsi="Times New Roman" w:eastAsia="宋体" w:cs="Times New Roman"/>
                <w:color w:val="auto"/>
                <w:sz w:val="21"/>
                <w:szCs w:val="21"/>
                <w:highlight w:val="none"/>
                <w:lang w:val="en-US" w:eastAsia="zh-CN"/>
              </w:rPr>
              <w:t>中提出：</w:t>
            </w:r>
          </w:p>
          <w:p w14:paraId="3953CBD3">
            <w:pPr>
              <w:pStyle w:val="1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二、持续推进产业结构调整</w:t>
            </w:r>
          </w:p>
          <w:p w14:paraId="04FE79E7">
            <w:pPr>
              <w:pStyle w:val="1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（五）加快退出重点行业落后产能。严格执行《产业结构调整指导目录》要求，加快退出淘汰类产能、工艺、装备，提高限制类产能、工艺、装备淘汰改造引导力度。</w:t>
            </w:r>
          </w:p>
          <w:p w14:paraId="00B55521">
            <w:pPr>
              <w:pStyle w:val="1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三、持续优化改善能源结构</w:t>
            </w:r>
          </w:p>
          <w:p w14:paraId="0241EA21">
            <w:pPr>
              <w:pStyle w:val="1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十</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严格合理控制煤炭消费总量。全市原则上不再新增自备燃煤机组，按要求支持自备燃煤机组实施清洁能源替代。合理保障支撑电力稳定供应、电网安全运行、清洁能源大规模并网消纳的煤电项目及其用煤量。鼓励锅炉生产制造企业优化锅炉设计，应用新材料、新技术、新工艺，通过优化参数和燃料结构、采用新型热力循环等方式，从源头提高锅炉绿色低碳水平。到2025年，全市煤炭消费比重在2020年基础上下降4%左右。</w:t>
            </w:r>
          </w:p>
          <w:p w14:paraId="5EB215AA">
            <w:pPr>
              <w:pStyle w:val="1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十一）持续开展燃煤锅炉淘汰改造。有序推进小型电站锅炉和服役时间超过15年的老旧低效工业锅炉淘汰工作。将燃煤供热锅炉替代项目纳入城镇供热规划。县级及以上城市建成区原则上不再新建35蒸吨/小时及以下燃煤锅炉，其他地区原则上不再新建10蒸吨/小时及以下燃煤锅炉和2蒸吨/小时及以下生物质锅炉。加快热力管网建设，推广中长距离供热，加快替代供热管网覆盖范围内的小型燃煤锅炉，充分释放热电联产、工业余热等供热能力。到2025年，全市淘汰管网覆盖范围内的供热燃煤锅炉；细颗粒物（PM2.5）未达标县（市）区基本淘汰10蒸吨/小时及以下的燃煤锅炉。</w:t>
            </w:r>
          </w:p>
          <w:p w14:paraId="448277A3">
            <w:pPr>
              <w:pStyle w:val="1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eastAsia" w:ascii="Times New Roman" w:hAnsi="Times New Roman" w:eastAsia="宋体" w:cs="Times New Roman"/>
                <w:color w:val="auto"/>
                <w:sz w:val="21"/>
                <w:szCs w:val="21"/>
                <w:highlight w:val="none"/>
                <w:lang w:val="en-US" w:eastAsia="zh-CN"/>
              </w:rPr>
            </w:pPr>
            <w:r>
              <w:rPr>
                <w:rFonts w:hint="eastAsia" w:ascii="宋体" w:hAnsi="宋体" w:cs="宋体"/>
                <w:b w:val="0"/>
                <w:bCs w:val="0"/>
                <w:color w:val="auto"/>
                <w:sz w:val="21"/>
                <w:szCs w:val="21"/>
                <w:highlight w:val="none"/>
              </w:rPr>
              <w:t>根据《产业结构调整指导目录（</w:t>
            </w:r>
            <w:r>
              <w:rPr>
                <w:rFonts w:hint="default" w:ascii="Times New Roman" w:hAnsi="Times New Roman" w:cs="Times New Roman"/>
                <w:b w:val="0"/>
                <w:bCs w:val="0"/>
                <w:color w:val="auto"/>
                <w:sz w:val="21"/>
                <w:szCs w:val="21"/>
                <w:highlight w:val="none"/>
              </w:rPr>
              <w:t>2024</w:t>
            </w:r>
            <w:r>
              <w:rPr>
                <w:rFonts w:hint="eastAsia" w:ascii="宋体" w:hAnsi="宋体" w:cs="宋体"/>
                <w:b w:val="0"/>
                <w:bCs w:val="0"/>
                <w:color w:val="auto"/>
                <w:sz w:val="21"/>
                <w:szCs w:val="21"/>
                <w:highlight w:val="none"/>
              </w:rPr>
              <w:t>年本）》，</w:t>
            </w:r>
            <w:r>
              <w:rPr>
                <w:rFonts w:hint="eastAsia"/>
                <w:color w:val="auto"/>
                <w:sz w:val="21"/>
                <w:szCs w:val="21"/>
                <w:highlight w:val="none"/>
                <w:lang w:val="en-US" w:eastAsia="zh-CN"/>
              </w:rPr>
              <w:t>本项目属于“第一类 鼓励类”中“17、可再生资源综合利用：</w:t>
            </w:r>
            <w:r>
              <w:rPr>
                <w:rFonts w:hint="default" w:ascii="Times New Roman" w:hAnsi="Times New Roman" w:eastAsia="宋体" w:cs="Times New Roman"/>
                <w:color w:val="auto"/>
                <w:kern w:val="0"/>
                <w:sz w:val="21"/>
                <w:szCs w:val="21"/>
                <w:highlight w:val="none"/>
                <w:lang w:val="en-US" w:eastAsia="zh-CN" w:bidi="ar"/>
              </w:rPr>
              <w:t>农作物秸秆综合利用（秸秆收储运体系建设、秸秆肥料化利用、秸秆饲料化利用、秸秆能源化利用、秸秆基料化利用、秸秆原料化利用等</w:t>
            </w:r>
            <w:r>
              <w:rPr>
                <w:rFonts w:hint="default" w:ascii="Times New Roman" w:hAnsi="Times New Roman" w:eastAsia="宋体" w:cs="Times New Roman"/>
                <w:color w:val="auto"/>
                <w:sz w:val="21"/>
                <w:szCs w:val="21"/>
                <w:highlight w:val="none"/>
                <w:lang w:eastAsia="zh-CN"/>
              </w:rPr>
              <w:t>）</w:t>
            </w:r>
            <w:r>
              <w:rPr>
                <w:rFonts w:hint="eastAsia" w:ascii="宋体" w:hAnsi="宋体" w:eastAsia="宋体" w:cs="宋体"/>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不属于</w:t>
            </w:r>
            <w:r>
              <w:rPr>
                <w:rFonts w:hint="default" w:ascii="Times New Roman" w:hAnsi="Times New Roman" w:eastAsia="宋体" w:cs="Times New Roman"/>
                <w:color w:val="auto"/>
                <w:sz w:val="21"/>
                <w:szCs w:val="21"/>
                <w:highlight w:val="none"/>
                <w:lang w:val="en-US" w:eastAsia="zh-CN"/>
              </w:rPr>
              <w:t>《鸡西市人民政府印发鸡西市空气质量持续改善行动计划贯彻落实方案的通知》（鸡政发〔2024〕6号）</w:t>
            </w:r>
            <w:r>
              <w:rPr>
                <w:rFonts w:hint="eastAsia" w:eastAsia="宋体" w:cs="Times New Roman"/>
                <w:color w:val="auto"/>
                <w:sz w:val="21"/>
                <w:szCs w:val="21"/>
                <w:highlight w:val="none"/>
                <w:lang w:val="en-US" w:eastAsia="zh-CN"/>
              </w:rPr>
              <w:t>中</w:t>
            </w:r>
            <w:r>
              <w:rPr>
                <w:rFonts w:hint="eastAsia" w:cs="Times New Roman"/>
                <w:color w:val="auto"/>
                <w:sz w:val="21"/>
                <w:szCs w:val="21"/>
                <w:highlight w:val="none"/>
                <w:lang w:val="en-US" w:eastAsia="zh-CN"/>
              </w:rPr>
              <w:t>提出的</w:t>
            </w:r>
            <w:r>
              <w:rPr>
                <w:rFonts w:hint="eastAsia"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加快退出重点行业落后产能</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加快退出淘汰类产能、工艺、装备</w:t>
            </w:r>
            <w:r>
              <w:rPr>
                <w:rFonts w:hint="eastAsia" w:cs="Times New Roman"/>
                <w:color w:val="auto"/>
                <w:sz w:val="21"/>
                <w:szCs w:val="21"/>
                <w:highlight w:val="none"/>
                <w:lang w:val="en-US" w:eastAsia="zh-CN"/>
              </w:rPr>
              <w:t>。</w:t>
            </w:r>
          </w:p>
          <w:p w14:paraId="097CE3B0">
            <w:pPr>
              <w:pStyle w:val="16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rPr>
                <w:rFonts w:hint="default" w:cs="Times New Roman"/>
                <w:b w:val="0"/>
                <w:bCs w:val="0"/>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w:t>
            </w:r>
            <w:r>
              <w:rPr>
                <w:rFonts w:hint="eastAsia" w:cs="Times New Roman"/>
                <w:bCs/>
                <w:color w:val="auto"/>
                <w:kern w:val="0"/>
                <w:sz w:val="21"/>
                <w:szCs w:val="21"/>
                <w:highlight w:val="none"/>
                <w:lang w:val="en-US" w:eastAsia="zh-CN"/>
              </w:rPr>
              <w:t>新建2台360万kcal/h</w:t>
            </w:r>
            <w:r>
              <w:rPr>
                <w:rFonts w:hint="default" w:ascii="Times New Roman" w:hAnsi="Times New Roman" w:eastAsia="宋体" w:cs="Times New Roman"/>
                <w:bCs/>
                <w:color w:val="auto"/>
                <w:kern w:val="0"/>
                <w:sz w:val="21"/>
                <w:szCs w:val="21"/>
                <w:highlight w:val="none"/>
                <w:lang w:eastAsia="zh-CN"/>
              </w:rPr>
              <w:t>生物质</w:t>
            </w:r>
            <w:r>
              <w:rPr>
                <w:rFonts w:hint="eastAsia" w:cs="Times New Roman"/>
                <w:bCs/>
                <w:color w:val="auto"/>
                <w:kern w:val="0"/>
                <w:sz w:val="21"/>
                <w:szCs w:val="21"/>
                <w:highlight w:val="none"/>
                <w:lang w:eastAsia="zh-CN"/>
              </w:rPr>
              <w:t>燃烧器</w:t>
            </w:r>
            <w:r>
              <w:rPr>
                <w:rFonts w:hint="eastAsia" w:ascii="Times New Roman" w:hAnsi="Times New Roman" w:eastAsia="宋体" w:cs="Times New Roman"/>
                <w:bCs/>
                <w:color w:val="auto"/>
                <w:kern w:val="0"/>
                <w:sz w:val="21"/>
                <w:szCs w:val="21"/>
                <w:highlight w:val="none"/>
                <w:lang w:val="en-US" w:eastAsia="zh-CN"/>
              </w:rPr>
              <w:t>用于烘干用热，</w:t>
            </w:r>
            <w:r>
              <w:rPr>
                <w:rFonts w:hint="eastAsia" w:cs="Times New Roman"/>
                <w:bCs/>
                <w:color w:val="auto"/>
                <w:kern w:val="0"/>
                <w:sz w:val="21"/>
                <w:szCs w:val="21"/>
                <w:highlight w:val="none"/>
                <w:lang w:val="en-US" w:eastAsia="zh-CN"/>
              </w:rPr>
              <w:t>燃料为生物质成型颗粒</w:t>
            </w:r>
            <w:r>
              <w:rPr>
                <w:rFonts w:hint="eastAsia" w:ascii="Times New Roman" w:hAnsi="Times New Roman" w:eastAsia="宋体" w:cs="Times New Roman"/>
                <w:color w:val="auto"/>
                <w:sz w:val="21"/>
                <w:szCs w:val="21"/>
                <w:highlight w:val="none"/>
                <w:lang w:val="en-US" w:eastAsia="zh-CN"/>
              </w:rPr>
              <w:t>，不增加煤炭用量，符合</w:t>
            </w:r>
            <w:r>
              <w:rPr>
                <w:rFonts w:hint="default" w:ascii="Times New Roman" w:hAnsi="Times New Roman" w:eastAsia="宋体" w:cs="Times New Roman"/>
                <w:color w:val="auto"/>
                <w:sz w:val="21"/>
                <w:szCs w:val="21"/>
                <w:highlight w:val="none"/>
                <w:lang w:val="en-US" w:eastAsia="zh-CN"/>
              </w:rPr>
              <w:t>《鸡西市人民政府印发鸡西市空气质量持续改善行动计划贯彻落实方案的通知》（鸡政发〔2024〕6号）</w:t>
            </w:r>
            <w:r>
              <w:rPr>
                <w:rFonts w:hint="eastAsia" w:eastAsia="宋体" w:cs="Times New Roman"/>
                <w:color w:val="auto"/>
                <w:sz w:val="21"/>
                <w:szCs w:val="21"/>
                <w:highlight w:val="none"/>
                <w:lang w:val="en-US" w:eastAsia="zh-CN"/>
              </w:rPr>
              <w:t>中“</w:t>
            </w:r>
            <w:r>
              <w:rPr>
                <w:rFonts w:hint="default" w:ascii="Times New Roman" w:hAnsi="Times New Roman" w:eastAsia="宋体" w:cs="Times New Roman"/>
                <w:color w:val="auto"/>
                <w:sz w:val="21"/>
                <w:szCs w:val="21"/>
                <w:highlight w:val="none"/>
              </w:rPr>
              <w:t>严格合理控制煤炭消费总量</w:t>
            </w:r>
            <w:r>
              <w:rPr>
                <w:rFonts w:hint="eastAsia" w:eastAsia="宋体" w:cs="Times New Roman"/>
                <w:color w:val="auto"/>
                <w:sz w:val="21"/>
                <w:szCs w:val="21"/>
                <w:highlight w:val="none"/>
                <w:lang w:eastAsia="zh-CN"/>
              </w:rPr>
              <w:t>”</w:t>
            </w:r>
            <w:r>
              <w:rPr>
                <w:rFonts w:hint="eastAsia" w:eastAsia="宋体" w:cs="Times New Roman"/>
                <w:color w:val="auto"/>
                <w:sz w:val="21"/>
                <w:szCs w:val="21"/>
                <w:highlight w:val="none"/>
                <w:lang w:val="en-US" w:eastAsia="zh-CN"/>
              </w:rPr>
              <w:t>要求。</w:t>
            </w:r>
          </w:p>
          <w:p w14:paraId="6DCE167C">
            <w:pPr>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val="0"/>
              <w:spacing w:before="0" w:beforeAutospacing="0" w:after="0" w:afterAutospacing="0" w:line="360" w:lineRule="auto"/>
              <w:ind w:left="0" w:leftChars="0" w:right="0" w:rightChars="0" w:firstLine="422" w:firstLineChars="200"/>
              <w:jc w:val="left"/>
              <w:textAlignment w:val="auto"/>
              <w:rPr>
                <w:rFonts w:hint="eastAsia" w:ascii="Times New Roman" w:hAnsi="Times New Roman" w:eastAsia="宋体" w:cs="Times New Roman"/>
                <w:b/>
                <w:bCs/>
                <w:color w:val="auto"/>
                <w:kern w:val="2"/>
                <w:sz w:val="21"/>
                <w:szCs w:val="21"/>
                <w:highlight w:val="none"/>
                <w:lang w:val="en-US" w:eastAsia="zh-CN" w:bidi="ar-SA"/>
              </w:rPr>
            </w:pPr>
            <w:r>
              <w:rPr>
                <w:rFonts w:hint="eastAsia" w:ascii="Times New Roman" w:hAnsi="Times New Roman" w:eastAsia="宋体" w:cs="Times New Roman"/>
                <w:b/>
                <w:bCs/>
                <w:color w:val="auto"/>
                <w:kern w:val="2"/>
                <w:sz w:val="21"/>
                <w:szCs w:val="21"/>
                <w:lang w:val="en-US" w:eastAsia="zh-CN" w:bidi="ar-SA"/>
              </w:rPr>
              <w:t>12、</w:t>
            </w:r>
            <w:r>
              <w:rPr>
                <w:rFonts w:hint="eastAsia" w:ascii="Times New Roman" w:hAnsi="Times New Roman" w:eastAsia="宋体" w:cs="Times New Roman"/>
                <w:b/>
                <w:bCs/>
                <w:color w:val="auto"/>
                <w:kern w:val="2"/>
                <w:sz w:val="21"/>
                <w:szCs w:val="21"/>
                <w:highlight w:val="none"/>
                <w:lang w:val="en-US" w:eastAsia="zh-CN" w:bidi="ar-SA"/>
              </w:rPr>
              <w:t>本项目的无组织废气污染防治措施与《中华人民共和国大气污染防治法》的符合性分析</w:t>
            </w:r>
          </w:p>
          <w:p w14:paraId="620DA022">
            <w:pPr>
              <w:pStyle w:val="163"/>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2"/>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根据中华人民共和国大气污染防治法第七十二条，贮存煤炭、煤矸石、煤渣、煤灰、水泥、石灰、石膏、砂土等易产生扬尘的物料应当密闭；不能密闭的，应当设置不低于堆放物高度的严密围挡，并采取有效覆盖措施防治扬尘污染。</w:t>
            </w:r>
          </w:p>
          <w:p w14:paraId="70C3E75F">
            <w:pPr>
              <w:pStyle w:val="163"/>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2"/>
              <w:textAlignment w:val="auto"/>
              <w:rPr>
                <w:rFonts w:hint="eastAsia" w:cs="Times New Roman"/>
                <w:b w:val="0"/>
                <w:bCs w:val="0"/>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在热风炉房内设置</w:t>
            </w:r>
            <w:r>
              <w:rPr>
                <w:rFonts w:hint="eastAsia" w:ascii="Times New Roman" w:hAnsi="Times New Roman" w:eastAsia="宋体" w:cs="Times New Roman"/>
                <w:color w:val="auto"/>
                <w:sz w:val="21"/>
                <w:szCs w:val="21"/>
                <w:highlight w:val="none"/>
                <w:lang w:val="en-US" w:eastAsia="zh-CN"/>
              </w:rPr>
              <w:t>全封闭灰渣间，灰渣及原料运输车辆采取苫布遮盖、封闭式运输。</w:t>
            </w:r>
            <w:r>
              <w:rPr>
                <w:rFonts w:hint="eastAsia" w:cs="Times New Roman"/>
                <w:color w:val="auto"/>
                <w:sz w:val="21"/>
                <w:szCs w:val="21"/>
                <w:highlight w:val="none"/>
                <w:lang w:val="en-US" w:eastAsia="zh-CN"/>
              </w:rPr>
              <w:t>厂区内设置一处</w:t>
            </w:r>
            <w:r>
              <w:rPr>
                <w:rFonts w:hint="eastAsia" w:ascii="Times New Roman" w:hAnsi="Times New Roman" w:eastAsia="宋体" w:cs="Times New Roman"/>
                <w:color w:val="auto"/>
                <w:sz w:val="21"/>
                <w:szCs w:val="21"/>
                <w:highlight w:val="none"/>
                <w:lang w:val="en-US" w:eastAsia="zh-CN"/>
              </w:rPr>
              <w:t>原料堆场</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四周设置2m高围挡，原料上方采取苫布遮盖，可有效控制扬尘。破碎过程未被集气罩收集的粉尘采取车间封闭、</w:t>
            </w:r>
            <w:r>
              <w:rPr>
                <w:rFonts w:hint="default" w:ascii="Times New Roman" w:hAnsi="Times New Roman" w:eastAsia="宋体" w:cs="Times New Roman"/>
                <w:color w:val="auto"/>
                <w:sz w:val="21"/>
                <w:szCs w:val="21"/>
                <w:highlight w:val="none"/>
                <w:lang w:val="en-US" w:eastAsia="zh-CN"/>
              </w:rPr>
              <w:t>定期洒水抑尘</w:t>
            </w:r>
            <w:r>
              <w:rPr>
                <w:rFonts w:hint="eastAsia" w:ascii="Times New Roman" w:hAnsi="Times New Roman" w:eastAsia="宋体" w:cs="Times New Roman"/>
                <w:color w:val="auto"/>
                <w:sz w:val="21"/>
                <w:szCs w:val="21"/>
                <w:highlight w:val="none"/>
                <w:lang w:val="en-US" w:eastAsia="zh-CN"/>
              </w:rPr>
              <w:t>等措施</w:t>
            </w:r>
            <w:r>
              <w:rPr>
                <w:rFonts w:hint="default" w:ascii="Times New Roman" w:hAnsi="Times New Roman" w:eastAsia="宋体" w:cs="Times New Roman"/>
                <w:color w:val="auto"/>
                <w:sz w:val="21"/>
                <w:szCs w:val="21"/>
                <w:highlight w:val="none"/>
                <w:lang w:val="en-US" w:eastAsia="zh-CN"/>
              </w:rPr>
              <w:t>，减少粉尘扩散</w:t>
            </w:r>
            <w:r>
              <w:rPr>
                <w:rFonts w:hint="eastAsia" w:cs="Times New Roman"/>
                <w:color w:val="auto"/>
                <w:sz w:val="21"/>
                <w:szCs w:val="21"/>
                <w:highlight w:val="none"/>
                <w:lang w:val="en-US" w:eastAsia="zh-CN"/>
              </w:rPr>
              <w:t>，综上所述，本项目不涉及煤炭、煤矸石、</w:t>
            </w:r>
            <w:r>
              <w:rPr>
                <w:rFonts w:hint="eastAsia" w:ascii="Times New Roman" w:hAnsi="Times New Roman" w:eastAsia="宋体" w:cs="Times New Roman"/>
                <w:color w:val="auto"/>
                <w:sz w:val="21"/>
                <w:szCs w:val="21"/>
                <w:highlight w:val="none"/>
                <w:lang w:val="en-US" w:eastAsia="zh-CN"/>
              </w:rPr>
              <w:t>煤渣、煤灰、水泥、石灰、石膏、砂土等易产生扬尘的物料</w:t>
            </w:r>
            <w:r>
              <w:rPr>
                <w:rFonts w:hint="eastAsia" w:cs="Times New Roman"/>
                <w:color w:val="auto"/>
                <w:sz w:val="21"/>
                <w:szCs w:val="21"/>
                <w:highlight w:val="none"/>
                <w:lang w:val="en-US" w:eastAsia="zh-CN"/>
              </w:rPr>
              <w:t>。主要易产生扬尘的物料为生物质燃烧器灰渣，采取密闭措施暂存，符</w:t>
            </w:r>
            <w:r>
              <w:rPr>
                <w:rFonts w:hint="eastAsia" w:cs="Times New Roman"/>
                <w:b w:val="0"/>
                <w:bCs w:val="0"/>
                <w:color w:val="auto"/>
                <w:sz w:val="21"/>
                <w:szCs w:val="21"/>
                <w:highlight w:val="none"/>
                <w:lang w:val="en-US" w:eastAsia="zh-CN"/>
              </w:rPr>
              <w:t>合</w:t>
            </w:r>
            <w:r>
              <w:rPr>
                <w:rFonts w:hint="eastAsia" w:ascii="Times New Roman" w:hAnsi="Times New Roman" w:eastAsia="宋体" w:cs="Times New Roman"/>
                <w:b w:val="0"/>
                <w:bCs w:val="0"/>
                <w:color w:val="auto"/>
                <w:kern w:val="2"/>
                <w:sz w:val="21"/>
                <w:szCs w:val="21"/>
                <w:highlight w:val="none"/>
                <w:lang w:val="en-US" w:eastAsia="zh-CN" w:bidi="ar-SA"/>
              </w:rPr>
              <w:t>中华人民共和国大气污染防治法</w:t>
            </w:r>
            <w:r>
              <w:rPr>
                <w:rFonts w:hint="eastAsia" w:cs="Times New Roman"/>
                <w:b w:val="0"/>
                <w:bCs w:val="0"/>
                <w:color w:val="auto"/>
                <w:kern w:val="2"/>
                <w:sz w:val="21"/>
                <w:szCs w:val="21"/>
                <w:highlight w:val="none"/>
                <w:lang w:val="en-US" w:eastAsia="zh-CN" w:bidi="ar-SA"/>
              </w:rPr>
              <w:t>第七十二条的要求。</w:t>
            </w:r>
          </w:p>
          <w:p w14:paraId="2E5C5B37">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2" w:firstLineChars="200"/>
              <w:textAlignment w:val="auto"/>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13</w:t>
            </w:r>
            <w:r>
              <w:rPr>
                <w:rFonts w:hint="default" w:ascii="Times New Roman" w:hAnsi="Times New Roman" w:cs="Times New Roman"/>
                <w:b/>
                <w:bCs/>
                <w:color w:val="auto"/>
                <w:sz w:val="21"/>
                <w:szCs w:val="21"/>
                <w:highlight w:val="none"/>
                <w:lang w:val="en-US" w:eastAsia="zh-CN"/>
              </w:rPr>
              <w:t>、与</w:t>
            </w:r>
            <w:r>
              <w:rPr>
                <w:rFonts w:hint="default" w:ascii="Times New Roman" w:hAnsi="Times New Roman" w:cs="Times New Roman" w:eastAsiaTheme="minorEastAsia"/>
                <w:b/>
                <w:bCs/>
                <w:color w:val="auto"/>
                <w:sz w:val="21"/>
                <w:szCs w:val="21"/>
                <w:highlight w:val="none"/>
              </w:rPr>
              <w:t>《鸡西市国土空间总体规划（2021—2035年）》符合性分析</w:t>
            </w:r>
          </w:p>
          <w:p w14:paraId="51B70554">
            <w:pPr>
              <w:keepNext w:val="0"/>
              <w:keepLines w:val="0"/>
              <w:pageBreakBefore w:val="0"/>
              <w:widowControl/>
              <w:suppressLineNumbers w:val="0"/>
              <w:tabs>
                <w:tab w:val="left" w:pos="6480"/>
              </w:tabs>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w:t>
            </w:r>
            <w:r>
              <w:rPr>
                <w:rFonts w:hint="default" w:ascii="Times New Roman" w:hAnsi="Times New Roman" w:cs="Times New Roman"/>
                <w:color w:val="auto"/>
                <w:sz w:val="21"/>
                <w:szCs w:val="21"/>
                <w:highlight w:val="none"/>
                <w:lang w:eastAsia="zh-CN"/>
              </w:rPr>
              <w:t>鸡西市国土空间总体规划</w:t>
            </w:r>
            <w:r>
              <w:rPr>
                <w:rFonts w:hint="default" w:ascii="Times New Roman" w:hAnsi="Times New Roman" w:eastAsia="宋体"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2021-2035</w:t>
            </w:r>
            <w:r>
              <w:rPr>
                <w:rFonts w:hint="default" w:ascii="Times New Roman" w:hAnsi="Times New Roman" w:eastAsia="宋体" w:cs="Times New Roman"/>
                <w:color w:val="auto"/>
                <w:sz w:val="21"/>
                <w:szCs w:val="21"/>
                <w:highlight w:val="none"/>
              </w:rPr>
              <w:t>）中</w:t>
            </w:r>
            <w:r>
              <w:rPr>
                <w:rFonts w:hint="default" w:ascii="Times New Roman" w:hAnsi="Times New Roman" w:cs="Times New Roman"/>
                <w:color w:val="auto"/>
                <w:sz w:val="21"/>
                <w:szCs w:val="21"/>
                <w:highlight w:val="none"/>
                <w:lang w:val="en-US" w:eastAsia="zh-CN"/>
              </w:rPr>
              <w:t>科学</w:t>
            </w:r>
            <w:r>
              <w:rPr>
                <w:rFonts w:hint="default" w:ascii="Times New Roman" w:hAnsi="Times New Roman" w:cs="Times New Roman"/>
                <w:color w:val="auto"/>
                <w:sz w:val="21"/>
                <w:szCs w:val="21"/>
                <w:highlight w:val="none"/>
                <w:lang w:eastAsia="zh-CN"/>
              </w:rPr>
              <w:t>划定</w:t>
            </w:r>
            <w:r>
              <w:rPr>
                <w:rFonts w:hint="eastAsia" w:ascii="宋体" w:hAnsi="宋体" w:eastAsia="宋体" w:cs="宋体"/>
                <w:color w:val="auto"/>
                <w:sz w:val="21"/>
                <w:szCs w:val="21"/>
                <w:highlight w:val="none"/>
                <w:lang w:eastAsia="zh-CN"/>
              </w:rPr>
              <w:t>“三区三线”</w:t>
            </w:r>
            <w:r>
              <w:rPr>
                <w:rFonts w:hint="default" w:ascii="Times New Roman" w:hAnsi="Times New Roman" w:eastAsia="宋体" w:cs="Times New Roman"/>
                <w:color w:val="auto"/>
                <w:sz w:val="21"/>
                <w:szCs w:val="21"/>
                <w:highlight w:val="none"/>
              </w:rPr>
              <w:t>情况，本项目与</w:t>
            </w:r>
            <w:r>
              <w:rPr>
                <w:rFonts w:hint="default" w:ascii="Times New Roman" w:hAnsi="Times New Roman" w:cs="Times New Roman"/>
                <w:color w:val="auto"/>
                <w:sz w:val="21"/>
                <w:szCs w:val="21"/>
                <w:highlight w:val="none"/>
                <w:lang w:eastAsia="zh-CN"/>
              </w:rPr>
              <w:t>国土空间规划</w:t>
            </w:r>
            <w:r>
              <w:rPr>
                <w:rFonts w:hint="default" w:ascii="Times New Roman" w:hAnsi="Times New Roman" w:eastAsia="宋体" w:cs="Times New Roman"/>
                <w:color w:val="auto"/>
                <w:sz w:val="21"/>
                <w:szCs w:val="21"/>
                <w:highlight w:val="none"/>
              </w:rPr>
              <w:t>符合性分析见</w:t>
            </w:r>
            <w:r>
              <w:rPr>
                <w:rFonts w:hint="default" w:ascii="Times New Roman" w:hAnsi="Times New Roman" w:eastAsia="宋体" w:cs="Times New Roman"/>
                <w:color w:val="auto"/>
                <w:sz w:val="21"/>
                <w:szCs w:val="21"/>
                <w:highlight w:val="none"/>
                <w:lang w:val="en-US" w:eastAsia="zh-CN"/>
              </w:rPr>
              <w:t>下</w:t>
            </w:r>
            <w:r>
              <w:rPr>
                <w:rFonts w:hint="default" w:ascii="Times New Roman" w:hAnsi="Times New Roman" w:eastAsia="宋体" w:cs="Times New Roman"/>
                <w:color w:val="auto"/>
                <w:sz w:val="21"/>
                <w:szCs w:val="21"/>
                <w:highlight w:val="none"/>
              </w:rPr>
              <w:t>表。</w:t>
            </w:r>
          </w:p>
          <w:p w14:paraId="70C09424">
            <w:pPr>
              <w:pStyle w:val="7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表1-</w:t>
            </w:r>
            <w:r>
              <w:rPr>
                <w:rFonts w:hint="eastAsia" w:ascii="Times New Roman" w:hAnsi="Times New Roman" w:eastAsia="宋体" w:cs="Times New Roman"/>
                <w:b/>
                <w:bCs/>
                <w:color w:val="auto"/>
                <w:sz w:val="21"/>
                <w:szCs w:val="21"/>
                <w:highlight w:val="none"/>
                <w:lang w:val="en-US" w:eastAsia="zh-CN"/>
              </w:rPr>
              <w:t>3</w:t>
            </w:r>
            <w:r>
              <w:rPr>
                <w:rFonts w:hint="default" w:ascii="Times New Roman" w:hAnsi="Times New Roman" w:eastAsia="宋体" w:cs="Times New Roman"/>
                <w:b/>
                <w:bCs/>
                <w:color w:val="auto"/>
                <w:sz w:val="21"/>
                <w:szCs w:val="21"/>
                <w:highlight w:val="none"/>
                <w:lang w:val="en-US" w:eastAsia="zh-CN"/>
              </w:rPr>
              <w:t>与</w:t>
            </w:r>
            <w:r>
              <w:rPr>
                <w:rFonts w:hint="default" w:ascii="Times New Roman" w:hAnsi="Times New Roman" w:eastAsia="宋体" w:cs="Times New Roman"/>
                <w:b/>
                <w:bCs/>
                <w:color w:val="auto"/>
                <w:sz w:val="21"/>
                <w:szCs w:val="21"/>
                <w:highlight w:val="none"/>
                <w:lang w:eastAsia="zh-CN"/>
              </w:rPr>
              <w:t>鸡西市国土空间总体规划</w:t>
            </w:r>
            <w:r>
              <w:rPr>
                <w:rFonts w:hint="default" w:ascii="Times New Roman" w:hAnsi="Times New Roman" w:eastAsia="宋体" w:cs="Times New Roman"/>
                <w:b/>
                <w:bCs/>
                <w:color w:val="auto"/>
                <w:sz w:val="21"/>
                <w:szCs w:val="21"/>
                <w:highlight w:val="none"/>
              </w:rPr>
              <w:t>符合性分析</w:t>
            </w:r>
          </w:p>
          <w:tbl>
            <w:tblPr>
              <w:tblStyle w:val="35"/>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98"/>
              <w:gridCol w:w="1912"/>
              <w:gridCol w:w="1210"/>
            </w:tblGrid>
            <w:tr w14:paraId="457C959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99" w:type="dxa"/>
                  <w:tcBorders>
                    <w:tl2br w:val="nil"/>
                    <w:tr2bl w:val="nil"/>
                  </w:tcBorders>
                  <w:vAlign w:val="center"/>
                </w:tcPr>
                <w:p w14:paraId="0F20A085">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18"/>
                      <w:szCs w:val="18"/>
                      <w:highlight w:val="none"/>
                      <w:vertAlign w:val="baseline"/>
                      <w:lang w:eastAsia="zh-CN"/>
                    </w:rPr>
                  </w:pPr>
                  <w:r>
                    <w:rPr>
                      <w:rFonts w:hint="default" w:ascii="Times New Roman" w:hAnsi="Times New Roman" w:eastAsia="宋体" w:cs="Times New Roman"/>
                      <w:b/>
                      <w:bCs/>
                      <w:color w:val="auto"/>
                      <w:sz w:val="18"/>
                      <w:szCs w:val="18"/>
                      <w:highlight w:val="none"/>
                      <w:vertAlign w:val="baseline"/>
                      <w:lang w:eastAsia="zh-CN"/>
                    </w:rPr>
                    <w:t>规划成果</w:t>
                  </w:r>
                </w:p>
              </w:tc>
              <w:tc>
                <w:tcPr>
                  <w:tcW w:w="1912" w:type="dxa"/>
                  <w:tcBorders>
                    <w:tl2br w:val="nil"/>
                    <w:tr2bl w:val="nil"/>
                  </w:tcBorders>
                  <w:vAlign w:val="center"/>
                </w:tcPr>
                <w:p w14:paraId="4111A22B">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18"/>
                      <w:szCs w:val="18"/>
                      <w:highlight w:val="none"/>
                      <w:vertAlign w:val="baseline"/>
                      <w:lang w:eastAsia="zh-CN"/>
                    </w:rPr>
                  </w:pPr>
                  <w:r>
                    <w:rPr>
                      <w:rFonts w:hint="default" w:ascii="Times New Roman" w:hAnsi="Times New Roman" w:eastAsia="宋体" w:cs="Times New Roman"/>
                      <w:b/>
                      <w:bCs/>
                      <w:color w:val="auto"/>
                      <w:sz w:val="18"/>
                      <w:szCs w:val="18"/>
                      <w:highlight w:val="none"/>
                      <w:vertAlign w:val="baseline"/>
                      <w:lang w:eastAsia="zh-CN"/>
                    </w:rPr>
                    <w:t>项目内容</w:t>
                  </w:r>
                </w:p>
              </w:tc>
              <w:tc>
                <w:tcPr>
                  <w:tcW w:w="1210" w:type="dxa"/>
                  <w:tcBorders>
                    <w:tl2br w:val="nil"/>
                    <w:tr2bl w:val="nil"/>
                  </w:tcBorders>
                  <w:vAlign w:val="center"/>
                </w:tcPr>
                <w:p w14:paraId="141F7206">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18"/>
                      <w:szCs w:val="18"/>
                      <w:highlight w:val="none"/>
                      <w:vertAlign w:val="baseline"/>
                      <w:lang w:eastAsia="zh-CN"/>
                    </w:rPr>
                  </w:pPr>
                  <w:r>
                    <w:rPr>
                      <w:rFonts w:hint="default" w:ascii="Times New Roman" w:hAnsi="Times New Roman" w:eastAsia="宋体" w:cs="Times New Roman"/>
                      <w:b/>
                      <w:bCs/>
                      <w:color w:val="auto"/>
                      <w:sz w:val="18"/>
                      <w:szCs w:val="18"/>
                      <w:highlight w:val="none"/>
                      <w:vertAlign w:val="baseline"/>
                      <w:lang w:eastAsia="zh-CN"/>
                    </w:rPr>
                    <w:t>符合性</w:t>
                  </w:r>
                </w:p>
              </w:tc>
            </w:tr>
            <w:tr w14:paraId="14071DC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99" w:type="dxa"/>
                  <w:tcBorders>
                    <w:tl2br w:val="nil"/>
                    <w:tr2bl w:val="nil"/>
                  </w:tcBorders>
                  <w:vAlign w:val="center"/>
                </w:tcPr>
                <w:p w14:paraId="60DF7D13">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w:t>
                  </w:r>
                  <w:r>
                    <w:rPr>
                      <w:rFonts w:hint="default" w:ascii="Times New Roman" w:hAnsi="Times New Roman" w:eastAsia="宋体" w:cs="Times New Roman"/>
                      <w:b w:val="0"/>
                      <w:bCs w:val="0"/>
                      <w:color w:val="auto"/>
                      <w:sz w:val="18"/>
                      <w:szCs w:val="18"/>
                      <w:highlight w:val="none"/>
                    </w:rPr>
                    <w:t>优先划定耕地和永久基本农田保护红线</w:t>
                  </w:r>
                  <w:r>
                    <w:rPr>
                      <w:rFonts w:hint="default" w:ascii="Times New Roman" w:hAnsi="Times New Roman" w:eastAsia="宋体" w:cs="Times New Roman"/>
                      <w:b w:val="0"/>
                      <w:bCs w:val="0"/>
                      <w:color w:val="auto"/>
                      <w:sz w:val="18"/>
                      <w:szCs w:val="18"/>
                      <w:highlight w:val="none"/>
                      <w:vertAlign w:val="baseline"/>
                    </w:rPr>
                    <w:t>]</w:t>
                  </w:r>
                  <w:r>
                    <w:rPr>
                      <w:rFonts w:hint="default" w:ascii="Times New Roman" w:hAnsi="Times New Roman" w:eastAsia="宋体" w:cs="Times New Roman"/>
                      <w:b w:val="0"/>
                      <w:bCs w:val="0"/>
                      <w:color w:val="auto"/>
                      <w:sz w:val="18"/>
                      <w:szCs w:val="18"/>
                      <w:highlight w:val="none"/>
                    </w:rPr>
                    <w:t>落实国家下达的耕地和永久基本农田保护任务，以“应划尽划、应保尽保”为划定原则，将可以长期稳定利用耕地优先划入永久基本农田实行特殊保护。全市划定耕地保有量不低于10222.40平方公里（1533.36万亩），占全市国土面积45.45%。划定永久基本农田8473.33平方公里（1271.00万亩），占全市域国土面积的37.67%</w:t>
                  </w:r>
                  <w:r>
                    <w:rPr>
                      <w:rFonts w:hint="default" w:ascii="Times New Roman" w:hAnsi="Times New Roman" w:eastAsia="宋体" w:cs="Times New Roman"/>
                      <w:b w:val="0"/>
                      <w:bCs w:val="0"/>
                      <w:color w:val="auto"/>
                      <w:sz w:val="18"/>
                      <w:szCs w:val="18"/>
                      <w:highlight w:val="none"/>
                      <w:vertAlign w:val="baseline"/>
                    </w:rPr>
                    <w:t>。</w:t>
                  </w:r>
                </w:p>
              </w:tc>
              <w:tc>
                <w:tcPr>
                  <w:tcW w:w="1912" w:type="dxa"/>
                  <w:tcBorders>
                    <w:tl2br w:val="nil"/>
                    <w:tr2bl w:val="nil"/>
                  </w:tcBorders>
                  <w:vAlign w:val="center"/>
                </w:tcPr>
                <w:p w14:paraId="004AEFAF">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eastAsia" w:ascii="Times New Roman" w:hAnsi="Times New Roman" w:cs="Times New Roman"/>
                      <w:b w:val="0"/>
                      <w:bCs w:val="0"/>
                      <w:color w:val="auto"/>
                      <w:sz w:val="18"/>
                      <w:szCs w:val="18"/>
                      <w:highlight w:val="none"/>
                      <w:vertAlign w:val="baseline"/>
                      <w:lang w:val="en-US" w:eastAsia="zh-CN"/>
                    </w:rPr>
                    <w:t>根据租赁协议及梨树镇政府出具的情况说，</w:t>
                  </w:r>
                  <w:r>
                    <w:rPr>
                      <w:rFonts w:hint="default" w:ascii="Times New Roman" w:hAnsi="Times New Roman" w:eastAsia="宋体" w:cs="Times New Roman"/>
                      <w:b w:val="0"/>
                      <w:bCs w:val="0"/>
                      <w:color w:val="auto"/>
                      <w:sz w:val="18"/>
                      <w:szCs w:val="18"/>
                      <w:highlight w:val="none"/>
                      <w:vertAlign w:val="baseline"/>
                      <w:lang w:eastAsia="zh-CN"/>
                    </w:rPr>
                    <w:t>本项目用地</w:t>
                  </w:r>
                  <w:r>
                    <w:rPr>
                      <w:rFonts w:hint="eastAsia" w:ascii="Times New Roman" w:hAnsi="Times New Roman" w:eastAsia="宋体" w:cs="Times New Roman"/>
                      <w:b w:val="0"/>
                      <w:bCs w:val="0"/>
                      <w:color w:val="auto"/>
                      <w:sz w:val="18"/>
                      <w:szCs w:val="18"/>
                      <w:highlight w:val="none"/>
                      <w:vertAlign w:val="baseline"/>
                      <w:lang w:val="en-US" w:eastAsia="zh-CN"/>
                    </w:rPr>
                    <w:t>不涉及耕地及</w:t>
                  </w:r>
                  <w:r>
                    <w:rPr>
                      <w:rFonts w:hint="default" w:ascii="Times New Roman" w:hAnsi="Times New Roman" w:eastAsia="宋体" w:cs="Times New Roman"/>
                      <w:b w:val="0"/>
                      <w:bCs w:val="0"/>
                      <w:color w:val="auto"/>
                      <w:sz w:val="18"/>
                      <w:szCs w:val="18"/>
                      <w:highlight w:val="none"/>
                    </w:rPr>
                    <w:t>永久基本农田</w:t>
                  </w:r>
                  <w:r>
                    <w:rPr>
                      <w:rFonts w:hint="default" w:ascii="Times New Roman" w:hAnsi="Times New Roman" w:eastAsia="宋体" w:cs="Times New Roman"/>
                      <w:b w:val="0"/>
                      <w:bCs w:val="0"/>
                      <w:color w:val="auto"/>
                      <w:sz w:val="18"/>
                      <w:szCs w:val="18"/>
                      <w:highlight w:val="none"/>
                      <w:vertAlign w:val="baseline"/>
                      <w:lang w:eastAsia="zh-CN"/>
                    </w:rPr>
                    <w:t>，不会对农业造成影响。</w:t>
                  </w:r>
                </w:p>
              </w:tc>
              <w:tc>
                <w:tcPr>
                  <w:tcW w:w="1210" w:type="dxa"/>
                  <w:tcBorders>
                    <w:tl2br w:val="nil"/>
                    <w:tr2bl w:val="nil"/>
                  </w:tcBorders>
                  <w:vAlign w:val="center"/>
                </w:tcPr>
                <w:p w14:paraId="7E9037D6">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eastAsia="zh-CN"/>
                    </w:rPr>
                    <w:t>符合</w:t>
                  </w:r>
                </w:p>
              </w:tc>
            </w:tr>
            <w:tr w14:paraId="008355B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99" w:type="dxa"/>
                  <w:tcBorders>
                    <w:tl2br w:val="nil"/>
                    <w:tr2bl w:val="nil"/>
                  </w:tcBorders>
                  <w:vAlign w:val="center"/>
                </w:tcPr>
                <w:p w14:paraId="20B16A18">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w:t>
                  </w:r>
                  <w:r>
                    <w:rPr>
                      <w:rFonts w:hint="default" w:ascii="Times New Roman" w:hAnsi="Times New Roman" w:eastAsia="宋体" w:cs="Times New Roman"/>
                      <w:b w:val="0"/>
                      <w:bCs w:val="0"/>
                      <w:color w:val="auto"/>
                      <w:sz w:val="18"/>
                      <w:szCs w:val="18"/>
                      <w:highlight w:val="none"/>
                    </w:rPr>
                    <w:t>科学划定生态保护红线</w:t>
                  </w:r>
                  <w:r>
                    <w:rPr>
                      <w:rFonts w:hint="default" w:ascii="Times New Roman" w:hAnsi="Times New Roman" w:eastAsia="宋体" w:cs="Times New Roman"/>
                      <w:b w:val="0"/>
                      <w:bCs w:val="0"/>
                      <w:color w:val="auto"/>
                      <w:sz w:val="18"/>
                      <w:szCs w:val="18"/>
                      <w:highlight w:val="none"/>
                      <w:vertAlign w:val="baseline"/>
                    </w:rPr>
                    <w:t>]</w:t>
                  </w:r>
                  <w:r>
                    <w:rPr>
                      <w:rFonts w:hint="default" w:ascii="Times New Roman" w:hAnsi="Times New Roman" w:eastAsia="宋体" w:cs="Times New Roman"/>
                      <w:b w:val="0"/>
                      <w:bCs w:val="0"/>
                      <w:color w:val="auto"/>
                      <w:sz w:val="18"/>
                      <w:szCs w:val="18"/>
                      <w:highlight w:val="none"/>
                    </w:rPr>
                    <w:t>整合优化自然保护地、重要水源涵养、生物多样性维护、水土保持、防风固沙等生态系统服务功能极重要区域和水土流失、土地沙化等生态极脆弱区域，以及具有潜在重要生态价值的生态空间，划入生态保护红线范围内。全市划定生态保护红线5023.14平方公里，占市域总面积的22.33%</w:t>
                  </w:r>
                  <w:r>
                    <w:rPr>
                      <w:rFonts w:hint="default" w:ascii="Times New Roman" w:hAnsi="Times New Roman" w:eastAsia="宋体" w:cs="Times New Roman"/>
                      <w:b w:val="0"/>
                      <w:bCs w:val="0"/>
                      <w:color w:val="auto"/>
                      <w:sz w:val="18"/>
                      <w:szCs w:val="18"/>
                      <w:highlight w:val="none"/>
                      <w:vertAlign w:val="baseline"/>
                    </w:rPr>
                    <w:t>。</w:t>
                  </w:r>
                </w:p>
              </w:tc>
              <w:tc>
                <w:tcPr>
                  <w:tcW w:w="1912" w:type="dxa"/>
                  <w:tcBorders>
                    <w:tl2br w:val="nil"/>
                    <w:tr2bl w:val="nil"/>
                  </w:tcBorders>
                  <w:vAlign w:val="center"/>
                </w:tcPr>
                <w:p w14:paraId="5B71EF2C">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default" w:ascii="Times New Roman" w:hAnsi="Times New Roman" w:eastAsia="宋体" w:cs="Times New Roman"/>
                      <w:b w:val="0"/>
                      <w:bCs w:val="0"/>
                      <w:color w:val="auto"/>
                      <w:sz w:val="18"/>
                      <w:szCs w:val="18"/>
                      <w:highlight w:val="none"/>
                      <w:vertAlign w:val="baseline"/>
                      <w:lang w:eastAsia="zh-CN"/>
                    </w:rPr>
                    <w:t>本项目用地未处于生态红线保护范围内，周围不存在自然保护区等生态敏感区。</w:t>
                  </w:r>
                </w:p>
              </w:tc>
              <w:tc>
                <w:tcPr>
                  <w:tcW w:w="1210" w:type="dxa"/>
                  <w:tcBorders>
                    <w:tl2br w:val="nil"/>
                    <w:tr2bl w:val="nil"/>
                  </w:tcBorders>
                  <w:vAlign w:val="center"/>
                </w:tcPr>
                <w:p w14:paraId="0D421A4B">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lang w:eastAsia="zh-CN"/>
                    </w:rPr>
                    <w:t>符合</w:t>
                  </w:r>
                </w:p>
              </w:tc>
            </w:tr>
            <w:tr w14:paraId="2ED54C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299" w:type="dxa"/>
                  <w:tcBorders>
                    <w:tl2br w:val="nil"/>
                    <w:tr2bl w:val="nil"/>
                  </w:tcBorders>
                  <w:vAlign w:val="center"/>
                </w:tcPr>
                <w:p w14:paraId="3B1394E3">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rPr>
                    <w:t>[</w:t>
                  </w:r>
                  <w:r>
                    <w:rPr>
                      <w:rFonts w:hint="default" w:ascii="Times New Roman" w:hAnsi="Times New Roman" w:eastAsia="宋体" w:cs="Times New Roman"/>
                      <w:b w:val="0"/>
                      <w:bCs w:val="0"/>
                      <w:color w:val="auto"/>
                      <w:sz w:val="18"/>
                      <w:szCs w:val="18"/>
                      <w:highlight w:val="none"/>
                    </w:rPr>
                    <w:t>合理划定城镇开发边界</w:t>
                  </w:r>
                  <w:r>
                    <w:rPr>
                      <w:rFonts w:hint="default" w:ascii="Times New Roman" w:hAnsi="Times New Roman" w:eastAsia="宋体" w:cs="Times New Roman"/>
                      <w:b w:val="0"/>
                      <w:bCs w:val="0"/>
                      <w:color w:val="auto"/>
                      <w:sz w:val="18"/>
                      <w:szCs w:val="18"/>
                      <w:highlight w:val="none"/>
                      <w:vertAlign w:val="baseline"/>
                    </w:rPr>
                    <w:t>]</w:t>
                  </w:r>
                  <w:r>
                    <w:rPr>
                      <w:rFonts w:hint="default" w:ascii="Times New Roman" w:hAnsi="Times New Roman" w:eastAsia="宋体" w:cs="Times New Roman"/>
                      <w:b w:val="0"/>
                      <w:bCs w:val="0"/>
                      <w:color w:val="auto"/>
                      <w:sz w:val="18"/>
                      <w:szCs w:val="18"/>
                      <w:highlight w:val="none"/>
                    </w:rPr>
                    <w:t>在国土空间规划中城镇开发边界是一定时期内因城镇发展需要，可以集中进行城镇开发建设，完善城镇功能、提升空间品质的区域边界，涉及城市、建制镇以及各类开发区等。防止城镇无序建设与蔓延发展，促进城镇空间集约高效、紧凑布局</w:t>
                  </w:r>
                  <w:r>
                    <w:rPr>
                      <w:rFonts w:hint="default" w:ascii="Times New Roman" w:hAnsi="Times New Roman" w:eastAsia="宋体" w:cs="Times New Roman"/>
                      <w:b w:val="0"/>
                      <w:bCs w:val="0"/>
                      <w:color w:val="auto"/>
                      <w:sz w:val="18"/>
                      <w:szCs w:val="18"/>
                      <w:highlight w:val="none"/>
                      <w:lang w:eastAsia="zh-CN"/>
                    </w:rPr>
                    <w:t>。</w:t>
                  </w:r>
                  <w:r>
                    <w:rPr>
                      <w:rFonts w:hint="default" w:ascii="Times New Roman" w:hAnsi="Times New Roman" w:eastAsia="宋体" w:cs="Times New Roman"/>
                      <w:b w:val="0"/>
                      <w:bCs w:val="0"/>
                      <w:color w:val="auto"/>
                      <w:sz w:val="18"/>
                      <w:szCs w:val="18"/>
                      <w:highlight w:val="none"/>
                    </w:rPr>
                    <w:t>至2035年，全市落实上级下达的建设用地规模，结合城镇开发边界实际可建设空间合理框定全市建设用地总规模，总规模控制在195.30平方公里以内</w:t>
                  </w:r>
                  <w:r>
                    <w:rPr>
                      <w:rFonts w:hint="default" w:ascii="Times New Roman" w:hAnsi="Times New Roman" w:eastAsia="宋体" w:cs="Times New Roman"/>
                      <w:b w:val="0"/>
                      <w:bCs w:val="0"/>
                      <w:color w:val="auto"/>
                      <w:sz w:val="18"/>
                      <w:szCs w:val="18"/>
                      <w:highlight w:val="none"/>
                      <w:vertAlign w:val="baseline"/>
                    </w:rPr>
                    <w:t>。</w:t>
                  </w:r>
                </w:p>
              </w:tc>
              <w:tc>
                <w:tcPr>
                  <w:tcW w:w="1912" w:type="dxa"/>
                  <w:tcBorders>
                    <w:tl2br w:val="nil"/>
                    <w:tr2bl w:val="nil"/>
                  </w:tcBorders>
                  <w:vAlign w:val="center"/>
                </w:tcPr>
                <w:p w14:paraId="60E4D9BE">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18"/>
                      <w:szCs w:val="18"/>
                      <w:highlight w:val="none"/>
                      <w:vertAlign w:val="baseline"/>
                      <w:lang w:eastAsia="zh-CN"/>
                    </w:rPr>
                  </w:pPr>
                  <w:r>
                    <w:rPr>
                      <w:rFonts w:hint="eastAsia" w:ascii="Times New Roman" w:hAnsi="Times New Roman" w:cs="Times New Roman"/>
                      <w:b w:val="0"/>
                      <w:bCs w:val="0"/>
                      <w:color w:val="auto"/>
                      <w:sz w:val="18"/>
                      <w:szCs w:val="18"/>
                      <w:highlight w:val="none"/>
                      <w:vertAlign w:val="baseline"/>
                      <w:lang w:val="en-US" w:eastAsia="zh-CN"/>
                    </w:rPr>
                    <w:t>根据租赁协议及梨树镇政府出具的情况说，</w:t>
                  </w:r>
                  <w:r>
                    <w:rPr>
                      <w:rFonts w:hint="default" w:ascii="Times New Roman" w:hAnsi="Times New Roman" w:eastAsia="宋体" w:cs="Times New Roman"/>
                      <w:b w:val="0"/>
                      <w:bCs w:val="0"/>
                      <w:color w:val="auto"/>
                      <w:sz w:val="18"/>
                      <w:szCs w:val="18"/>
                      <w:highlight w:val="none"/>
                      <w:vertAlign w:val="baseline"/>
                      <w:lang w:eastAsia="zh-CN"/>
                    </w:rPr>
                    <w:t>本项目符合</w:t>
                  </w:r>
                  <w:r>
                    <w:rPr>
                      <w:rFonts w:hint="eastAsia" w:ascii="Times New Roman" w:hAnsi="Times New Roman" w:cs="Times New Roman"/>
                      <w:b w:val="0"/>
                      <w:bCs w:val="0"/>
                      <w:color w:val="auto"/>
                      <w:sz w:val="18"/>
                      <w:szCs w:val="18"/>
                      <w:highlight w:val="none"/>
                      <w:vertAlign w:val="baseline"/>
                      <w:lang w:val="en-US" w:eastAsia="zh-CN"/>
                    </w:rPr>
                    <w:t>要求。</w:t>
                  </w:r>
                </w:p>
              </w:tc>
              <w:tc>
                <w:tcPr>
                  <w:tcW w:w="1210" w:type="dxa"/>
                  <w:tcBorders>
                    <w:tl2br w:val="nil"/>
                    <w:tr2bl w:val="nil"/>
                  </w:tcBorders>
                  <w:vAlign w:val="center"/>
                </w:tcPr>
                <w:p w14:paraId="41FAE91B">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val="0"/>
                      <w:bCs w:val="0"/>
                      <w:color w:val="auto"/>
                      <w:sz w:val="18"/>
                      <w:szCs w:val="18"/>
                      <w:highlight w:val="none"/>
                      <w:vertAlign w:val="baseline"/>
                    </w:rPr>
                  </w:pPr>
                  <w:r>
                    <w:rPr>
                      <w:rFonts w:hint="default" w:ascii="Times New Roman" w:hAnsi="Times New Roman" w:eastAsia="宋体" w:cs="Times New Roman"/>
                      <w:b w:val="0"/>
                      <w:bCs w:val="0"/>
                      <w:color w:val="auto"/>
                      <w:sz w:val="18"/>
                      <w:szCs w:val="18"/>
                      <w:highlight w:val="none"/>
                      <w:vertAlign w:val="baseline"/>
                      <w:lang w:eastAsia="zh-CN"/>
                    </w:rPr>
                    <w:t>符合</w:t>
                  </w:r>
                </w:p>
              </w:tc>
            </w:tr>
          </w:tbl>
          <w:p w14:paraId="023A1B2A">
            <w:pPr>
              <w:pStyle w:val="163"/>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82"/>
              <w:textAlignment w:val="auto"/>
              <w:rPr>
                <w:rFonts w:hint="default" w:cs="Times New Roman"/>
                <w:b w:val="0"/>
                <w:bCs w:val="0"/>
                <w:color w:val="auto"/>
                <w:kern w:val="2"/>
                <w:sz w:val="21"/>
                <w:szCs w:val="21"/>
                <w:highlight w:val="none"/>
                <w:lang w:val="en-US" w:eastAsia="zh-CN" w:bidi="ar-SA"/>
              </w:rPr>
            </w:pPr>
          </w:p>
        </w:tc>
      </w:tr>
      <w:bookmarkEnd w:id="3"/>
    </w:tbl>
    <w:p w14:paraId="6D2ECC51">
      <w:pPr>
        <w:spacing w:line="360" w:lineRule="auto"/>
        <w:outlineLvl w:val="0"/>
        <w:rPr>
          <w:rFonts w:hint="default" w:ascii="Times New Roman" w:hAnsi="Times New Roman" w:eastAsia="黑体" w:cs="Times New Roman"/>
          <w:color w:val="auto"/>
          <w:sz w:val="30"/>
          <w:highlight w:val="none"/>
        </w:rPr>
        <w:sectPr>
          <w:footerReference r:id="rId4" w:type="default"/>
          <w:pgSz w:w="11850" w:h="16783"/>
          <w:pgMar w:top="1701" w:right="1531" w:bottom="1701" w:left="1531" w:header="851" w:footer="1077" w:gutter="0"/>
          <w:pgBorders>
            <w:top w:val="none" w:sz="0" w:space="0"/>
            <w:left w:val="none" w:sz="0" w:space="0"/>
            <w:bottom w:val="none" w:sz="0" w:space="0"/>
            <w:right w:val="none" w:sz="0" w:space="0"/>
          </w:pgBorders>
          <w:pgNumType w:fmt="numberInDash" w:start="1"/>
          <w:cols w:space="0" w:num="1"/>
          <w:docGrid w:type="lines" w:linePitch="312" w:charSpace="0"/>
        </w:sectPr>
      </w:pPr>
    </w:p>
    <w:p w14:paraId="1814C269">
      <w:pPr>
        <w:pStyle w:val="30"/>
        <w:spacing w:before="0" w:beforeAutospacing="0" w:after="0" w:afterAutospacing="0"/>
        <w:jc w:val="center"/>
        <w:outlineLvl w:val="0"/>
        <w:rPr>
          <w:rFonts w:hint="eastAsia" w:ascii="宋体" w:hAnsi="宋体" w:eastAsia="宋体" w:cs="宋体"/>
          <w:snapToGrid w:val="0"/>
          <w:color w:val="auto"/>
          <w:kern w:val="21"/>
          <w:sz w:val="30"/>
          <w:szCs w:val="30"/>
          <w:highlight w:val="none"/>
        </w:rPr>
      </w:pPr>
      <w:bookmarkStart w:id="4" w:name="_Toc20676"/>
      <w:r>
        <w:rPr>
          <w:rFonts w:hint="eastAsia" w:ascii="宋体" w:hAnsi="宋体" w:eastAsia="宋体" w:cs="宋体"/>
          <w:snapToGrid w:val="0"/>
          <w:color w:val="auto"/>
          <w:kern w:val="21"/>
          <w:sz w:val="30"/>
          <w:szCs w:val="30"/>
          <w:highlight w:val="none"/>
        </w:rPr>
        <w:t>二、建设项目工程分析</w:t>
      </w:r>
      <w:bookmarkEnd w:id="4"/>
    </w:p>
    <w:tbl>
      <w:tblPr>
        <w:tblStyle w:val="34"/>
        <w:tblW w:w="5121"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8"/>
        <w:gridCol w:w="8473"/>
      </w:tblGrid>
      <w:tr w14:paraId="4CE507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5" w:hRule="atLeast"/>
          <w:jc w:val="center"/>
        </w:trPr>
        <w:tc>
          <w:tcPr>
            <w:tcW w:w="748" w:type="dxa"/>
            <w:vAlign w:val="center"/>
          </w:tcPr>
          <w:p w14:paraId="391821A9">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 w:val="24"/>
                <w:szCs w:val="21"/>
                <w:highlight w:val="none"/>
              </w:rPr>
            </w:pPr>
            <w:r>
              <w:rPr>
                <w:rFonts w:hint="default" w:ascii="Times New Roman" w:hAnsi="Times New Roman" w:cs="Times New Roman"/>
                <w:color w:val="auto"/>
                <w:kern w:val="21"/>
                <w:szCs w:val="21"/>
                <w:highlight w:val="none"/>
              </w:rPr>
              <w:t>建设内容</w:t>
            </w:r>
          </w:p>
        </w:tc>
        <w:tc>
          <w:tcPr>
            <w:tcW w:w="8473" w:type="dxa"/>
            <w:vAlign w:val="center"/>
          </w:tcPr>
          <w:p w14:paraId="6018C9D0">
            <w:pPr>
              <w:pStyle w:val="15"/>
              <w:keepNext w:val="0"/>
              <w:keepLines w:val="0"/>
              <w:widowControl/>
              <w:suppressLineNumbers w:val="0"/>
              <w:snapToGrid/>
              <w:spacing w:before="0" w:beforeAutospacing="0" w:after="0" w:afterAutospacing="0" w:line="360" w:lineRule="auto"/>
              <w:ind w:left="0" w:right="0" w:firstLine="422" w:firstLineChars="200"/>
              <w:rPr>
                <w:rFonts w:hint="default" w:ascii="Times New Roman" w:hAnsi="Times New Roman" w:cs="Times New Roman"/>
                <w:b/>
                <w:bCs/>
                <w:color w:val="auto"/>
                <w:kern w:val="21"/>
                <w:sz w:val="21"/>
                <w:szCs w:val="21"/>
                <w:highlight w:val="none"/>
              </w:rPr>
            </w:pPr>
            <w:r>
              <w:rPr>
                <w:rFonts w:hint="default" w:ascii="Times New Roman" w:hAnsi="Times New Roman" w:cs="Times New Roman"/>
                <w:b/>
                <w:bCs/>
                <w:color w:val="auto"/>
                <w:kern w:val="21"/>
                <w:sz w:val="21"/>
                <w:szCs w:val="21"/>
                <w:highlight w:val="none"/>
              </w:rPr>
              <w:t>1、建设内容及规模</w:t>
            </w:r>
          </w:p>
          <w:p w14:paraId="03206D55">
            <w:pPr>
              <w:keepNext w:val="0"/>
              <w:keepLines w:val="0"/>
              <w:widowControl/>
              <w:suppressLineNumbers w:val="0"/>
              <w:spacing w:before="0" w:beforeAutospacing="0" w:after="0" w:afterAutospacing="0" w:line="360" w:lineRule="auto"/>
              <w:ind w:left="0" w:right="0" w:firstLine="420" w:firstLineChars="200"/>
              <w:jc w:val="left"/>
              <w:rPr>
                <w:rFonts w:hint="default" w:ascii="宋体" w:hAnsi="宋体" w:cs="宋体"/>
                <w:bCs/>
                <w:color w:val="auto"/>
                <w:szCs w:val="21"/>
                <w:highlight w:val="none"/>
              </w:rPr>
            </w:pPr>
            <w:r>
              <w:rPr>
                <w:rFonts w:hint="default" w:ascii="Times New Roman" w:hAnsi="Times New Roman" w:cs="Times New Roman"/>
                <w:color w:val="auto"/>
                <w:sz w:val="21"/>
                <w:szCs w:val="21"/>
                <w:highlight w:val="none"/>
                <w:lang w:val="en-US" w:eastAsia="zh-CN"/>
              </w:rPr>
              <w:t>本项目</w:t>
            </w:r>
            <w:r>
              <w:rPr>
                <w:rFonts w:hint="eastAsia" w:cs="Times New Roman"/>
                <w:color w:val="auto"/>
                <w:sz w:val="21"/>
                <w:szCs w:val="21"/>
                <w:highlight w:val="none"/>
                <w:lang w:val="en-US" w:eastAsia="zh-CN"/>
              </w:rPr>
              <w:t>租赁现有场地进行建设，厂区</w:t>
            </w:r>
            <w:r>
              <w:rPr>
                <w:rFonts w:hint="default" w:ascii="Times New Roman" w:hAnsi="Times New Roman"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lang w:val="en-US" w:eastAsia="zh-CN"/>
              </w:rPr>
              <w:t>占地面积</w:t>
            </w:r>
            <w:r>
              <w:rPr>
                <w:rFonts w:hint="eastAsia" w:cs="Times New Roman"/>
                <w:color w:val="auto"/>
                <w:sz w:val="21"/>
                <w:szCs w:val="21"/>
                <w:highlight w:val="none"/>
                <w:lang w:val="en-US" w:eastAsia="zh-CN"/>
              </w:rPr>
              <w:t>9035.99</w:t>
            </w:r>
            <w:r>
              <w:rPr>
                <w:rFonts w:hint="default" w:ascii="Times New Roman" w:hAnsi="Times New Roman" w:cs="Times New Roman"/>
                <w:color w:val="auto"/>
                <w:kern w:val="21"/>
                <w:sz w:val="21"/>
                <w:szCs w:val="21"/>
                <w:highlight w:val="none"/>
                <w:lang w:val="en-US" w:eastAsia="zh-CN"/>
              </w:rPr>
              <w:t>m</w:t>
            </w:r>
            <w:r>
              <w:rPr>
                <w:rFonts w:hint="default" w:ascii="Times New Roman" w:hAnsi="Times New Roman" w:cs="Times New Roman"/>
                <w:color w:val="auto"/>
                <w:kern w:val="21"/>
                <w:sz w:val="21"/>
                <w:szCs w:val="21"/>
                <w:highlight w:val="none"/>
                <w:vertAlign w:val="superscript"/>
                <w:lang w:val="en-US" w:eastAsia="zh-CN"/>
              </w:rPr>
              <w:t>2</w:t>
            </w:r>
            <w:r>
              <w:rPr>
                <w:rFonts w:hint="default" w:ascii="Times New Roman" w:hAnsi="Times New Roman" w:cs="Times New Roman"/>
                <w:color w:val="auto"/>
                <w:kern w:val="21"/>
                <w:sz w:val="21"/>
                <w:szCs w:val="21"/>
                <w:highlight w:val="none"/>
                <w:vertAlign w:val="baseline"/>
                <w:lang w:val="en-US" w:eastAsia="zh-CN"/>
              </w:rPr>
              <w:t>，</w:t>
            </w:r>
            <w:r>
              <w:rPr>
                <w:rFonts w:hint="eastAsia" w:cs="Times New Roman"/>
                <w:color w:val="auto"/>
                <w:kern w:val="21"/>
                <w:sz w:val="21"/>
                <w:szCs w:val="21"/>
                <w:highlight w:val="none"/>
                <w:vertAlign w:val="baseline"/>
                <w:lang w:val="en-US" w:eastAsia="zh-CN"/>
              </w:rPr>
              <w:t>建筑面积1351.87m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，现有1座钢结构厂房，位于厂区南侧，建筑面积600m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，1座占砖混结构厂房，位于厂区东侧，建筑面积570m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，1座砖混结构房屋，位于厂区东南角，建筑面积181.87m</w:t>
            </w:r>
            <w:r>
              <w:rPr>
                <w:rFonts w:hint="eastAsia" w:cs="Times New Roman"/>
                <w:color w:val="auto"/>
                <w:kern w:val="21"/>
                <w:sz w:val="21"/>
                <w:szCs w:val="21"/>
                <w:highlight w:val="none"/>
                <w:vertAlign w:val="superscript"/>
                <w:lang w:val="en-US" w:eastAsia="zh-CN"/>
              </w:rPr>
              <w:t>2</w:t>
            </w:r>
            <w:r>
              <w:rPr>
                <w:rFonts w:hint="eastAsia" w:cs="Times New Roman"/>
                <w:color w:val="auto"/>
                <w:kern w:val="21"/>
                <w:sz w:val="21"/>
                <w:szCs w:val="21"/>
                <w:highlight w:val="none"/>
                <w:vertAlign w:val="baseline"/>
                <w:lang w:val="en-US" w:eastAsia="zh-CN"/>
              </w:rPr>
              <w:t>，本次在现有厂房内进行建设，</w:t>
            </w:r>
            <w:r>
              <w:rPr>
                <w:rFonts w:hint="eastAsia" w:cs="Times New Roman"/>
                <w:bCs/>
                <w:color w:val="auto"/>
                <w:szCs w:val="21"/>
                <w:highlight w:val="none"/>
                <w:lang w:val="en-US" w:eastAsia="zh-CN"/>
              </w:rPr>
              <w:t>计划分为2期工程，1期工程建设1</w:t>
            </w:r>
            <w:r>
              <w:rPr>
                <w:rFonts w:hint="default" w:ascii="Times New Roman" w:hAnsi="Times New Roman" w:cs="Times New Roman"/>
                <w:bCs/>
                <w:color w:val="auto"/>
                <w:szCs w:val="21"/>
                <w:highlight w:val="none"/>
                <w:lang w:val="en-US" w:eastAsia="zh-CN"/>
              </w:rPr>
              <w:t>条生物质颗粒燃料生产线，</w:t>
            </w:r>
            <w:r>
              <w:rPr>
                <w:rFonts w:hint="eastAsia" w:cs="Times New Roman"/>
                <w:bCs/>
                <w:color w:val="auto"/>
                <w:szCs w:val="21"/>
                <w:highlight w:val="none"/>
                <w:lang w:val="en-US" w:eastAsia="zh-CN"/>
              </w:rPr>
              <w:t>配</w:t>
            </w:r>
            <w:r>
              <w:rPr>
                <w:rFonts w:hint="eastAsia" w:cs="Times New Roman"/>
                <w:bCs/>
                <w:color w:val="auto"/>
                <w:sz w:val="21"/>
                <w:szCs w:val="21"/>
                <w:highlight w:val="none"/>
                <w:lang w:val="en-US" w:eastAsia="zh-CN"/>
              </w:rPr>
              <w:t>套建设1台</w:t>
            </w:r>
            <w:r>
              <w:rPr>
                <w:rFonts w:hint="eastAsia" w:cs="Times New Roman"/>
                <w:color w:val="auto"/>
                <w:sz w:val="21"/>
                <w:szCs w:val="21"/>
                <w:highlight w:val="none"/>
                <w:lang w:val="en-US" w:eastAsia="zh-CN"/>
              </w:rPr>
              <w:t>360万kcal/h</w:t>
            </w:r>
            <w:r>
              <w:rPr>
                <w:rFonts w:hint="default" w:ascii="Times New Roman" w:hAnsi="Times New Roman" w:cs="Times New Roman"/>
                <w:color w:val="auto"/>
                <w:sz w:val="21"/>
                <w:szCs w:val="21"/>
                <w:highlight w:val="none"/>
              </w:rPr>
              <w:t>生物质</w:t>
            </w:r>
            <w:r>
              <w:rPr>
                <w:rFonts w:hint="eastAsia" w:cs="Times New Roman"/>
                <w:color w:val="auto"/>
                <w:sz w:val="21"/>
                <w:szCs w:val="21"/>
                <w:highlight w:val="none"/>
                <w:lang w:val="en-US" w:eastAsia="zh-CN"/>
              </w:rPr>
              <w:t>燃烧器，以及办公室、原料堆场、灰渣间、成品仓等辅助设施，年</w:t>
            </w:r>
            <w:r>
              <w:rPr>
                <w:rFonts w:hint="default" w:ascii="Times New Roman" w:hAnsi="Times New Roman" w:cs="Times New Roman"/>
                <w:bCs/>
                <w:color w:val="auto"/>
                <w:szCs w:val="21"/>
                <w:highlight w:val="none"/>
                <w:lang w:val="en-US" w:eastAsia="zh-CN"/>
              </w:rPr>
              <w:t>产生物质颗粒燃料</w:t>
            </w:r>
            <w:r>
              <w:rPr>
                <w:rFonts w:hint="eastAsia" w:cs="Times New Roman"/>
                <w:bCs/>
                <w:color w:val="auto"/>
                <w:szCs w:val="21"/>
                <w:highlight w:val="none"/>
                <w:lang w:val="en-US" w:eastAsia="zh-CN"/>
              </w:rPr>
              <w:t>1</w:t>
            </w:r>
            <w:r>
              <w:rPr>
                <w:rFonts w:hint="default" w:ascii="Times New Roman" w:hAnsi="Times New Roman" w:cs="Times New Roman"/>
                <w:bCs/>
                <w:color w:val="auto"/>
                <w:szCs w:val="21"/>
                <w:highlight w:val="none"/>
                <w:lang w:val="en-US" w:eastAsia="zh-CN"/>
              </w:rPr>
              <w:t>0000t</w:t>
            </w:r>
            <w:r>
              <w:rPr>
                <w:rFonts w:hint="eastAsia" w:cs="Times New Roman"/>
                <w:bCs/>
                <w:color w:val="auto"/>
                <w:szCs w:val="21"/>
                <w:highlight w:val="none"/>
                <w:lang w:val="en-US" w:eastAsia="zh-CN"/>
              </w:rPr>
              <w:t>，2期工程建设1</w:t>
            </w:r>
            <w:r>
              <w:rPr>
                <w:rFonts w:hint="default" w:ascii="Times New Roman" w:hAnsi="Times New Roman" w:cs="Times New Roman"/>
                <w:bCs/>
                <w:color w:val="auto"/>
                <w:szCs w:val="21"/>
                <w:highlight w:val="none"/>
                <w:lang w:val="en-US" w:eastAsia="zh-CN"/>
              </w:rPr>
              <w:t>条生物质颗粒燃料生产线，</w:t>
            </w:r>
            <w:r>
              <w:rPr>
                <w:rFonts w:hint="eastAsia" w:cs="Times New Roman"/>
                <w:bCs/>
                <w:color w:val="auto"/>
                <w:szCs w:val="21"/>
                <w:highlight w:val="none"/>
                <w:lang w:val="en-US" w:eastAsia="zh-CN"/>
              </w:rPr>
              <w:t>配</w:t>
            </w:r>
            <w:r>
              <w:rPr>
                <w:rFonts w:hint="eastAsia" w:cs="Times New Roman"/>
                <w:bCs/>
                <w:color w:val="auto"/>
                <w:sz w:val="21"/>
                <w:szCs w:val="21"/>
                <w:highlight w:val="none"/>
                <w:lang w:val="en-US" w:eastAsia="zh-CN"/>
              </w:rPr>
              <w:t>套建设1台</w:t>
            </w:r>
            <w:r>
              <w:rPr>
                <w:rFonts w:hint="eastAsia" w:cs="Times New Roman"/>
                <w:color w:val="auto"/>
                <w:sz w:val="21"/>
                <w:szCs w:val="21"/>
                <w:highlight w:val="none"/>
                <w:lang w:val="en-US" w:eastAsia="zh-CN"/>
              </w:rPr>
              <w:t>360万kcal/h</w:t>
            </w:r>
            <w:r>
              <w:rPr>
                <w:rFonts w:hint="default" w:ascii="Times New Roman" w:hAnsi="Times New Roman" w:cs="Times New Roman"/>
                <w:color w:val="auto"/>
                <w:sz w:val="21"/>
                <w:szCs w:val="21"/>
                <w:highlight w:val="none"/>
              </w:rPr>
              <w:t>生物质</w:t>
            </w:r>
            <w:r>
              <w:rPr>
                <w:rFonts w:hint="eastAsia" w:cs="Times New Roman"/>
                <w:color w:val="auto"/>
                <w:sz w:val="21"/>
                <w:szCs w:val="21"/>
                <w:highlight w:val="none"/>
                <w:lang w:val="en-US" w:eastAsia="zh-CN"/>
              </w:rPr>
              <w:t>燃烧器、成品仓等，年</w:t>
            </w:r>
            <w:r>
              <w:rPr>
                <w:rFonts w:hint="default" w:ascii="Times New Roman" w:hAnsi="Times New Roman" w:cs="Times New Roman"/>
                <w:bCs/>
                <w:color w:val="auto"/>
                <w:szCs w:val="21"/>
                <w:highlight w:val="none"/>
                <w:lang w:val="en-US" w:eastAsia="zh-CN"/>
              </w:rPr>
              <w:t>产生物质颗粒燃料</w:t>
            </w:r>
            <w:r>
              <w:rPr>
                <w:rFonts w:hint="eastAsia" w:cs="Times New Roman"/>
                <w:bCs/>
                <w:color w:val="auto"/>
                <w:szCs w:val="21"/>
                <w:highlight w:val="none"/>
                <w:lang w:val="en-US" w:eastAsia="zh-CN"/>
              </w:rPr>
              <w:t>1</w:t>
            </w:r>
            <w:r>
              <w:rPr>
                <w:rFonts w:hint="default" w:ascii="Times New Roman" w:hAnsi="Times New Roman" w:cs="Times New Roman"/>
                <w:bCs/>
                <w:color w:val="auto"/>
                <w:szCs w:val="21"/>
                <w:highlight w:val="none"/>
                <w:lang w:val="en-US" w:eastAsia="zh-CN"/>
              </w:rPr>
              <w:t>0000t。</w:t>
            </w:r>
            <w:r>
              <w:rPr>
                <w:rFonts w:hint="eastAsia" w:ascii="宋体" w:hAnsi="宋体" w:cs="宋体"/>
                <w:bCs/>
                <w:color w:val="auto"/>
                <w:szCs w:val="21"/>
                <w:highlight w:val="none"/>
                <w:lang w:eastAsia="zh-CN"/>
              </w:rPr>
              <w:t>具</w:t>
            </w:r>
            <w:r>
              <w:rPr>
                <w:rFonts w:hint="eastAsia" w:ascii="宋体" w:hAnsi="宋体" w:cs="宋体"/>
                <w:bCs/>
                <w:color w:val="auto"/>
                <w:szCs w:val="21"/>
                <w:highlight w:val="none"/>
              </w:rPr>
              <w:t>体工程组成见下表。</w:t>
            </w:r>
          </w:p>
          <w:p w14:paraId="2B06DCD3">
            <w:pPr>
              <w:keepNext w:val="0"/>
              <w:keepLines w:val="0"/>
              <w:widowControl/>
              <w:suppressLineNumbers w:val="0"/>
              <w:spacing w:before="0" w:beforeAutospacing="0" w:after="0" w:afterAutospacing="0"/>
              <w:ind w:left="0" w:right="0" w:firstLine="422" w:firstLineChars="200"/>
              <w:jc w:val="center"/>
              <w:rPr>
                <w:rFonts w:hint="default"/>
                <w:bCs/>
                <w:color w:val="auto"/>
                <w:szCs w:val="21"/>
                <w:highlight w:val="none"/>
              </w:rPr>
            </w:pPr>
            <w:r>
              <w:rPr>
                <w:rFonts w:hint="default"/>
                <w:b/>
                <w:color w:val="auto"/>
                <w:szCs w:val="21"/>
                <w:highlight w:val="none"/>
              </w:rPr>
              <w:t xml:space="preserve">表2-1 </w:t>
            </w:r>
            <w:r>
              <w:rPr>
                <w:rFonts w:hint="default" w:ascii="Times New Roman" w:hAnsi="Times New Roman" w:eastAsia="宋体" w:cs="Times New Roman"/>
                <w:b/>
                <w:bCs/>
                <w:snapToGrid w:val="0"/>
                <w:color w:val="auto"/>
                <w:szCs w:val="21"/>
                <w:highlight w:val="none"/>
              </w:rPr>
              <w:t>主要建设内容及规模一览表</w:t>
            </w:r>
          </w:p>
          <w:tbl>
            <w:tblPr>
              <w:tblStyle w:val="34"/>
              <w:tblW w:w="833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1"/>
              <w:gridCol w:w="1290"/>
              <w:gridCol w:w="5496"/>
              <w:gridCol w:w="868"/>
            </w:tblGrid>
            <w:tr w14:paraId="3E8FF17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tcBorders>
                    <w:tl2br w:val="nil"/>
                    <w:tr2bl w:val="nil"/>
                  </w:tcBorders>
                  <w:vAlign w:val="center"/>
                </w:tcPr>
                <w:p w14:paraId="7AC730C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工程组成</w:t>
                  </w:r>
                </w:p>
              </w:tc>
              <w:tc>
                <w:tcPr>
                  <w:tcW w:w="773" w:type="pct"/>
                  <w:tcBorders>
                    <w:tl2br w:val="nil"/>
                    <w:tr2bl w:val="nil"/>
                  </w:tcBorders>
                  <w:shd w:val="clear" w:color="auto" w:fill="auto"/>
                  <w:vAlign w:val="center"/>
                </w:tcPr>
                <w:p w14:paraId="60EF0EE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建设内容</w:t>
                  </w:r>
                </w:p>
              </w:tc>
              <w:tc>
                <w:tcPr>
                  <w:tcW w:w="3296" w:type="pct"/>
                  <w:tcBorders>
                    <w:tl2br w:val="nil"/>
                    <w:tr2bl w:val="nil"/>
                  </w:tcBorders>
                  <w:vAlign w:val="center"/>
                </w:tcPr>
                <w:p w14:paraId="5485EF0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color w:val="auto"/>
                      <w:sz w:val="18"/>
                      <w:szCs w:val="18"/>
                      <w:highlight w:val="none"/>
                    </w:rPr>
                    <w:t>建设规模及内容</w:t>
                  </w:r>
                </w:p>
              </w:tc>
              <w:tc>
                <w:tcPr>
                  <w:tcW w:w="520" w:type="pct"/>
                  <w:tcBorders>
                    <w:tl2br w:val="nil"/>
                    <w:tr2bl w:val="nil"/>
                  </w:tcBorders>
                  <w:vAlign w:val="center"/>
                </w:tcPr>
                <w:p w14:paraId="35EE036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r>
                    <w:rPr>
                      <w:rFonts w:hint="eastAsia" w:ascii="宋体" w:hAnsi="宋体" w:cs="宋体"/>
                      <w:color w:val="auto"/>
                      <w:sz w:val="18"/>
                      <w:szCs w:val="18"/>
                      <w:highlight w:val="none"/>
                    </w:rPr>
                    <w:t>备注</w:t>
                  </w:r>
                </w:p>
              </w:tc>
            </w:tr>
            <w:tr w14:paraId="5E1877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408" w:type="pct"/>
                  <w:vMerge w:val="restart"/>
                  <w:tcBorders>
                    <w:tl2br w:val="nil"/>
                    <w:tr2bl w:val="nil"/>
                  </w:tcBorders>
                  <w:shd w:val="clear" w:color="auto" w:fill="auto"/>
                  <w:vAlign w:val="center"/>
                </w:tcPr>
                <w:p w14:paraId="0F737DB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主体工程</w:t>
                  </w:r>
                </w:p>
              </w:tc>
              <w:tc>
                <w:tcPr>
                  <w:tcW w:w="773" w:type="pct"/>
                  <w:tcBorders>
                    <w:tl2br w:val="nil"/>
                    <w:tr2bl w:val="nil"/>
                  </w:tcBorders>
                  <w:shd w:val="clear" w:color="auto" w:fill="auto"/>
                  <w:vAlign w:val="center"/>
                </w:tcPr>
                <w:p w14:paraId="1939576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1期工程</w:t>
                  </w:r>
                </w:p>
                <w:p w14:paraId="36E3127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1号生产车间</w:t>
                  </w:r>
                </w:p>
              </w:tc>
              <w:tc>
                <w:tcPr>
                  <w:tcW w:w="3296" w:type="pct"/>
                  <w:tcBorders>
                    <w:tl2br w:val="nil"/>
                    <w:tr2bl w:val="nil"/>
                  </w:tcBorders>
                  <w:shd w:val="clear" w:color="auto" w:fill="auto"/>
                  <w:vAlign w:val="center"/>
                </w:tcPr>
                <w:p w14:paraId="20D270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left"/>
                    <w:textAlignment w:val="auto"/>
                    <w:rPr>
                      <w:rFonts w:hint="default" w:ascii="Times New Roman" w:hAnsi="Times New Roman" w:cs="Times New Roman" w:eastAsiaTheme="minorEastAsia"/>
                      <w:color w:val="auto"/>
                      <w:kern w:val="0"/>
                      <w:sz w:val="18"/>
                      <w:szCs w:val="18"/>
                      <w:highlight w:val="none"/>
                      <w:lang w:val="en-US" w:eastAsia="zh-CN" w:bidi="ar"/>
                    </w:rPr>
                  </w:pPr>
                  <w:r>
                    <w:rPr>
                      <w:rFonts w:hint="eastAsia" w:cs="Times New Roman" w:eastAsiaTheme="minorEastAsia"/>
                      <w:color w:val="auto"/>
                      <w:kern w:val="0"/>
                      <w:sz w:val="18"/>
                      <w:szCs w:val="18"/>
                      <w:highlight w:val="none"/>
                      <w:lang w:val="en-US" w:eastAsia="zh-CN" w:bidi="ar"/>
                    </w:rPr>
                    <w:t>厂区南侧现有厂房，</w:t>
                  </w:r>
                  <w:r>
                    <w:rPr>
                      <w:rFonts w:hint="default" w:ascii="Times New Roman" w:hAnsi="Times New Roman" w:cs="Times New Roman" w:eastAsiaTheme="minorEastAsia"/>
                      <w:color w:val="auto"/>
                      <w:kern w:val="0"/>
                      <w:sz w:val="18"/>
                      <w:szCs w:val="18"/>
                      <w:highlight w:val="none"/>
                      <w:lang w:val="en-US" w:eastAsia="zh-CN" w:bidi="ar"/>
                    </w:rPr>
                    <w:t>建筑面积</w:t>
                  </w:r>
                  <w:r>
                    <w:rPr>
                      <w:rFonts w:hint="eastAsia" w:cs="Times New Roman" w:eastAsiaTheme="minorEastAsia"/>
                      <w:color w:val="auto"/>
                      <w:kern w:val="0"/>
                      <w:sz w:val="18"/>
                      <w:szCs w:val="18"/>
                      <w:highlight w:val="none"/>
                      <w:lang w:val="en-US" w:eastAsia="zh-CN" w:bidi="ar"/>
                    </w:rPr>
                    <w:t>600</w:t>
                  </w:r>
                  <w:r>
                    <w:rPr>
                      <w:rFonts w:hint="default" w:ascii="Times New Roman" w:hAnsi="Times New Roman" w:cs="Times New Roman"/>
                      <w:color w:val="auto"/>
                      <w:kern w:val="21"/>
                      <w:sz w:val="18"/>
                      <w:szCs w:val="18"/>
                      <w:highlight w:val="none"/>
                      <w:lang w:val="en-US" w:eastAsia="zh-CN"/>
                    </w:rPr>
                    <w:t>m</w:t>
                  </w:r>
                  <w:r>
                    <w:rPr>
                      <w:rFonts w:hint="default" w:ascii="Times New Roman" w:hAnsi="Times New Roman" w:cs="Times New Roman"/>
                      <w:color w:val="auto"/>
                      <w:kern w:val="21"/>
                      <w:sz w:val="18"/>
                      <w:szCs w:val="18"/>
                      <w:highlight w:val="none"/>
                      <w:vertAlign w:val="superscript"/>
                      <w:lang w:val="en-US" w:eastAsia="zh-CN"/>
                    </w:rPr>
                    <w:t>2</w:t>
                  </w:r>
                  <w:r>
                    <w:rPr>
                      <w:rFonts w:hint="default" w:ascii="Times New Roman" w:hAnsi="Times New Roman" w:cs="Times New Roman"/>
                      <w:color w:val="auto"/>
                      <w:kern w:val="21"/>
                      <w:sz w:val="18"/>
                      <w:szCs w:val="18"/>
                      <w:highlight w:val="none"/>
                      <w:vertAlign w:val="baseline"/>
                      <w:lang w:val="en-US" w:eastAsia="zh-CN"/>
                    </w:rPr>
                    <w:t>，</w:t>
                  </w:r>
                  <w:r>
                    <w:rPr>
                      <w:rFonts w:hint="eastAsia" w:cs="Times New Roman"/>
                      <w:color w:val="auto"/>
                      <w:kern w:val="21"/>
                      <w:sz w:val="18"/>
                      <w:szCs w:val="18"/>
                      <w:highlight w:val="none"/>
                      <w:vertAlign w:val="baseline"/>
                      <w:lang w:val="en-US" w:eastAsia="zh-CN"/>
                    </w:rPr>
                    <w:t>1</w:t>
                  </w:r>
                  <w:r>
                    <w:rPr>
                      <w:rFonts w:hint="default" w:ascii="Times New Roman" w:hAnsi="Times New Roman" w:cs="Times New Roman"/>
                      <w:color w:val="auto"/>
                      <w:kern w:val="21"/>
                      <w:sz w:val="18"/>
                      <w:szCs w:val="18"/>
                      <w:highlight w:val="none"/>
                      <w:vertAlign w:val="baseline"/>
                      <w:lang w:val="en-US" w:eastAsia="zh-CN"/>
                    </w:rPr>
                    <w:t>层</w:t>
                  </w:r>
                  <w:r>
                    <w:rPr>
                      <w:rFonts w:hint="eastAsia" w:cs="Times New Roman"/>
                      <w:color w:val="auto"/>
                      <w:kern w:val="21"/>
                      <w:sz w:val="18"/>
                      <w:szCs w:val="18"/>
                      <w:highlight w:val="none"/>
                      <w:vertAlign w:val="baseline"/>
                      <w:lang w:val="en-US" w:eastAsia="zh-CN"/>
                    </w:rPr>
                    <w:t>钢结构</w:t>
                  </w:r>
                  <w:r>
                    <w:rPr>
                      <w:rFonts w:hint="default" w:ascii="Times New Roman" w:hAnsi="Times New Roman" w:cs="Times New Roman"/>
                      <w:color w:val="auto"/>
                      <w:kern w:val="21"/>
                      <w:sz w:val="18"/>
                      <w:szCs w:val="18"/>
                      <w:highlight w:val="none"/>
                      <w:vertAlign w:val="baseline"/>
                      <w:lang w:val="en-US" w:eastAsia="zh-CN"/>
                    </w:rPr>
                    <w:t>，高</w:t>
                  </w:r>
                  <w:r>
                    <w:rPr>
                      <w:rFonts w:hint="eastAsia" w:cs="Times New Roman"/>
                      <w:color w:val="auto"/>
                      <w:kern w:val="21"/>
                      <w:sz w:val="18"/>
                      <w:szCs w:val="18"/>
                      <w:highlight w:val="none"/>
                      <w:vertAlign w:val="baseline"/>
                      <w:lang w:val="en-US" w:eastAsia="zh-CN"/>
                    </w:rPr>
                    <w:t>9m</w:t>
                  </w:r>
                  <w:r>
                    <w:rPr>
                      <w:rFonts w:hint="default" w:ascii="Times New Roman" w:hAnsi="Times New Roman" w:cs="Times New Roman"/>
                      <w:color w:val="auto"/>
                      <w:kern w:val="21"/>
                      <w:sz w:val="18"/>
                      <w:szCs w:val="18"/>
                      <w:highlight w:val="none"/>
                      <w:vertAlign w:val="baseline"/>
                      <w:lang w:val="en-US" w:eastAsia="zh-CN"/>
                    </w:rPr>
                    <w:t>，</w:t>
                  </w:r>
                  <w:r>
                    <w:rPr>
                      <w:rFonts w:hint="eastAsia" w:cs="Times New Roman"/>
                      <w:color w:val="auto"/>
                      <w:kern w:val="21"/>
                      <w:sz w:val="18"/>
                      <w:szCs w:val="18"/>
                      <w:highlight w:val="none"/>
                      <w:vertAlign w:val="baseline"/>
                      <w:lang w:val="en-US" w:eastAsia="zh-CN"/>
                    </w:rPr>
                    <w:t>设置1条生物质颗粒燃料生产线，包含1台筛分机、1台粗式破碎机、1台破碎机、1个烘干滚筒、1台造粒机。</w:t>
                  </w:r>
                  <w:r>
                    <w:rPr>
                      <w:rFonts w:hint="default" w:ascii="Times New Roman" w:hAnsi="Times New Roman" w:cs="Times New Roman"/>
                      <w:color w:val="auto"/>
                      <w:sz w:val="18"/>
                      <w:szCs w:val="18"/>
                      <w:highlight w:val="none"/>
                    </w:rPr>
                    <w:t>年</w:t>
                  </w:r>
                  <w:r>
                    <w:rPr>
                      <w:rFonts w:hint="default" w:ascii="Times New Roman" w:hAnsi="Times New Roman" w:cs="Times New Roman"/>
                      <w:color w:val="auto"/>
                      <w:sz w:val="18"/>
                      <w:szCs w:val="18"/>
                      <w:highlight w:val="none"/>
                      <w:lang w:val="en-US" w:eastAsia="zh-CN"/>
                    </w:rPr>
                    <w:t>产</w:t>
                  </w:r>
                  <w:r>
                    <w:rPr>
                      <w:rFonts w:hint="default" w:ascii="Times New Roman" w:hAnsi="Times New Roman" w:cs="Times New Roman"/>
                      <w:color w:val="auto"/>
                      <w:kern w:val="21"/>
                      <w:sz w:val="18"/>
                      <w:szCs w:val="18"/>
                      <w:highlight w:val="none"/>
                      <w:vertAlign w:val="baseline"/>
                      <w:lang w:val="en-US" w:eastAsia="zh-CN"/>
                    </w:rPr>
                    <w:t>生物质</w:t>
                  </w:r>
                  <w:r>
                    <w:rPr>
                      <w:rFonts w:hint="eastAsia" w:cs="Times New Roman"/>
                      <w:color w:val="auto"/>
                      <w:kern w:val="21"/>
                      <w:sz w:val="18"/>
                      <w:szCs w:val="18"/>
                      <w:highlight w:val="none"/>
                      <w:vertAlign w:val="baseline"/>
                      <w:lang w:val="en-US" w:eastAsia="zh-CN"/>
                    </w:rPr>
                    <w:t>颗粒</w:t>
                  </w:r>
                  <w:r>
                    <w:rPr>
                      <w:rFonts w:hint="default" w:ascii="Times New Roman" w:hAnsi="Times New Roman" w:cs="Times New Roman"/>
                      <w:color w:val="auto"/>
                      <w:kern w:val="21"/>
                      <w:sz w:val="18"/>
                      <w:szCs w:val="18"/>
                      <w:highlight w:val="none"/>
                      <w:vertAlign w:val="baseline"/>
                      <w:lang w:val="en-US" w:eastAsia="zh-CN"/>
                    </w:rPr>
                    <w:t>燃料</w:t>
                  </w:r>
                  <w:r>
                    <w:rPr>
                      <w:rFonts w:hint="eastAsia" w:cs="Times New Roman"/>
                      <w:color w:val="auto"/>
                      <w:kern w:val="21"/>
                      <w:sz w:val="18"/>
                      <w:szCs w:val="18"/>
                      <w:highlight w:val="none"/>
                      <w:vertAlign w:val="baseline"/>
                      <w:lang w:val="en-US" w:eastAsia="zh-CN"/>
                    </w:rPr>
                    <w:t>10</w:t>
                  </w:r>
                  <w:r>
                    <w:rPr>
                      <w:rFonts w:hint="default" w:ascii="Times New Roman" w:hAnsi="Times New Roman" w:cs="Times New Roman"/>
                      <w:color w:val="auto"/>
                      <w:kern w:val="21"/>
                      <w:sz w:val="18"/>
                      <w:szCs w:val="18"/>
                      <w:highlight w:val="none"/>
                      <w:vertAlign w:val="baseline"/>
                      <w:lang w:val="en-US" w:eastAsia="zh-CN"/>
                    </w:rPr>
                    <w:t>000t（</w:t>
                  </w:r>
                  <w:r>
                    <w:rPr>
                      <w:rFonts w:hint="eastAsia" w:cs="Times New Roman"/>
                      <w:color w:val="auto"/>
                      <w:kern w:val="21"/>
                      <w:sz w:val="18"/>
                      <w:szCs w:val="18"/>
                      <w:highlight w:val="none"/>
                      <w:vertAlign w:val="baseline"/>
                      <w:lang w:val="en-US" w:eastAsia="zh-CN"/>
                    </w:rPr>
                    <w:t>原材料分为玉米芯、秸秆、菌渣、木材</w:t>
                  </w:r>
                  <w:r>
                    <w:rPr>
                      <w:rFonts w:hint="default" w:ascii="Times New Roman" w:hAnsi="Times New Roman" w:cs="Times New Roman"/>
                      <w:color w:val="auto"/>
                      <w:kern w:val="21"/>
                      <w:sz w:val="18"/>
                      <w:szCs w:val="18"/>
                      <w:highlight w:val="none"/>
                      <w:vertAlign w:val="baseline"/>
                      <w:lang w:val="en-US" w:eastAsia="zh-CN"/>
                    </w:rPr>
                    <w:t>）</w:t>
                  </w:r>
                  <w:r>
                    <w:rPr>
                      <w:rFonts w:hint="eastAsia" w:cs="Times New Roman"/>
                      <w:color w:val="auto"/>
                      <w:kern w:val="21"/>
                      <w:sz w:val="18"/>
                      <w:szCs w:val="18"/>
                      <w:highlight w:val="none"/>
                      <w:vertAlign w:val="baseline"/>
                      <w:lang w:val="en-US" w:eastAsia="zh-CN"/>
                    </w:rPr>
                    <w:t>。</w:t>
                  </w:r>
                </w:p>
              </w:tc>
              <w:tc>
                <w:tcPr>
                  <w:tcW w:w="520" w:type="pct"/>
                  <w:tcBorders>
                    <w:tl2br w:val="nil"/>
                    <w:tr2bl w:val="nil"/>
                  </w:tcBorders>
                  <w:shd w:val="clear" w:color="auto" w:fill="auto"/>
                  <w:vAlign w:val="center"/>
                </w:tcPr>
                <w:p w14:paraId="71D7772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宋体" w:hAnsi="宋体" w:eastAsia="宋体" w:cs="宋体"/>
                      <w:color w:val="auto"/>
                      <w:kern w:val="2"/>
                      <w:sz w:val="18"/>
                      <w:szCs w:val="18"/>
                      <w:highlight w:val="none"/>
                      <w:lang w:val="en-US" w:eastAsia="zh-CN" w:bidi="ar-SA"/>
                    </w:rPr>
                  </w:pPr>
                  <w:r>
                    <w:rPr>
                      <w:rFonts w:hint="eastAsia" w:ascii="宋体" w:hAnsi="宋体" w:cs="宋体"/>
                      <w:color w:val="auto"/>
                      <w:sz w:val="18"/>
                      <w:szCs w:val="18"/>
                      <w:highlight w:val="none"/>
                      <w:lang w:val="en-US" w:eastAsia="zh-CN"/>
                    </w:rPr>
                    <w:t>建筑利旧、设备新建</w:t>
                  </w:r>
                </w:p>
              </w:tc>
            </w:tr>
            <w:tr w14:paraId="1C653D9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408" w:type="pct"/>
                  <w:vMerge w:val="continue"/>
                  <w:tcBorders>
                    <w:tl2br w:val="nil"/>
                    <w:tr2bl w:val="nil"/>
                  </w:tcBorders>
                  <w:shd w:val="clear" w:color="auto" w:fill="auto"/>
                  <w:vAlign w:val="center"/>
                </w:tcPr>
                <w:p w14:paraId="6425550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sz w:val="18"/>
                      <w:szCs w:val="18"/>
                      <w:highlight w:val="none"/>
                    </w:rPr>
                  </w:pPr>
                </w:p>
              </w:tc>
              <w:tc>
                <w:tcPr>
                  <w:tcW w:w="773" w:type="pct"/>
                  <w:tcBorders>
                    <w:tl2br w:val="nil"/>
                    <w:tr2bl w:val="nil"/>
                  </w:tcBorders>
                  <w:shd w:val="clear" w:color="auto" w:fill="auto"/>
                  <w:vAlign w:val="center"/>
                </w:tcPr>
                <w:p w14:paraId="4C1A748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2期工程</w:t>
                  </w:r>
                </w:p>
                <w:p w14:paraId="51281FC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2号生产车间</w:t>
                  </w:r>
                </w:p>
              </w:tc>
              <w:tc>
                <w:tcPr>
                  <w:tcW w:w="3296" w:type="pct"/>
                  <w:tcBorders>
                    <w:tl2br w:val="nil"/>
                    <w:tr2bl w:val="nil"/>
                  </w:tcBorders>
                  <w:shd w:val="clear" w:color="auto" w:fill="auto"/>
                  <w:vAlign w:val="center"/>
                </w:tcPr>
                <w:p w14:paraId="59EF51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left"/>
                    <w:textAlignment w:val="auto"/>
                    <w:rPr>
                      <w:rFonts w:hint="default" w:ascii="Times New Roman" w:hAnsi="Times New Roman" w:cs="Times New Roman" w:eastAsiaTheme="minorEastAsia"/>
                      <w:color w:val="auto"/>
                      <w:kern w:val="0"/>
                      <w:sz w:val="18"/>
                      <w:szCs w:val="18"/>
                      <w:highlight w:val="none"/>
                      <w:lang w:val="en-US" w:eastAsia="zh-CN" w:bidi="ar"/>
                    </w:rPr>
                  </w:pPr>
                  <w:r>
                    <w:rPr>
                      <w:rFonts w:hint="eastAsia" w:cs="Times New Roman" w:eastAsiaTheme="minorEastAsia"/>
                      <w:color w:val="auto"/>
                      <w:kern w:val="0"/>
                      <w:sz w:val="18"/>
                      <w:szCs w:val="18"/>
                      <w:highlight w:val="none"/>
                      <w:lang w:val="en-US" w:eastAsia="zh-CN" w:bidi="ar"/>
                    </w:rPr>
                    <w:t>厂区东侧现有厂房，建筑面积570</w:t>
                  </w:r>
                  <w:r>
                    <w:rPr>
                      <w:rFonts w:hint="default" w:ascii="Times New Roman" w:hAnsi="Times New Roman" w:cs="Times New Roman"/>
                      <w:color w:val="auto"/>
                      <w:kern w:val="21"/>
                      <w:sz w:val="18"/>
                      <w:szCs w:val="18"/>
                      <w:highlight w:val="none"/>
                      <w:lang w:val="en-US" w:eastAsia="zh-CN"/>
                    </w:rPr>
                    <w:t>m</w:t>
                  </w:r>
                  <w:r>
                    <w:rPr>
                      <w:rFonts w:hint="default" w:ascii="Times New Roman" w:hAnsi="Times New Roman" w:cs="Times New Roman"/>
                      <w:color w:val="auto"/>
                      <w:kern w:val="21"/>
                      <w:sz w:val="18"/>
                      <w:szCs w:val="18"/>
                      <w:highlight w:val="none"/>
                      <w:vertAlign w:val="superscript"/>
                      <w:lang w:val="en-US" w:eastAsia="zh-CN"/>
                    </w:rPr>
                    <w:t>2</w:t>
                  </w:r>
                  <w:r>
                    <w:rPr>
                      <w:rFonts w:hint="eastAsia" w:cs="Times New Roman" w:eastAsiaTheme="minorEastAsia"/>
                      <w:color w:val="auto"/>
                      <w:kern w:val="0"/>
                      <w:sz w:val="18"/>
                      <w:szCs w:val="18"/>
                      <w:highlight w:val="none"/>
                      <w:lang w:val="en-US" w:eastAsia="zh-CN" w:bidi="ar"/>
                    </w:rPr>
                    <w:t>，1层砖混结构，高4m，</w:t>
                  </w:r>
                  <w:r>
                    <w:rPr>
                      <w:rFonts w:hint="eastAsia" w:cs="Times New Roman"/>
                      <w:color w:val="auto"/>
                      <w:kern w:val="21"/>
                      <w:sz w:val="18"/>
                      <w:szCs w:val="18"/>
                      <w:highlight w:val="none"/>
                      <w:vertAlign w:val="baseline"/>
                      <w:lang w:val="en-US" w:eastAsia="zh-CN"/>
                    </w:rPr>
                    <w:t>设置1条生物质颗粒燃料生产线，包含1台筛分机、1台粗式破碎机、1台破碎机、1个烘干滚筒、1台造粒机。</w:t>
                  </w:r>
                  <w:r>
                    <w:rPr>
                      <w:rFonts w:hint="default" w:ascii="Times New Roman" w:hAnsi="Times New Roman" w:cs="Times New Roman"/>
                      <w:color w:val="auto"/>
                      <w:sz w:val="18"/>
                      <w:szCs w:val="18"/>
                      <w:highlight w:val="none"/>
                    </w:rPr>
                    <w:t>年</w:t>
                  </w:r>
                  <w:r>
                    <w:rPr>
                      <w:rFonts w:hint="default" w:ascii="Times New Roman" w:hAnsi="Times New Roman" w:cs="Times New Roman"/>
                      <w:color w:val="auto"/>
                      <w:sz w:val="18"/>
                      <w:szCs w:val="18"/>
                      <w:highlight w:val="none"/>
                      <w:lang w:val="en-US" w:eastAsia="zh-CN"/>
                    </w:rPr>
                    <w:t>产</w:t>
                  </w:r>
                  <w:r>
                    <w:rPr>
                      <w:rFonts w:hint="default" w:ascii="Times New Roman" w:hAnsi="Times New Roman" w:cs="Times New Roman"/>
                      <w:color w:val="auto"/>
                      <w:kern w:val="21"/>
                      <w:sz w:val="18"/>
                      <w:szCs w:val="18"/>
                      <w:highlight w:val="none"/>
                      <w:vertAlign w:val="baseline"/>
                      <w:lang w:val="en-US" w:eastAsia="zh-CN"/>
                    </w:rPr>
                    <w:t>生物质</w:t>
                  </w:r>
                  <w:r>
                    <w:rPr>
                      <w:rFonts w:hint="eastAsia" w:cs="Times New Roman"/>
                      <w:color w:val="auto"/>
                      <w:kern w:val="21"/>
                      <w:sz w:val="18"/>
                      <w:szCs w:val="18"/>
                      <w:highlight w:val="none"/>
                      <w:vertAlign w:val="baseline"/>
                      <w:lang w:val="en-US" w:eastAsia="zh-CN"/>
                    </w:rPr>
                    <w:t>颗粒</w:t>
                  </w:r>
                  <w:r>
                    <w:rPr>
                      <w:rFonts w:hint="default" w:ascii="Times New Roman" w:hAnsi="Times New Roman" w:cs="Times New Roman"/>
                      <w:color w:val="auto"/>
                      <w:kern w:val="21"/>
                      <w:sz w:val="18"/>
                      <w:szCs w:val="18"/>
                      <w:highlight w:val="none"/>
                      <w:vertAlign w:val="baseline"/>
                      <w:lang w:val="en-US" w:eastAsia="zh-CN"/>
                    </w:rPr>
                    <w:t>燃料</w:t>
                  </w:r>
                  <w:r>
                    <w:rPr>
                      <w:rFonts w:hint="eastAsia" w:cs="Times New Roman"/>
                      <w:color w:val="auto"/>
                      <w:kern w:val="21"/>
                      <w:sz w:val="18"/>
                      <w:szCs w:val="18"/>
                      <w:highlight w:val="none"/>
                      <w:vertAlign w:val="baseline"/>
                      <w:lang w:val="en-US" w:eastAsia="zh-CN"/>
                    </w:rPr>
                    <w:t>10</w:t>
                  </w:r>
                  <w:r>
                    <w:rPr>
                      <w:rFonts w:hint="default" w:ascii="Times New Roman" w:hAnsi="Times New Roman" w:cs="Times New Roman"/>
                      <w:color w:val="auto"/>
                      <w:kern w:val="21"/>
                      <w:sz w:val="18"/>
                      <w:szCs w:val="18"/>
                      <w:highlight w:val="none"/>
                      <w:vertAlign w:val="baseline"/>
                      <w:lang w:val="en-US" w:eastAsia="zh-CN"/>
                    </w:rPr>
                    <w:t>000t（</w:t>
                  </w:r>
                  <w:r>
                    <w:rPr>
                      <w:rFonts w:hint="eastAsia" w:cs="Times New Roman"/>
                      <w:color w:val="auto"/>
                      <w:kern w:val="21"/>
                      <w:sz w:val="18"/>
                      <w:szCs w:val="18"/>
                      <w:highlight w:val="none"/>
                      <w:vertAlign w:val="baseline"/>
                      <w:lang w:val="en-US" w:eastAsia="zh-CN"/>
                    </w:rPr>
                    <w:t>原材料分为玉米芯、秸秆、菌渣、木材</w:t>
                  </w:r>
                  <w:r>
                    <w:rPr>
                      <w:rFonts w:hint="default" w:ascii="Times New Roman" w:hAnsi="Times New Roman" w:cs="Times New Roman"/>
                      <w:color w:val="auto"/>
                      <w:kern w:val="21"/>
                      <w:sz w:val="18"/>
                      <w:szCs w:val="18"/>
                      <w:highlight w:val="none"/>
                      <w:vertAlign w:val="baseline"/>
                      <w:lang w:val="en-US" w:eastAsia="zh-CN"/>
                    </w:rPr>
                    <w:t>）</w:t>
                  </w:r>
                  <w:r>
                    <w:rPr>
                      <w:rFonts w:hint="eastAsia" w:cs="Times New Roman"/>
                      <w:color w:val="auto"/>
                      <w:kern w:val="21"/>
                      <w:sz w:val="18"/>
                      <w:szCs w:val="18"/>
                      <w:highlight w:val="none"/>
                      <w:vertAlign w:val="baseline"/>
                      <w:lang w:val="en-US" w:eastAsia="zh-CN"/>
                    </w:rPr>
                    <w:t>。</w:t>
                  </w:r>
                </w:p>
              </w:tc>
              <w:tc>
                <w:tcPr>
                  <w:tcW w:w="520" w:type="pct"/>
                  <w:tcBorders>
                    <w:tl2br w:val="nil"/>
                    <w:tr2bl w:val="nil"/>
                  </w:tcBorders>
                  <w:shd w:val="clear" w:color="auto" w:fill="auto"/>
                  <w:vAlign w:val="center"/>
                </w:tcPr>
                <w:p w14:paraId="1EAC519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宋体" w:hAnsi="宋体" w:eastAsia="宋体" w:cs="宋体"/>
                      <w:color w:val="auto"/>
                      <w:kern w:val="2"/>
                      <w:sz w:val="18"/>
                      <w:szCs w:val="18"/>
                      <w:highlight w:val="none"/>
                      <w:lang w:val="en-US" w:eastAsia="zh-CN" w:bidi="ar-SA"/>
                    </w:rPr>
                  </w:pPr>
                  <w:r>
                    <w:rPr>
                      <w:rFonts w:hint="eastAsia" w:ascii="宋体" w:hAnsi="宋体" w:cs="宋体"/>
                      <w:color w:val="auto"/>
                      <w:sz w:val="18"/>
                      <w:szCs w:val="18"/>
                      <w:highlight w:val="none"/>
                      <w:lang w:val="en-US" w:eastAsia="zh-CN"/>
                    </w:rPr>
                    <w:t>建筑利旧、设备新建</w:t>
                  </w:r>
                </w:p>
              </w:tc>
            </w:tr>
            <w:tr w14:paraId="6DCFF02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restart"/>
                  <w:tcBorders>
                    <w:tl2br w:val="nil"/>
                    <w:tr2bl w:val="nil"/>
                  </w:tcBorders>
                  <w:shd w:val="clear" w:color="auto" w:fill="auto"/>
                  <w:vAlign w:val="center"/>
                </w:tcPr>
                <w:p w14:paraId="29D30B3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辅助工程</w:t>
                  </w:r>
                </w:p>
              </w:tc>
              <w:tc>
                <w:tcPr>
                  <w:tcW w:w="773" w:type="pct"/>
                  <w:tcBorders>
                    <w:tl2br w:val="nil"/>
                    <w:tr2bl w:val="nil"/>
                  </w:tcBorders>
                  <w:shd w:val="clear" w:color="auto" w:fill="auto"/>
                  <w:vAlign w:val="center"/>
                </w:tcPr>
                <w:p w14:paraId="2A2F67C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sz w:val="18"/>
                      <w:szCs w:val="18"/>
                      <w:highlight w:val="none"/>
                    </w:rPr>
                  </w:pPr>
                  <w:r>
                    <w:rPr>
                      <w:rFonts w:hint="eastAsia" w:cs="Times New Roman"/>
                      <w:color w:val="auto"/>
                      <w:sz w:val="18"/>
                      <w:szCs w:val="18"/>
                      <w:highlight w:val="none"/>
                      <w:lang w:val="en-US" w:eastAsia="zh-CN"/>
                    </w:rPr>
                    <w:t>热风</w:t>
                  </w:r>
                  <w:r>
                    <w:rPr>
                      <w:rFonts w:hint="default" w:ascii="Times New Roman" w:hAnsi="Times New Roman" w:cs="Times New Roman"/>
                      <w:color w:val="auto"/>
                      <w:sz w:val="18"/>
                      <w:szCs w:val="18"/>
                      <w:highlight w:val="none"/>
                    </w:rPr>
                    <w:t>炉房</w:t>
                  </w:r>
                </w:p>
              </w:tc>
              <w:tc>
                <w:tcPr>
                  <w:tcW w:w="3296" w:type="pct"/>
                  <w:tcBorders>
                    <w:tl2br w:val="nil"/>
                    <w:tr2bl w:val="nil"/>
                  </w:tcBorders>
                  <w:shd w:val="clear" w:color="auto" w:fill="auto"/>
                  <w:vAlign w:val="center"/>
                </w:tcPr>
                <w:p w14:paraId="089DFAB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eastAsiaTheme="minorEastAsia"/>
                      <w:color w:val="auto"/>
                      <w:kern w:val="0"/>
                      <w:sz w:val="18"/>
                      <w:szCs w:val="18"/>
                      <w:highlight w:val="none"/>
                      <w:lang w:val="en-US" w:eastAsia="zh-CN" w:bidi="ar"/>
                    </w:rPr>
                    <w:t>厂区东南角现有房屋，</w:t>
                  </w:r>
                  <w:r>
                    <w:rPr>
                      <w:rFonts w:hint="default" w:ascii="Times New Roman" w:hAnsi="Times New Roman" w:cs="Times New Roman" w:eastAsiaTheme="minorEastAsia"/>
                      <w:color w:val="auto"/>
                      <w:kern w:val="0"/>
                      <w:sz w:val="18"/>
                      <w:szCs w:val="18"/>
                      <w:highlight w:val="none"/>
                      <w:lang w:val="en-US" w:eastAsia="zh-CN" w:bidi="ar"/>
                    </w:rPr>
                    <w:t>建筑面积</w:t>
                  </w:r>
                  <w:r>
                    <w:rPr>
                      <w:rFonts w:hint="eastAsia" w:cs="Times New Roman" w:eastAsiaTheme="minorEastAsia"/>
                      <w:color w:val="auto"/>
                      <w:kern w:val="0"/>
                      <w:sz w:val="18"/>
                      <w:szCs w:val="18"/>
                      <w:highlight w:val="none"/>
                      <w:lang w:val="en-US" w:eastAsia="zh-CN" w:bidi="ar"/>
                    </w:rPr>
                    <w:t>181.87</w:t>
                  </w:r>
                  <w:r>
                    <w:rPr>
                      <w:rFonts w:hint="default" w:ascii="Times New Roman" w:hAnsi="Times New Roman" w:cs="Times New Roman"/>
                      <w:color w:val="auto"/>
                      <w:kern w:val="21"/>
                      <w:sz w:val="18"/>
                      <w:szCs w:val="18"/>
                      <w:highlight w:val="none"/>
                      <w:lang w:val="en-US" w:eastAsia="zh-CN"/>
                    </w:rPr>
                    <w:t>m</w:t>
                  </w:r>
                  <w:r>
                    <w:rPr>
                      <w:rFonts w:hint="default" w:ascii="Times New Roman" w:hAnsi="Times New Roman" w:cs="Times New Roman"/>
                      <w:color w:val="auto"/>
                      <w:kern w:val="21"/>
                      <w:sz w:val="18"/>
                      <w:szCs w:val="18"/>
                      <w:highlight w:val="none"/>
                      <w:vertAlign w:val="superscript"/>
                      <w:lang w:val="en-US" w:eastAsia="zh-CN"/>
                    </w:rPr>
                    <w:t>2</w:t>
                  </w:r>
                  <w:r>
                    <w:rPr>
                      <w:rFonts w:hint="default" w:ascii="Times New Roman" w:hAnsi="Times New Roman" w:cs="Times New Roman"/>
                      <w:color w:val="auto"/>
                      <w:kern w:val="21"/>
                      <w:sz w:val="18"/>
                      <w:szCs w:val="18"/>
                      <w:highlight w:val="none"/>
                      <w:vertAlign w:val="baseline"/>
                      <w:lang w:val="en-US" w:eastAsia="zh-CN"/>
                    </w:rPr>
                    <w:t>，</w:t>
                  </w:r>
                  <w:r>
                    <w:rPr>
                      <w:rFonts w:hint="eastAsia" w:cs="Times New Roman"/>
                      <w:color w:val="auto"/>
                      <w:kern w:val="21"/>
                      <w:sz w:val="18"/>
                      <w:szCs w:val="18"/>
                      <w:highlight w:val="none"/>
                      <w:vertAlign w:val="baseline"/>
                      <w:lang w:val="en-US" w:eastAsia="zh-CN"/>
                    </w:rPr>
                    <w:t>1</w:t>
                  </w:r>
                  <w:r>
                    <w:rPr>
                      <w:rFonts w:hint="default" w:ascii="Times New Roman" w:hAnsi="Times New Roman" w:cs="Times New Roman"/>
                      <w:color w:val="auto"/>
                      <w:kern w:val="21"/>
                      <w:sz w:val="18"/>
                      <w:szCs w:val="18"/>
                      <w:highlight w:val="none"/>
                      <w:vertAlign w:val="baseline"/>
                      <w:lang w:val="en-US" w:eastAsia="zh-CN"/>
                    </w:rPr>
                    <w:t>层</w:t>
                  </w:r>
                  <w:r>
                    <w:rPr>
                      <w:rFonts w:hint="eastAsia" w:cs="Times New Roman"/>
                      <w:color w:val="auto"/>
                      <w:kern w:val="21"/>
                      <w:sz w:val="18"/>
                      <w:szCs w:val="18"/>
                      <w:highlight w:val="none"/>
                      <w:vertAlign w:val="baseline"/>
                      <w:lang w:val="en-US" w:eastAsia="zh-CN"/>
                    </w:rPr>
                    <w:t>砖混结构</w:t>
                  </w:r>
                  <w:r>
                    <w:rPr>
                      <w:rFonts w:hint="default" w:ascii="Times New Roman" w:hAnsi="Times New Roman" w:cs="Times New Roman"/>
                      <w:color w:val="auto"/>
                      <w:kern w:val="21"/>
                      <w:sz w:val="18"/>
                      <w:szCs w:val="18"/>
                      <w:highlight w:val="none"/>
                      <w:vertAlign w:val="baseline"/>
                      <w:lang w:val="en-US" w:eastAsia="zh-CN"/>
                    </w:rPr>
                    <w:t>，高</w:t>
                  </w:r>
                  <w:r>
                    <w:rPr>
                      <w:rFonts w:hint="eastAsia" w:cs="Times New Roman"/>
                      <w:color w:val="auto"/>
                      <w:kern w:val="21"/>
                      <w:sz w:val="18"/>
                      <w:szCs w:val="18"/>
                      <w:highlight w:val="none"/>
                      <w:vertAlign w:val="baseline"/>
                      <w:lang w:val="en-US" w:eastAsia="zh-CN"/>
                    </w:rPr>
                    <w:t>4m</w:t>
                  </w:r>
                  <w:r>
                    <w:rPr>
                      <w:rFonts w:hint="default" w:ascii="Times New Roman" w:hAnsi="Times New Roman" w:cs="Times New Roman"/>
                      <w:color w:val="auto"/>
                      <w:kern w:val="21"/>
                      <w:sz w:val="18"/>
                      <w:szCs w:val="18"/>
                      <w:highlight w:val="none"/>
                      <w:vertAlign w:val="baseline"/>
                      <w:lang w:val="en-US" w:eastAsia="zh-CN"/>
                    </w:rPr>
                    <w:t>，</w:t>
                  </w:r>
                  <w:r>
                    <w:rPr>
                      <w:rFonts w:hint="eastAsia" w:cs="Times New Roman"/>
                      <w:color w:val="auto"/>
                      <w:sz w:val="18"/>
                      <w:szCs w:val="18"/>
                      <w:highlight w:val="none"/>
                      <w:lang w:val="en-US" w:eastAsia="zh-CN"/>
                    </w:rPr>
                    <w:t>1期工程新建1</w:t>
                  </w:r>
                  <w:r>
                    <w:rPr>
                      <w:rFonts w:hint="default" w:ascii="Times New Roman" w:hAnsi="Times New Roman" w:cs="Times New Roman"/>
                      <w:color w:val="auto"/>
                      <w:sz w:val="18"/>
                      <w:szCs w:val="18"/>
                      <w:highlight w:val="none"/>
                    </w:rPr>
                    <w:t>台</w:t>
                  </w:r>
                  <w:r>
                    <w:rPr>
                      <w:rFonts w:hint="eastAsia" w:cs="Times New Roman"/>
                      <w:color w:val="auto"/>
                      <w:sz w:val="18"/>
                      <w:szCs w:val="18"/>
                      <w:highlight w:val="none"/>
                      <w:lang w:val="en-US" w:eastAsia="zh-CN"/>
                    </w:rPr>
                    <w:t>360万kcal/h</w:t>
                  </w:r>
                  <w:r>
                    <w:rPr>
                      <w:rFonts w:hint="default" w:ascii="Times New Roman" w:hAnsi="Times New Roman" w:cs="Times New Roman"/>
                      <w:color w:val="auto"/>
                      <w:sz w:val="18"/>
                      <w:szCs w:val="18"/>
                      <w:highlight w:val="none"/>
                    </w:rPr>
                    <w:t>生物质</w:t>
                  </w:r>
                  <w:r>
                    <w:rPr>
                      <w:rFonts w:hint="eastAsia" w:cs="Times New Roman"/>
                      <w:color w:val="auto"/>
                      <w:sz w:val="18"/>
                      <w:szCs w:val="18"/>
                      <w:highlight w:val="none"/>
                      <w:lang w:val="en-US" w:eastAsia="zh-CN"/>
                    </w:rPr>
                    <w:t>燃烧器及布袋除尘器</w:t>
                  </w:r>
                  <w:r>
                    <w:rPr>
                      <w:rFonts w:hint="default" w:ascii="Times New Roman" w:hAnsi="Times New Roman" w:cs="Times New Roman"/>
                      <w:color w:val="auto"/>
                      <w:sz w:val="18"/>
                      <w:szCs w:val="18"/>
                      <w:highlight w:val="none"/>
                    </w:rPr>
                    <w:t>，用于</w:t>
                  </w:r>
                  <w:r>
                    <w:rPr>
                      <w:rFonts w:hint="eastAsia" w:cs="Times New Roman"/>
                      <w:color w:val="auto"/>
                      <w:sz w:val="18"/>
                      <w:szCs w:val="18"/>
                      <w:highlight w:val="none"/>
                      <w:lang w:val="en-US" w:eastAsia="zh-CN"/>
                    </w:rPr>
                    <w:t>1期工程</w:t>
                  </w:r>
                  <w:r>
                    <w:rPr>
                      <w:rFonts w:hint="eastAsia" w:ascii="宋体" w:hAnsi="宋体" w:eastAsia="宋体" w:cs="宋体"/>
                      <w:color w:val="auto"/>
                      <w:sz w:val="18"/>
                      <w:szCs w:val="18"/>
                      <w:highlight w:val="none"/>
                      <w:lang w:val="en-US" w:eastAsia="zh-CN"/>
                    </w:rPr>
                    <w:t>生产</w:t>
                  </w:r>
                  <w:r>
                    <w:rPr>
                      <w:rFonts w:hint="eastAsia" w:ascii="宋体" w:hAnsi="宋体" w:cs="宋体"/>
                      <w:color w:val="auto"/>
                      <w:sz w:val="18"/>
                      <w:szCs w:val="18"/>
                      <w:highlight w:val="none"/>
                      <w:lang w:val="en-US" w:eastAsia="zh-CN"/>
                    </w:rPr>
                    <w:t>烘干</w:t>
                  </w:r>
                  <w:r>
                    <w:rPr>
                      <w:rFonts w:hint="eastAsia" w:ascii="宋体" w:hAnsi="宋体" w:eastAsia="宋体" w:cs="宋体"/>
                      <w:color w:val="auto"/>
                      <w:sz w:val="18"/>
                      <w:szCs w:val="18"/>
                      <w:highlight w:val="none"/>
                      <w:lang w:val="en-US" w:eastAsia="zh-CN"/>
                    </w:rPr>
                    <w:t>用热</w:t>
                  </w:r>
                  <w:r>
                    <w:rPr>
                      <w:rFonts w:hint="default" w:ascii="Times New Roman" w:hAnsi="Times New Roman" w:cs="Times New Roman"/>
                      <w:color w:val="auto"/>
                      <w:sz w:val="18"/>
                      <w:szCs w:val="18"/>
                      <w:highlight w:val="none"/>
                      <w:lang w:val="en-US" w:eastAsia="zh-CN"/>
                    </w:rPr>
                    <w:t>，2期工</w:t>
                  </w:r>
                  <w:r>
                    <w:rPr>
                      <w:rFonts w:hint="eastAsia" w:ascii="宋体" w:hAnsi="宋体" w:cs="宋体"/>
                      <w:color w:val="auto"/>
                      <w:sz w:val="18"/>
                      <w:szCs w:val="18"/>
                      <w:highlight w:val="none"/>
                      <w:lang w:val="en-US" w:eastAsia="zh-CN"/>
                    </w:rPr>
                    <w:t>程生产线建设后再新增</w:t>
                  </w:r>
                  <w:r>
                    <w:rPr>
                      <w:rFonts w:hint="eastAsia"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台</w:t>
                  </w:r>
                  <w:r>
                    <w:rPr>
                      <w:rFonts w:hint="eastAsia" w:cs="Times New Roman"/>
                      <w:color w:val="auto"/>
                      <w:sz w:val="18"/>
                      <w:szCs w:val="18"/>
                      <w:highlight w:val="none"/>
                      <w:lang w:val="en-US" w:eastAsia="zh-CN"/>
                    </w:rPr>
                    <w:t>360万kcal/h</w:t>
                  </w:r>
                  <w:r>
                    <w:rPr>
                      <w:rFonts w:hint="default" w:ascii="Times New Roman" w:hAnsi="Times New Roman" w:cs="Times New Roman"/>
                      <w:color w:val="auto"/>
                      <w:sz w:val="18"/>
                      <w:szCs w:val="18"/>
                      <w:highlight w:val="none"/>
                    </w:rPr>
                    <w:t>生物质</w:t>
                  </w:r>
                  <w:r>
                    <w:rPr>
                      <w:rFonts w:hint="eastAsia" w:cs="Times New Roman"/>
                      <w:color w:val="auto"/>
                      <w:sz w:val="18"/>
                      <w:szCs w:val="18"/>
                      <w:highlight w:val="none"/>
                      <w:lang w:val="en-US" w:eastAsia="zh-CN"/>
                    </w:rPr>
                    <w:t>燃烧器</w:t>
                  </w:r>
                  <w:r>
                    <w:rPr>
                      <w:rFonts w:hint="default" w:ascii="Times New Roman" w:hAnsi="Times New Roman" w:cs="Times New Roman"/>
                      <w:color w:val="auto"/>
                      <w:sz w:val="18"/>
                      <w:szCs w:val="18"/>
                      <w:highlight w:val="none"/>
                    </w:rPr>
                    <w:t>用于</w:t>
                  </w:r>
                  <w:r>
                    <w:rPr>
                      <w:rFonts w:hint="eastAsia" w:cs="Times New Roman"/>
                      <w:color w:val="auto"/>
                      <w:sz w:val="18"/>
                      <w:szCs w:val="18"/>
                      <w:highlight w:val="none"/>
                      <w:lang w:val="en-US" w:eastAsia="zh-CN"/>
                    </w:rPr>
                    <w:t>2期工程</w:t>
                  </w:r>
                  <w:r>
                    <w:rPr>
                      <w:rFonts w:hint="eastAsia" w:ascii="宋体" w:hAnsi="宋体" w:eastAsia="宋体" w:cs="宋体"/>
                      <w:color w:val="auto"/>
                      <w:sz w:val="18"/>
                      <w:szCs w:val="18"/>
                      <w:highlight w:val="none"/>
                      <w:lang w:val="en-US" w:eastAsia="zh-CN"/>
                    </w:rPr>
                    <w:t>生产</w:t>
                  </w:r>
                  <w:r>
                    <w:rPr>
                      <w:rFonts w:hint="eastAsia" w:ascii="宋体" w:hAnsi="宋体" w:cs="宋体"/>
                      <w:color w:val="auto"/>
                      <w:sz w:val="18"/>
                      <w:szCs w:val="18"/>
                      <w:highlight w:val="none"/>
                      <w:lang w:val="en-US" w:eastAsia="zh-CN"/>
                    </w:rPr>
                    <w:t>烘干</w:t>
                  </w:r>
                  <w:r>
                    <w:rPr>
                      <w:rFonts w:hint="eastAsia" w:ascii="宋体" w:hAnsi="宋体" w:eastAsia="宋体" w:cs="宋体"/>
                      <w:color w:val="auto"/>
                      <w:sz w:val="18"/>
                      <w:szCs w:val="18"/>
                      <w:highlight w:val="none"/>
                      <w:lang w:val="en-US" w:eastAsia="zh-CN"/>
                    </w:rPr>
                    <w:t>用热</w:t>
                  </w:r>
                  <w:r>
                    <w:rPr>
                      <w:rFonts w:hint="eastAsia" w:ascii="宋体" w:hAnsi="宋体" w:cs="宋体"/>
                      <w:color w:val="auto"/>
                      <w:sz w:val="18"/>
                      <w:szCs w:val="18"/>
                      <w:highlight w:val="none"/>
                      <w:lang w:val="en-US" w:eastAsia="zh-CN"/>
                    </w:rPr>
                    <w:t>。</w:t>
                  </w:r>
                </w:p>
              </w:tc>
              <w:tc>
                <w:tcPr>
                  <w:tcW w:w="520" w:type="pct"/>
                  <w:tcBorders>
                    <w:tl2br w:val="nil"/>
                    <w:tr2bl w:val="nil"/>
                  </w:tcBorders>
                  <w:vAlign w:val="center"/>
                </w:tcPr>
                <w:p w14:paraId="75F041A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建筑利旧、设备新建</w:t>
                  </w:r>
                </w:p>
              </w:tc>
            </w:tr>
            <w:tr w14:paraId="6BBD37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shd w:val="clear" w:color="auto" w:fill="auto"/>
                  <w:vAlign w:val="center"/>
                </w:tcPr>
                <w:p w14:paraId="3AF161B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sz w:val="18"/>
                      <w:szCs w:val="18"/>
                      <w:highlight w:val="none"/>
                    </w:rPr>
                  </w:pPr>
                </w:p>
              </w:tc>
              <w:tc>
                <w:tcPr>
                  <w:tcW w:w="773" w:type="pct"/>
                  <w:tcBorders>
                    <w:tl2br w:val="nil"/>
                    <w:tr2bl w:val="nil"/>
                  </w:tcBorders>
                  <w:shd w:val="clear" w:color="auto" w:fill="auto"/>
                  <w:vAlign w:val="center"/>
                </w:tcPr>
                <w:p w14:paraId="7FDDB6BD">
                  <w:pPr>
                    <w:pStyle w:val="146"/>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办公室</w:t>
                  </w:r>
                </w:p>
              </w:tc>
              <w:tc>
                <w:tcPr>
                  <w:tcW w:w="3296" w:type="pct"/>
                  <w:tcBorders>
                    <w:tl2br w:val="nil"/>
                    <w:tr2bl w:val="nil"/>
                  </w:tcBorders>
                  <w:shd w:val="clear" w:color="auto" w:fill="auto"/>
                  <w:vAlign w:val="center"/>
                </w:tcPr>
                <w:p w14:paraId="77C2A890">
                  <w:pPr>
                    <w:pStyle w:val="146"/>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auto"/>
                      <w:sz w:val="18"/>
                      <w:szCs w:val="18"/>
                      <w:highlight w:val="none"/>
                      <w:lang w:val="en-US" w:eastAsia="zh-CN"/>
                    </w:rPr>
                  </w:pPr>
                  <w:r>
                    <w:rPr>
                      <w:rFonts w:hint="eastAsia" w:cs="Times New Roman" w:eastAsiaTheme="minorEastAsia"/>
                      <w:color w:val="auto"/>
                      <w:kern w:val="0"/>
                      <w:sz w:val="18"/>
                      <w:szCs w:val="18"/>
                      <w:highlight w:val="none"/>
                      <w:lang w:val="en-US" w:eastAsia="zh-CN" w:bidi="ar"/>
                    </w:rPr>
                    <w:t>厂区北侧新建，</w:t>
                  </w:r>
                  <w:r>
                    <w:rPr>
                      <w:rFonts w:hint="default" w:ascii="Times New Roman" w:hAnsi="Times New Roman" w:cs="Times New Roman" w:eastAsiaTheme="minorEastAsia"/>
                      <w:color w:val="auto"/>
                      <w:kern w:val="0"/>
                      <w:sz w:val="18"/>
                      <w:szCs w:val="18"/>
                      <w:highlight w:val="none"/>
                      <w:lang w:val="en-US" w:eastAsia="zh-CN" w:bidi="ar"/>
                    </w:rPr>
                    <w:t>建筑面积</w:t>
                  </w:r>
                  <w:r>
                    <w:rPr>
                      <w:rFonts w:hint="eastAsia" w:cs="Times New Roman" w:eastAsiaTheme="minorEastAsia"/>
                      <w:color w:val="auto"/>
                      <w:kern w:val="0"/>
                      <w:sz w:val="18"/>
                      <w:szCs w:val="18"/>
                      <w:highlight w:val="none"/>
                      <w:lang w:val="en-US" w:eastAsia="zh-CN" w:bidi="ar"/>
                    </w:rPr>
                    <w:t>80</w:t>
                  </w:r>
                  <w:r>
                    <w:rPr>
                      <w:rFonts w:hint="default" w:ascii="Times New Roman" w:hAnsi="Times New Roman" w:cs="Times New Roman"/>
                      <w:color w:val="auto"/>
                      <w:kern w:val="21"/>
                      <w:sz w:val="18"/>
                      <w:szCs w:val="18"/>
                      <w:highlight w:val="none"/>
                      <w:lang w:val="en-US" w:eastAsia="zh-CN"/>
                    </w:rPr>
                    <w:t>m</w:t>
                  </w:r>
                  <w:r>
                    <w:rPr>
                      <w:rFonts w:hint="default" w:ascii="Times New Roman" w:hAnsi="Times New Roman" w:cs="Times New Roman"/>
                      <w:color w:val="auto"/>
                      <w:kern w:val="21"/>
                      <w:sz w:val="18"/>
                      <w:szCs w:val="18"/>
                      <w:highlight w:val="none"/>
                      <w:vertAlign w:val="superscript"/>
                      <w:lang w:val="en-US" w:eastAsia="zh-CN"/>
                    </w:rPr>
                    <w:t>2</w:t>
                  </w:r>
                  <w:r>
                    <w:rPr>
                      <w:rFonts w:hint="default" w:ascii="Times New Roman" w:hAnsi="Times New Roman" w:cs="Times New Roman"/>
                      <w:color w:val="auto"/>
                      <w:kern w:val="21"/>
                      <w:sz w:val="18"/>
                      <w:szCs w:val="18"/>
                      <w:highlight w:val="none"/>
                      <w:vertAlign w:val="baseline"/>
                      <w:lang w:val="en-US" w:eastAsia="zh-CN"/>
                    </w:rPr>
                    <w:t>，</w:t>
                  </w:r>
                  <w:r>
                    <w:rPr>
                      <w:rFonts w:hint="eastAsia" w:cs="Times New Roman"/>
                      <w:color w:val="auto"/>
                      <w:kern w:val="21"/>
                      <w:sz w:val="18"/>
                      <w:szCs w:val="18"/>
                      <w:highlight w:val="none"/>
                      <w:vertAlign w:val="baseline"/>
                      <w:lang w:val="en-US" w:eastAsia="zh-CN"/>
                    </w:rPr>
                    <w:t>1</w:t>
                  </w:r>
                  <w:r>
                    <w:rPr>
                      <w:rFonts w:hint="default" w:ascii="Times New Roman" w:hAnsi="Times New Roman" w:cs="Times New Roman"/>
                      <w:color w:val="auto"/>
                      <w:kern w:val="21"/>
                      <w:sz w:val="18"/>
                      <w:szCs w:val="18"/>
                      <w:highlight w:val="none"/>
                      <w:vertAlign w:val="baseline"/>
                      <w:lang w:val="en-US" w:eastAsia="zh-CN"/>
                    </w:rPr>
                    <w:t>层</w:t>
                  </w:r>
                  <w:r>
                    <w:rPr>
                      <w:rFonts w:hint="eastAsia" w:cs="Times New Roman"/>
                      <w:color w:val="auto"/>
                      <w:kern w:val="21"/>
                      <w:sz w:val="18"/>
                      <w:szCs w:val="18"/>
                      <w:highlight w:val="none"/>
                      <w:vertAlign w:val="baseline"/>
                      <w:lang w:val="en-US" w:eastAsia="zh-CN"/>
                    </w:rPr>
                    <w:t>简易保温板结构</w:t>
                  </w:r>
                  <w:r>
                    <w:rPr>
                      <w:rFonts w:hint="default" w:ascii="Times New Roman" w:hAnsi="Times New Roman" w:cs="Times New Roman"/>
                      <w:color w:val="auto"/>
                      <w:kern w:val="21"/>
                      <w:sz w:val="18"/>
                      <w:szCs w:val="18"/>
                      <w:highlight w:val="none"/>
                      <w:vertAlign w:val="baseline"/>
                      <w:lang w:val="en-US" w:eastAsia="zh-CN"/>
                    </w:rPr>
                    <w:t>，高</w:t>
                  </w:r>
                  <w:r>
                    <w:rPr>
                      <w:rFonts w:hint="eastAsia" w:cs="Times New Roman"/>
                      <w:color w:val="auto"/>
                      <w:kern w:val="21"/>
                      <w:sz w:val="18"/>
                      <w:szCs w:val="18"/>
                      <w:highlight w:val="none"/>
                      <w:vertAlign w:val="baseline"/>
                      <w:lang w:val="en-US" w:eastAsia="zh-CN"/>
                    </w:rPr>
                    <w:t>3m</w:t>
                  </w:r>
                  <w:r>
                    <w:rPr>
                      <w:rFonts w:hint="default" w:ascii="Times New Roman" w:hAnsi="Times New Roman" w:cs="Times New Roman"/>
                      <w:color w:val="auto"/>
                      <w:kern w:val="21"/>
                      <w:sz w:val="18"/>
                      <w:szCs w:val="18"/>
                      <w:highlight w:val="none"/>
                      <w:vertAlign w:val="baseline"/>
                      <w:lang w:val="en-US" w:eastAsia="zh-CN"/>
                    </w:rPr>
                    <w:t>，</w:t>
                  </w:r>
                  <w:r>
                    <w:rPr>
                      <w:rFonts w:hint="eastAsia" w:cs="Times New Roman"/>
                      <w:color w:val="auto"/>
                      <w:kern w:val="21"/>
                      <w:sz w:val="18"/>
                      <w:szCs w:val="18"/>
                      <w:highlight w:val="none"/>
                      <w:vertAlign w:val="baseline"/>
                      <w:lang w:val="en-US" w:eastAsia="zh-CN"/>
                    </w:rPr>
                    <w:t>用于员工办公。本项目不设置食堂与宿舍。</w:t>
                  </w:r>
                </w:p>
              </w:tc>
              <w:tc>
                <w:tcPr>
                  <w:tcW w:w="520" w:type="pct"/>
                  <w:tcBorders>
                    <w:tl2br w:val="nil"/>
                    <w:tr2bl w:val="nil"/>
                  </w:tcBorders>
                  <w:vAlign w:val="center"/>
                </w:tcPr>
                <w:p w14:paraId="7CFB740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新建</w:t>
                  </w:r>
                </w:p>
              </w:tc>
            </w:tr>
            <w:tr w14:paraId="0E5173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restart"/>
                  <w:tcBorders>
                    <w:tl2br w:val="nil"/>
                    <w:tr2bl w:val="nil"/>
                  </w:tcBorders>
                  <w:shd w:val="clear" w:color="auto" w:fill="auto"/>
                  <w:vAlign w:val="center"/>
                </w:tcPr>
                <w:p w14:paraId="4D1583B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储运</w:t>
                  </w:r>
                </w:p>
                <w:p w14:paraId="51EDA72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工程</w:t>
                  </w:r>
                </w:p>
              </w:tc>
              <w:tc>
                <w:tcPr>
                  <w:tcW w:w="773" w:type="pct"/>
                  <w:tcBorders>
                    <w:tl2br w:val="nil"/>
                    <w:tr2bl w:val="nil"/>
                  </w:tcBorders>
                  <w:shd w:val="clear" w:color="auto" w:fill="auto"/>
                  <w:vAlign w:val="center"/>
                </w:tcPr>
                <w:p w14:paraId="06D8E21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灰渣间</w:t>
                  </w:r>
                </w:p>
              </w:tc>
              <w:tc>
                <w:tcPr>
                  <w:tcW w:w="3296" w:type="pct"/>
                  <w:tcBorders>
                    <w:tl2br w:val="nil"/>
                    <w:tr2bl w:val="nil"/>
                  </w:tcBorders>
                  <w:shd w:val="clear" w:color="auto" w:fill="auto"/>
                  <w:vAlign w:val="center"/>
                </w:tcPr>
                <w:p w14:paraId="12ED9C4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在热风炉房</w:t>
                  </w:r>
                  <w:r>
                    <w:rPr>
                      <w:rFonts w:hint="default" w:ascii="Times New Roman" w:hAnsi="Times New Roman" w:cs="Times New Roman"/>
                      <w:color w:val="auto"/>
                      <w:sz w:val="18"/>
                      <w:szCs w:val="18"/>
                      <w:highlight w:val="none"/>
                    </w:rPr>
                    <w:t>内</w:t>
                  </w:r>
                  <w:r>
                    <w:rPr>
                      <w:rFonts w:hint="eastAsia" w:cs="Times New Roman"/>
                      <w:color w:val="auto"/>
                      <w:sz w:val="18"/>
                      <w:szCs w:val="18"/>
                      <w:highlight w:val="none"/>
                      <w:lang w:val="en-US" w:eastAsia="zh-CN"/>
                    </w:rPr>
                    <w:t>设置一个密闭灰渣间</w:t>
                  </w:r>
                  <w:r>
                    <w:rPr>
                      <w:rFonts w:hint="default" w:ascii="Times New Roman" w:hAnsi="Times New Roman" w:cs="Times New Roman"/>
                      <w:color w:val="auto"/>
                      <w:sz w:val="18"/>
                      <w:szCs w:val="18"/>
                      <w:highlight w:val="none"/>
                    </w:rPr>
                    <w:t>，</w:t>
                  </w:r>
                  <w:r>
                    <w:rPr>
                      <w:rFonts w:hint="eastAsia" w:cs="Times New Roman"/>
                      <w:color w:val="auto"/>
                      <w:sz w:val="18"/>
                      <w:szCs w:val="18"/>
                      <w:highlight w:val="none"/>
                      <w:lang w:val="en-US" w:eastAsia="zh-CN"/>
                    </w:rPr>
                    <w:t>占地面积7.5m</w:t>
                  </w:r>
                  <w:r>
                    <w:rPr>
                      <w:rFonts w:hint="eastAsia" w:cs="Times New Roman"/>
                      <w:color w:val="auto"/>
                      <w:sz w:val="18"/>
                      <w:szCs w:val="18"/>
                      <w:highlight w:val="none"/>
                      <w:vertAlign w:val="superscript"/>
                      <w:lang w:val="en-US" w:eastAsia="zh-CN"/>
                    </w:rPr>
                    <w:t>2</w:t>
                  </w:r>
                  <w:r>
                    <w:rPr>
                      <w:rFonts w:hint="eastAsia" w:cs="Times New Roman"/>
                      <w:color w:val="auto"/>
                      <w:sz w:val="18"/>
                      <w:szCs w:val="18"/>
                      <w:highlight w:val="none"/>
                      <w:lang w:val="en-US" w:eastAsia="zh-CN"/>
                    </w:rPr>
                    <w:t>，高3m，最大</w:t>
                  </w:r>
                  <w:r>
                    <w:rPr>
                      <w:rFonts w:hint="default" w:ascii="Times New Roman" w:hAnsi="Times New Roman" w:cs="Times New Roman"/>
                      <w:color w:val="auto"/>
                      <w:sz w:val="18"/>
                      <w:szCs w:val="18"/>
                      <w:highlight w:val="none"/>
                    </w:rPr>
                    <w:t>存储量为</w:t>
                  </w:r>
                  <w:r>
                    <w:rPr>
                      <w:rFonts w:hint="eastAsia" w:cs="Times New Roman"/>
                      <w:color w:val="auto"/>
                      <w:sz w:val="18"/>
                      <w:szCs w:val="18"/>
                      <w:highlight w:val="none"/>
                      <w:lang w:val="en-US" w:eastAsia="zh-CN"/>
                    </w:rPr>
                    <w:t>20</w:t>
                  </w:r>
                  <w:r>
                    <w:rPr>
                      <w:rFonts w:hint="default" w:ascii="Times New Roman" w:hAnsi="Times New Roman" w:cs="Times New Roman"/>
                      <w:color w:val="auto"/>
                      <w:sz w:val="18"/>
                      <w:szCs w:val="18"/>
                      <w:highlight w:val="none"/>
                    </w:rPr>
                    <w:t>t</w:t>
                  </w:r>
                  <w:r>
                    <w:rPr>
                      <w:rFonts w:hint="eastAsia" w:ascii="Times New Roman" w:hAnsi="Times New Roman" w:cs="Times New Roman"/>
                      <w:color w:val="auto"/>
                      <w:sz w:val="18"/>
                      <w:szCs w:val="18"/>
                      <w:highlight w:val="none"/>
                      <w:lang w:eastAsia="zh-CN"/>
                    </w:rPr>
                    <w:t>，</w:t>
                  </w:r>
                  <w:r>
                    <w:rPr>
                      <w:rFonts w:hint="eastAsia" w:cs="Times New Roman"/>
                      <w:color w:val="auto"/>
                      <w:sz w:val="18"/>
                      <w:szCs w:val="18"/>
                      <w:highlight w:val="none"/>
                      <w:lang w:val="en-US" w:eastAsia="zh-CN"/>
                    </w:rPr>
                    <w:t>灰渣集中收集暂存灰渣间内，地面采取水泥硬化，</w:t>
                  </w:r>
                  <w:r>
                    <w:rPr>
                      <w:rFonts w:hint="default" w:ascii="Times New Roman" w:hAnsi="Times New Roman" w:cs="Times New Roman"/>
                      <w:color w:val="auto"/>
                      <w:sz w:val="18"/>
                      <w:szCs w:val="18"/>
                      <w:highlight w:val="none"/>
                      <w:lang w:val="en-US" w:eastAsia="zh-CN"/>
                    </w:rPr>
                    <w:t>每</w:t>
                  </w:r>
                  <w:r>
                    <w:rPr>
                      <w:rFonts w:hint="eastAsia" w:cs="Times New Roman"/>
                      <w:color w:val="auto"/>
                      <w:sz w:val="18"/>
                      <w:szCs w:val="18"/>
                      <w:highlight w:val="none"/>
                      <w:lang w:val="en-US" w:eastAsia="zh-CN"/>
                    </w:rPr>
                    <w:t>5天清运1次，不在厂区长期储存，由周边农户作为肥料还田</w:t>
                  </w:r>
                  <w:r>
                    <w:rPr>
                      <w:rFonts w:hint="default" w:ascii="Times New Roman" w:hAnsi="Times New Roman" w:cs="Times New Roman"/>
                      <w:color w:val="auto"/>
                      <w:sz w:val="18"/>
                      <w:szCs w:val="18"/>
                      <w:highlight w:val="none"/>
                    </w:rPr>
                    <w:t>。</w:t>
                  </w:r>
                </w:p>
              </w:tc>
              <w:tc>
                <w:tcPr>
                  <w:tcW w:w="520" w:type="pct"/>
                  <w:tcBorders>
                    <w:tl2br w:val="nil"/>
                    <w:tr2bl w:val="nil"/>
                  </w:tcBorders>
                  <w:vAlign w:val="center"/>
                </w:tcPr>
                <w:p w14:paraId="4E9B208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新建</w:t>
                  </w:r>
                </w:p>
              </w:tc>
            </w:tr>
            <w:tr w14:paraId="5BC1FE8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8" w:type="pct"/>
                  <w:vMerge w:val="continue"/>
                  <w:tcBorders>
                    <w:tl2br w:val="nil"/>
                    <w:tr2bl w:val="nil"/>
                  </w:tcBorders>
                  <w:shd w:val="clear" w:color="auto" w:fill="auto"/>
                  <w:vAlign w:val="center"/>
                </w:tcPr>
                <w:p w14:paraId="40C7E10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sz w:val="18"/>
                      <w:szCs w:val="18"/>
                      <w:highlight w:val="none"/>
                    </w:rPr>
                  </w:pPr>
                </w:p>
              </w:tc>
              <w:tc>
                <w:tcPr>
                  <w:tcW w:w="773" w:type="pct"/>
                  <w:tcBorders>
                    <w:tl2br w:val="nil"/>
                    <w:tr2bl w:val="nil"/>
                  </w:tcBorders>
                  <w:shd w:val="clear" w:color="auto" w:fill="auto"/>
                  <w:vAlign w:val="center"/>
                </w:tcPr>
                <w:p w14:paraId="031411E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原料堆场</w:t>
                  </w:r>
                </w:p>
              </w:tc>
              <w:tc>
                <w:tcPr>
                  <w:tcW w:w="3296" w:type="pct"/>
                  <w:tcBorders>
                    <w:tl2br w:val="nil"/>
                    <w:tr2bl w:val="nil"/>
                  </w:tcBorders>
                  <w:shd w:val="clear" w:color="auto" w:fill="auto"/>
                  <w:vAlign w:val="center"/>
                </w:tcPr>
                <w:p w14:paraId="538318C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eastAsia="宋体" w:cs="Times New Roman"/>
                      <w:color w:val="auto"/>
                      <w:kern w:val="0"/>
                      <w:sz w:val="18"/>
                      <w:szCs w:val="18"/>
                      <w:highlight w:val="none"/>
                      <w:lang w:val="en-US" w:eastAsia="zh-CN" w:bidi="ar"/>
                    </w:rPr>
                  </w:pPr>
                  <w:r>
                    <w:rPr>
                      <w:rFonts w:hint="eastAsia" w:cs="Times New Roman"/>
                      <w:color w:val="auto"/>
                      <w:kern w:val="0"/>
                      <w:sz w:val="18"/>
                      <w:szCs w:val="18"/>
                      <w:highlight w:val="none"/>
                      <w:lang w:val="en-US" w:eastAsia="zh-CN" w:bidi="ar"/>
                    </w:rPr>
                    <w:t>占地面积2000m</w:t>
                  </w:r>
                  <w:r>
                    <w:rPr>
                      <w:rFonts w:hint="eastAsia" w:cs="Times New Roman"/>
                      <w:color w:val="auto"/>
                      <w:kern w:val="0"/>
                      <w:sz w:val="18"/>
                      <w:szCs w:val="18"/>
                      <w:highlight w:val="none"/>
                      <w:vertAlign w:val="superscript"/>
                      <w:lang w:val="en-US" w:eastAsia="zh-CN" w:bidi="ar"/>
                    </w:rPr>
                    <w:t>2</w:t>
                  </w:r>
                  <w:r>
                    <w:rPr>
                      <w:rFonts w:hint="eastAsia" w:cs="Times New Roman"/>
                      <w:color w:val="auto"/>
                      <w:kern w:val="0"/>
                      <w:sz w:val="18"/>
                      <w:szCs w:val="18"/>
                      <w:highlight w:val="none"/>
                      <w:lang w:val="en-US" w:eastAsia="zh-CN" w:bidi="ar"/>
                    </w:rPr>
                    <w:t>，四周设置2m高围挡，地面采取简单硬化，根据生产需求暂存原料，原料上方使用苫布遮盖，不长期储存。</w:t>
                  </w:r>
                </w:p>
              </w:tc>
              <w:tc>
                <w:tcPr>
                  <w:tcW w:w="520" w:type="pct"/>
                  <w:tcBorders>
                    <w:tl2br w:val="nil"/>
                    <w:tr2bl w:val="nil"/>
                  </w:tcBorders>
                  <w:vAlign w:val="center"/>
                </w:tcPr>
                <w:p w14:paraId="043CE30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新建</w:t>
                  </w:r>
                </w:p>
              </w:tc>
            </w:tr>
            <w:tr w14:paraId="71724C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08" w:type="pct"/>
                  <w:vMerge w:val="continue"/>
                  <w:tcBorders>
                    <w:tl2br w:val="nil"/>
                    <w:tr2bl w:val="nil"/>
                  </w:tcBorders>
                  <w:shd w:val="clear" w:color="auto" w:fill="auto"/>
                  <w:vAlign w:val="center"/>
                </w:tcPr>
                <w:p w14:paraId="2B187BA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sz w:val="18"/>
                      <w:szCs w:val="18"/>
                      <w:highlight w:val="none"/>
                    </w:rPr>
                  </w:pPr>
                </w:p>
              </w:tc>
              <w:tc>
                <w:tcPr>
                  <w:tcW w:w="773" w:type="pct"/>
                  <w:tcBorders>
                    <w:tl2br w:val="nil"/>
                    <w:tr2bl w:val="nil"/>
                  </w:tcBorders>
                  <w:shd w:val="clear" w:color="auto" w:fill="auto"/>
                  <w:vAlign w:val="center"/>
                </w:tcPr>
                <w:p w14:paraId="6E8331C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成品仓</w:t>
                  </w:r>
                </w:p>
              </w:tc>
              <w:tc>
                <w:tcPr>
                  <w:tcW w:w="3296" w:type="pct"/>
                  <w:tcBorders>
                    <w:tl2br w:val="nil"/>
                    <w:tr2bl w:val="nil"/>
                  </w:tcBorders>
                  <w:shd w:val="clear" w:color="auto" w:fill="auto"/>
                  <w:vAlign w:val="center"/>
                </w:tcPr>
                <w:p w14:paraId="4838521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both"/>
                    <w:textAlignment w:val="auto"/>
                    <w:rPr>
                      <w:rFonts w:hint="default" w:ascii="Times New Roman" w:hAnsi="Times New Roman" w:cs="Times New Roman" w:eastAsiaTheme="minorEastAsia"/>
                      <w:color w:val="auto"/>
                      <w:kern w:val="0"/>
                      <w:sz w:val="18"/>
                      <w:szCs w:val="18"/>
                      <w:highlight w:val="none"/>
                      <w:lang w:val="en-US" w:eastAsia="zh-CN" w:bidi="ar"/>
                    </w:rPr>
                  </w:pPr>
                  <w:r>
                    <w:rPr>
                      <w:rFonts w:hint="eastAsia" w:cs="Times New Roman"/>
                      <w:color w:val="auto"/>
                      <w:kern w:val="21"/>
                      <w:sz w:val="18"/>
                      <w:szCs w:val="18"/>
                      <w:highlight w:val="none"/>
                      <w:vertAlign w:val="baseline"/>
                      <w:lang w:val="en-US" w:eastAsia="zh-CN"/>
                    </w:rPr>
                    <w:t>位于生产车间内，生产线末端设置成品仓，1号车间成品仓占地面积25m</w:t>
                  </w:r>
                  <w:r>
                    <w:rPr>
                      <w:rFonts w:hint="eastAsia" w:cs="Times New Roman"/>
                      <w:color w:val="auto"/>
                      <w:kern w:val="21"/>
                      <w:sz w:val="18"/>
                      <w:szCs w:val="18"/>
                      <w:highlight w:val="none"/>
                      <w:vertAlign w:val="superscript"/>
                      <w:lang w:val="en-US" w:eastAsia="zh-CN"/>
                    </w:rPr>
                    <w:t>2</w:t>
                  </w:r>
                  <w:r>
                    <w:rPr>
                      <w:rFonts w:hint="eastAsia" w:cs="Times New Roman"/>
                      <w:color w:val="auto"/>
                      <w:kern w:val="21"/>
                      <w:sz w:val="18"/>
                      <w:szCs w:val="18"/>
                      <w:highlight w:val="none"/>
                      <w:vertAlign w:val="baseline"/>
                      <w:lang w:val="en-US" w:eastAsia="zh-CN"/>
                    </w:rPr>
                    <w:t>，高5m，2号车间成品仓占地面积30m</w:t>
                  </w:r>
                  <w:r>
                    <w:rPr>
                      <w:rFonts w:hint="eastAsia" w:cs="Times New Roman"/>
                      <w:color w:val="auto"/>
                      <w:kern w:val="21"/>
                      <w:sz w:val="18"/>
                      <w:szCs w:val="18"/>
                      <w:highlight w:val="none"/>
                      <w:vertAlign w:val="superscript"/>
                      <w:lang w:val="en-US" w:eastAsia="zh-CN"/>
                    </w:rPr>
                    <w:t>2</w:t>
                  </w:r>
                  <w:r>
                    <w:rPr>
                      <w:rFonts w:hint="eastAsia" w:cs="Times New Roman"/>
                      <w:color w:val="auto"/>
                      <w:kern w:val="21"/>
                      <w:sz w:val="18"/>
                      <w:szCs w:val="18"/>
                      <w:highlight w:val="none"/>
                      <w:vertAlign w:val="baseline"/>
                      <w:lang w:val="en-US" w:eastAsia="zh-CN"/>
                    </w:rPr>
                    <w:t>，高4米，均为全金属封闭式，用于存储成品，单仓最大存储量约为100t，成品供给本项目生物质燃烧器使用，日用量约为26.6t，其余成品外售，每2天外运1次，不长期储存。</w:t>
                  </w:r>
                </w:p>
              </w:tc>
              <w:tc>
                <w:tcPr>
                  <w:tcW w:w="520" w:type="pct"/>
                  <w:tcBorders>
                    <w:tl2br w:val="nil"/>
                    <w:tr2bl w:val="nil"/>
                  </w:tcBorders>
                  <w:vAlign w:val="center"/>
                </w:tcPr>
                <w:p w14:paraId="368C4BD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新建</w:t>
                  </w:r>
                </w:p>
              </w:tc>
            </w:tr>
            <w:tr w14:paraId="179AE5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restart"/>
                  <w:tcBorders>
                    <w:tl2br w:val="nil"/>
                    <w:tr2bl w:val="nil"/>
                  </w:tcBorders>
                  <w:vAlign w:val="center"/>
                </w:tcPr>
                <w:p w14:paraId="4DC7E4C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r>
                    <w:rPr>
                      <w:rFonts w:hint="eastAsia" w:ascii="宋体" w:hAnsi="宋体" w:cs="宋体"/>
                      <w:color w:val="auto"/>
                      <w:sz w:val="18"/>
                      <w:szCs w:val="18"/>
                      <w:highlight w:val="none"/>
                    </w:rPr>
                    <w:t>公用工程</w:t>
                  </w:r>
                </w:p>
              </w:tc>
              <w:tc>
                <w:tcPr>
                  <w:tcW w:w="773" w:type="pct"/>
                  <w:tcBorders>
                    <w:tl2br w:val="nil"/>
                    <w:tr2bl w:val="nil"/>
                  </w:tcBorders>
                  <w:vAlign w:val="center"/>
                </w:tcPr>
                <w:p w14:paraId="63A579D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r>
                    <w:rPr>
                      <w:rFonts w:hint="eastAsia" w:ascii="宋体" w:hAnsi="宋体" w:cs="宋体"/>
                      <w:color w:val="auto"/>
                      <w:sz w:val="18"/>
                      <w:szCs w:val="18"/>
                      <w:highlight w:val="none"/>
                    </w:rPr>
                    <w:t>供水</w:t>
                  </w:r>
                </w:p>
              </w:tc>
              <w:tc>
                <w:tcPr>
                  <w:tcW w:w="3296" w:type="pct"/>
                  <w:tcBorders>
                    <w:tl2br w:val="nil"/>
                    <w:tr2bl w:val="nil"/>
                  </w:tcBorders>
                  <w:vAlign w:val="center"/>
                </w:tcPr>
                <w:p w14:paraId="415E9CA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本项目生产不用水，员工生活用水为外购桶装水，洒水降尘用水为罐车拉运。</w:t>
                  </w:r>
                </w:p>
              </w:tc>
              <w:tc>
                <w:tcPr>
                  <w:tcW w:w="520" w:type="pct"/>
                  <w:tcBorders>
                    <w:tl2br w:val="nil"/>
                    <w:tr2bl w:val="nil"/>
                  </w:tcBorders>
                  <w:vAlign w:val="center"/>
                </w:tcPr>
                <w:p w14:paraId="08DEDD9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新建</w:t>
                  </w:r>
                </w:p>
              </w:tc>
            </w:tr>
            <w:tr w14:paraId="360FF6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14:paraId="777FAED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p>
              </w:tc>
              <w:tc>
                <w:tcPr>
                  <w:tcW w:w="773" w:type="pct"/>
                  <w:tcBorders>
                    <w:tl2br w:val="nil"/>
                    <w:tr2bl w:val="nil"/>
                  </w:tcBorders>
                  <w:vAlign w:val="center"/>
                </w:tcPr>
                <w:p w14:paraId="7CC1951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r>
                    <w:rPr>
                      <w:rFonts w:hint="eastAsia" w:ascii="宋体" w:hAnsi="宋体" w:cs="宋体"/>
                      <w:color w:val="auto"/>
                      <w:sz w:val="18"/>
                      <w:szCs w:val="18"/>
                      <w:highlight w:val="none"/>
                    </w:rPr>
                    <w:t>排水</w:t>
                  </w:r>
                </w:p>
              </w:tc>
              <w:tc>
                <w:tcPr>
                  <w:tcW w:w="3296" w:type="pct"/>
                  <w:tcBorders>
                    <w:tl2br w:val="nil"/>
                    <w:tr2bl w:val="nil"/>
                  </w:tcBorders>
                  <w:vAlign w:val="center"/>
                </w:tcPr>
                <w:p w14:paraId="7D077E6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bCs/>
                      <w:color w:val="auto"/>
                      <w:sz w:val="18"/>
                      <w:szCs w:val="18"/>
                      <w:highlight w:val="none"/>
                    </w:rPr>
                  </w:pPr>
                  <w:r>
                    <w:rPr>
                      <w:rFonts w:hint="eastAsia"/>
                      <w:bCs/>
                      <w:color w:val="auto"/>
                      <w:sz w:val="18"/>
                      <w:szCs w:val="18"/>
                      <w:highlight w:val="none"/>
                    </w:rPr>
                    <w:t>本项目生产过程中无废水产生，</w:t>
                  </w:r>
                  <w:r>
                    <w:rPr>
                      <w:rFonts w:hint="eastAsia"/>
                      <w:bCs/>
                      <w:color w:val="auto"/>
                      <w:sz w:val="18"/>
                      <w:szCs w:val="18"/>
                      <w:highlight w:val="none"/>
                      <w:lang w:val="en-US" w:eastAsia="zh-CN"/>
                    </w:rPr>
                    <w:t>生活污水排入防渗旱厕，定期清掏，外运堆肥，不外排。</w:t>
                  </w:r>
                </w:p>
              </w:tc>
              <w:tc>
                <w:tcPr>
                  <w:tcW w:w="520" w:type="pct"/>
                  <w:tcBorders>
                    <w:tl2br w:val="nil"/>
                    <w:tr2bl w:val="nil"/>
                  </w:tcBorders>
                  <w:vAlign w:val="center"/>
                </w:tcPr>
                <w:p w14:paraId="07FC707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r>
                    <w:rPr>
                      <w:rFonts w:hint="eastAsia" w:ascii="宋体" w:hAnsi="宋体" w:cs="宋体"/>
                      <w:color w:val="auto"/>
                      <w:sz w:val="18"/>
                      <w:szCs w:val="18"/>
                      <w:highlight w:val="none"/>
                      <w:lang w:val="en-US" w:eastAsia="zh-CN"/>
                    </w:rPr>
                    <w:t>新建</w:t>
                  </w:r>
                </w:p>
              </w:tc>
            </w:tr>
            <w:tr w14:paraId="5307A6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14:paraId="5298762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p>
              </w:tc>
              <w:tc>
                <w:tcPr>
                  <w:tcW w:w="773" w:type="pct"/>
                  <w:tcBorders>
                    <w:tl2br w:val="nil"/>
                    <w:tr2bl w:val="nil"/>
                  </w:tcBorders>
                  <w:vAlign w:val="center"/>
                </w:tcPr>
                <w:p w14:paraId="028F2A4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r>
                    <w:rPr>
                      <w:rFonts w:hint="eastAsia" w:ascii="宋体" w:hAnsi="宋体" w:cs="宋体"/>
                      <w:color w:val="auto"/>
                      <w:sz w:val="18"/>
                      <w:szCs w:val="18"/>
                      <w:highlight w:val="none"/>
                    </w:rPr>
                    <w:t>供热/暖</w:t>
                  </w:r>
                </w:p>
              </w:tc>
              <w:tc>
                <w:tcPr>
                  <w:tcW w:w="3296" w:type="pct"/>
                  <w:tcBorders>
                    <w:tl2br w:val="nil"/>
                    <w:tr2bl w:val="nil"/>
                  </w:tcBorders>
                  <w:vAlign w:val="center"/>
                </w:tcPr>
                <w:p w14:paraId="4EB118F1">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生产用热</w:t>
                  </w:r>
                  <w:r>
                    <w:rPr>
                      <w:rFonts w:hint="default" w:ascii="Times New Roman" w:hAnsi="Times New Roman" w:cs="Times New Roman"/>
                      <w:bCs/>
                      <w:color w:val="auto"/>
                      <w:sz w:val="18"/>
                      <w:szCs w:val="18"/>
                      <w:highlight w:val="none"/>
                    </w:rPr>
                    <w:t>由</w:t>
                  </w:r>
                  <w:r>
                    <w:rPr>
                      <w:rFonts w:hint="eastAsia"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台</w:t>
                  </w:r>
                  <w:r>
                    <w:rPr>
                      <w:rFonts w:hint="eastAsia" w:cs="Times New Roman"/>
                      <w:color w:val="auto"/>
                      <w:sz w:val="18"/>
                      <w:szCs w:val="18"/>
                      <w:highlight w:val="none"/>
                      <w:lang w:val="en-US" w:eastAsia="zh-CN"/>
                    </w:rPr>
                    <w:t>360万kcal/h</w:t>
                  </w:r>
                  <w:r>
                    <w:rPr>
                      <w:rFonts w:hint="default" w:ascii="Times New Roman" w:hAnsi="Times New Roman" w:cs="Times New Roman"/>
                      <w:color w:val="auto"/>
                      <w:sz w:val="18"/>
                      <w:szCs w:val="18"/>
                      <w:highlight w:val="none"/>
                    </w:rPr>
                    <w:t>生物质</w:t>
                  </w:r>
                  <w:r>
                    <w:rPr>
                      <w:rFonts w:hint="eastAsia" w:cs="Times New Roman"/>
                      <w:color w:val="auto"/>
                      <w:sz w:val="18"/>
                      <w:szCs w:val="18"/>
                      <w:highlight w:val="none"/>
                      <w:lang w:eastAsia="zh-CN"/>
                    </w:rPr>
                    <w:t>燃烧器提供，</w:t>
                  </w:r>
                  <w:r>
                    <w:rPr>
                      <w:rFonts w:hint="eastAsia" w:ascii="宋体" w:hAnsi="宋体" w:cs="宋体"/>
                      <w:color w:val="auto"/>
                      <w:sz w:val="18"/>
                      <w:szCs w:val="18"/>
                      <w:highlight w:val="none"/>
                      <w:lang w:val="en-US" w:eastAsia="zh-CN"/>
                    </w:rPr>
                    <w:t>办公室采用电取暖</w:t>
                  </w:r>
                  <w:r>
                    <w:rPr>
                      <w:rFonts w:hint="default" w:ascii="Times New Roman" w:hAnsi="Times New Roman" w:cs="Times New Roman"/>
                      <w:bCs/>
                      <w:color w:val="auto"/>
                      <w:sz w:val="18"/>
                      <w:szCs w:val="18"/>
                      <w:highlight w:val="none"/>
                    </w:rPr>
                    <w:t>。</w:t>
                  </w:r>
                </w:p>
              </w:tc>
              <w:tc>
                <w:tcPr>
                  <w:tcW w:w="520" w:type="pct"/>
                  <w:tcBorders>
                    <w:tl2br w:val="nil"/>
                    <w:tr2bl w:val="nil"/>
                  </w:tcBorders>
                  <w:vAlign w:val="center"/>
                </w:tcPr>
                <w:p w14:paraId="25826A5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新建</w:t>
                  </w:r>
                </w:p>
              </w:tc>
            </w:tr>
            <w:tr w14:paraId="1EFCB98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14:paraId="5CA4310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p>
              </w:tc>
              <w:tc>
                <w:tcPr>
                  <w:tcW w:w="773" w:type="pct"/>
                  <w:tcBorders>
                    <w:tl2br w:val="nil"/>
                    <w:tr2bl w:val="nil"/>
                  </w:tcBorders>
                  <w:vAlign w:val="center"/>
                </w:tcPr>
                <w:p w14:paraId="13438C7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r>
                    <w:rPr>
                      <w:rFonts w:hint="eastAsia" w:ascii="宋体" w:hAnsi="宋体" w:cs="宋体"/>
                      <w:color w:val="auto"/>
                      <w:sz w:val="18"/>
                      <w:szCs w:val="18"/>
                      <w:highlight w:val="none"/>
                    </w:rPr>
                    <w:t>供电</w:t>
                  </w:r>
                </w:p>
              </w:tc>
              <w:tc>
                <w:tcPr>
                  <w:tcW w:w="3296" w:type="pct"/>
                  <w:tcBorders>
                    <w:tl2br w:val="nil"/>
                    <w:tr2bl w:val="nil"/>
                  </w:tcBorders>
                  <w:vAlign w:val="center"/>
                </w:tcPr>
                <w:p w14:paraId="00B7A08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宋体" w:hAnsi="宋体" w:eastAsia="宋体" w:cs="宋体"/>
                      <w:color w:val="auto"/>
                      <w:sz w:val="18"/>
                      <w:szCs w:val="18"/>
                      <w:highlight w:val="none"/>
                      <w:lang w:eastAsia="zh-CN"/>
                    </w:rPr>
                  </w:pPr>
                  <w:r>
                    <w:rPr>
                      <w:rFonts w:hint="eastAsia" w:ascii="宋体" w:hAnsi="宋体" w:eastAsia="宋体" w:cs="宋体"/>
                      <w:color w:val="auto"/>
                      <w:sz w:val="18"/>
                      <w:szCs w:val="18"/>
                      <w:highlight w:val="none"/>
                      <w:lang w:eastAsia="zh-CN"/>
                    </w:rPr>
                    <w:t>当地电业局供给</w:t>
                  </w:r>
                </w:p>
              </w:tc>
              <w:tc>
                <w:tcPr>
                  <w:tcW w:w="520" w:type="pct"/>
                  <w:tcBorders>
                    <w:tl2br w:val="nil"/>
                    <w:tr2bl w:val="nil"/>
                  </w:tcBorders>
                  <w:vAlign w:val="center"/>
                </w:tcPr>
                <w:p w14:paraId="7FA5601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宋体" w:hAnsi="宋体" w:cs="宋体"/>
                      <w:color w:val="auto"/>
                      <w:sz w:val="18"/>
                      <w:szCs w:val="18"/>
                      <w:highlight w:val="none"/>
                    </w:rPr>
                  </w:pPr>
                  <w:r>
                    <w:rPr>
                      <w:rFonts w:hint="eastAsia" w:ascii="宋体" w:hAnsi="宋体" w:cs="宋体"/>
                      <w:color w:val="auto"/>
                      <w:sz w:val="18"/>
                      <w:szCs w:val="18"/>
                      <w:highlight w:val="none"/>
                      <w:lang w:val="en-US" w:eastAsia="zh-CN"/>
                    </w:rPr>
                    <w:t>新建</w:t>
                  </w:r>
                </w:p>
              </w:tc>
            </w:tr>
            <w:tr w14:paraId="255E72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restart"/>
                  <w:tcBorders>
                    <w:tl2br w:val="nil"/>
                    <w:tr2bl w:val="nil"/>
                  </w:tcBorders>
                  <w:vAlign w:val="center"/>
                </w:tcPr>
                <w:p w14:paraId="460F961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r>
                    <w:rPr>
                      <w:rFonts w:hint="eastAsia" w:ascii="宋体" w:hAnsi="宋体" w:cs="宋体"/>
                      <w:color w:val="auto"/>
                      <w:sz w:val="18"/>
                      <w:szCs w:val="18"/>
                      <w:highlight w:val="none"/>
                    </w:rPr>
                    <w:t>环保工程</w:t>
                  </w:r>
                </w:p>
              </w:tc>
              <w:tc>
                <w:tcPr>
                  <w:tcW w:w="773" w:type="pct"/>
                  <w:tcBorders>
                    <w:tl2br w:val="nil"/>
                    <w:tr2bl w:val="nil"/>
                  </w:tcBorders>
                  <w:vAlign w:val="center"/>
                </w:tcPr>
                <w:p w14:paraId="7573892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宋体" w:hAnsi="宋体" w:cs="宋体"/>
                      <w:color w:val="auto"/>
                      <w:sz w:val="18"/>
                      <w:szCs w:val="18"/>
                      <w:highlight w:val="none"/>
                    </w:rPr>
                  </w:pPr>
                  <w:r>
                    <w:rPr>
                      <w:rFonts w:hint="eastAsia" w:ascii="宋体" w:hAnsi="宋体" w:cs="宋体"/>
                      <w:color w:val="auto"/>
                      <w:sz w:val="18"/>
                      <w:szCs w:val="18"/>
                      <w:highlight w:val="none"/>
                    </w:rPr>
                    <w:t>废气</w:t>
                  </w:r>
                </w:p>
              </w:tc>
              <w:tc>
                <w:tcPr>
                  <w:tcW w:w="3296" w:type="pct"/>
                  <w:tcBorders>
                    <w:tl2br w:val="nil"/>
                    <w:tr2bl w:val="nil"/>
                  </w:tcBorders>
                  <w:vAlign w:val="center"/>
                </w:tcPr>
                <w:p w14:paraId="03741559">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eastAsia"/>
                      <w:color w:val="auto"/>
                      <w:sz w:val="18"/>
                      <w:szCs w:val="18"/>
                      <w:highlight w:val="none"/>
                      <w:shd w:val="clear"/>
                      <w:lang w:val="en-US" w:eastAsia="zh-CN"/>
                    </w:rPr>
                  </w:pPr>
                  <w:r>
                    <w:rPr>
                      <w:rFonts w:hint="eastAsia"/>
                      <w:color w:val="auto"/>
                      <w:sz w:val="18"/>
                      <w:szCs w:val="18"/>
                      <w:highlight w:val="none"/>
                      <w:shd w:val="clear"/>
                      <w:lang w:val="en-US" w:eastAsia="zh-CN"/>
                    </w:rPr>
                    <w:t>生物质燃烧器、烘干滚筒烟气：1号生产车间生物质燃烧器烟气与烘干滚筒废气一同经布袋除尘器处理后通过15m排气筒（DA001）排放。</w:t>
                  </w:r>
                </w:p>
                <w:p w14:paraId="4FEB937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eastAsia"/>
                      <w:color w:val="auto"/>
                      <w:lang w:val="en-US" w:eastAsia="zh-CN"/>
                    </w:rPr>
                  </w:pPr>
                  <w:r>
                    <w:rPr>
                      <w:rFonts w:hint="eastAsia"/>
                      <w:color w:val="auto"/>
                      <w:sz w:val="18"/>
                      <w:szCs w:val="18"/>
                      <w:highlight w:val="none"/>
                      <w:shd w:val="clear"/>
                      <w:lang w:val="en-US" w:eastAsia="zh-CN"/>
                    </w:rPr>
                    <w:t>2号生产车间生物质燃烧器烟气与烘干滚筒废气一同经布袋除尘器处理后通过15m排气筒（DA003）排放。</w:t>
                  </w:r>
                </w:p>
                <w:p w14:paraId="580518C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eastAsia"/>
                      <w:color w:val="auto"/>
                      <w:sz w:val="18"/>
                      <w:szCs w:val="18"/>
                      <w:highlight w:val="none"/>
                      <w:shd w:val="clear"/>
                      <w:lang w:val="en-US" w:eastAsia="zh-CN"/>
                    </w:rPr>
                  </w:pPr>
                  <w:r>
                    <w:rPr>
                      <w:rFonts w:hint="eastAsia"/>
                      <w:color w:val="auto"/>
                      <w:sz w:val="18"/>
                      <w:szCs w:val="18"/>
                      <w:highlight w:val="none"/>
                      <w:shd w:val="clear"/>
                      <w:lang w:val="en-US" w:eastAsia="zh-CN"/>
                    </w:rPr>
                    <w:t>生产工序废气：1号生产车间破碎产生的颗粒物经集气罩+布袋除尘器处理后，由15m高排气筒（DA002）排放。</w:t>
                  </w:r>
                </w:p>
                <w:p w14:paraId="1C3A99C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eastAsia"/>
                      <w:color w:val="auto"/>
                      <w:lang w:val="en-US" w:eastAsia="zh-CN"/>
                    </w:rPr>
                  </w:pPr>
                  <w:r>
                    <w:rPr>
                      <w:rFonts w:hint="eastAsia"/>
                      <w:color w:val="auto"/>
                      <w:sz w:val="18"/>
                      <w:szCs w:val="18"/>
                      <w:highlight w:val="none"/>
                      <w:shd w:val="clear"/>
                      <w:lang w:val="en-US" w:eastAsia="zh-CN"/>
                    </w:rPr>
                    <w:t>2号生产车间破碎产生的颗粒物经集气罩+布袋除尘器处理后，由15m高排气筒（DA004）排放。</w:t>
                  </w:r>
                </w:p>
                <w:p w14:paraId="5771329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both"/>
                    <w:textAlignment w:val="auto"/>
                    <w:rPr>
                      <w:rFonts w:hint="eastAsia" w:ascii="宋体" w:hAnsi="宋体" w:eastAsia="宋体" w:cs="宋体"/>
                      <w:color w:val="auto"/>
                      <w:sz w:val="18"/>
                      <w:szCs w:val="18"/>
                      <w:highlight w:val="none"/>
                      <w:lang w:eastAsia="zh-CN"/>
                    </w:rPr>
                  </w:pPr>
                  <w:r>
                    <w:rPr>
                      <w:rFonts w:hint="eastAsia"/>
                      <w:color w:val="auto"/>
                      <w:sz w:val="18"/>
                      <w:szCs w:val="18"/>
                      <w:highlight w:val="none"/>
                      <w:shd w:val="clear"/>
                      <w:lang w:val="en-US" w:eastAsia="zh-CN"/>
                    </w:rPr>
                    <w:t>无组织粉尘：灰渣间全封闭，灰渣及原料运输车辆采取苫布遮盖、封闭式运输。</w:t>
                  </w:r>
                  <w:r>
                    <w:rPr>
                      <w:rFonts w:hint="default"/>
                      <w:color w:val="auto"/>
                      <w:sz w:val="18"/>
                      <w:szCs w:val="18"/>
                      <w:highlight w:val="none"/>
                      <w:shd w:val="clear"/>
                      <w:lang w:val="en-US" w:eastAsia="zh-CN"/>
                    </w:rPr>
                    <w:t>由于原料含水率较高，</w:t>
                  </w:r>
                  <w:r>
                    <w:rPr>
                      <w:rFonts w:hint="eastAsia"/>
                      <w:color w:val="auto"/>
                      <w:sz w:val="18"/>
                      <w:szCs w:val="18"/>
                      <w:highlight w:val="none"/>
                      <w:shd w:val="clear"/>
                      <w:lang w:val="en-US" w:eastAsia="zh-CN"/>
                    </w:rPr>
                    <w:t>在储存及装卸、</w:t>
                  </w:r>
                  <w:r>
                    <w:rPr>
                      <w:rFonts w:hint="default"/>
                      <w:color w:val="auto"/>
                      <w:sz w:val="18"/>
                      <w:szCs w:val="18"/>
                      <w:highlight w:val="none"/>
                      <w:shd w:val="clear"/>
                      <w:lang w:val="en-US" w:eastAsia="zh-CN"/>
                    </w:rPr>
                    <w:t>投料</w:t>
                  </w:r>
                  <w:r>
                    <w:rPr>
                      <w:rFonts w:hint="eastAsia"/>
                      <w:color w:val="auto"/>
                      <w:sz w:val="18"/>
                      <w:szCs w:val="18"/>
                      <w:highlight w:val="none"/>
                      <w:shd w:val="clear"/>
                      <w:lang w:val="en-US" w:eastAsia="zh-CN"/>
                    </w:rPr>
                    <w:t>、筛分</w:t>
                  </w:r>
                  <w:r>
                    <w:rPr>
                      <w:rFonts w:hint="default"/>
                      <w:color w:val="auto"/>
                      <w:sz w:val="18"/>
                      <w:szCs w:val="18"/>
                      <w:highlight w:val="none"/>
                      <w:shd w:val="clear"/>
                      <w:lang w:val="en-US" w:eastAsia="zh-CN"/>
                    </w:rPr>
                    <w:t>时，产生的粉尘</w:t>
                  </w:r>
                  <w:r>
                    <w:rPr>
                      <w:rFonts w:hint="eastAsia"/>
                      <w:color w:val="auto"/>
                      <w:sz w:val="18"/>
                      <w:szCs w:val="18"/>
                      <w:highlight w:val="none"/>
                      <w:shd w:val="clear"/>
                      <w:lang w:val="en-US" w:eastAsia="zh-CN"/>
                    </w:rPr>
                    <w:t>较小，原料堆场四周设置2m高围挡，原料上方采取苫布遮盖，可有效控制扬尘。热风炉房内无组织粉尘，生产车间破碎过程</w:t>
                  </w:r>
                  <w:r>
                    <w:rPr>
                      <w:rFonts w:hint="eastAsia"/>
                      <w:color w:val="auto"/>
                      <w:sz w:val="18"/>
                      <w:szCs w:val="18"/>
                      <w:highlight w:val="none"/>
                      <w:lang w:val="en-US" w:eastAsia="zh-CN"/>
                    </w:rPr>
                    <w:t>未被集气罩收集的粉尘采取</w:t>
                  </w:r>
                  <w:r>
                    <w:rPr>
                      <w:rFonts w:hint="eastAsia"/>
                      <w:color w:val="auto"/>
                      <w:sz w:val="18"/>
                      <w:szCs w:val="18"/>
                      <w:highlight w:val="none"/>
                      <w:shd w:val="clear"/>
                      <w:lang w:val="en-US" w:eastAsia="zh-CN"/>
                    </w:rPr>
                    <w:t>车间封闭、</w:t>
                  </w:r>
                  <w:r>
                    <w:rPr>
                      <w:rFonts w:hint="default"/>
                      <w:color w:val="auto"/>
                      <w:sz w:val="18"/>
                      <w:szCs w:val="18"/>
                      <w:highlight w:val="none"/>
                      <w:shd w:val="clear"/>
                      <w:lang w:val="en-US" w:eastAsia="zh-CN"/>
                    </w:rPr>
                    <w:t>定期洒水抑尘</w:t>
                  </w:r>
                  <w:r>
                    <w:rPr>
                      <w:rFonts w:hint="eastAsia"/>
                      <w:color w:val="auto"/>
                      <w:sz w:val="18"/>
                      <w:szCs w:val="18"/>
                      <w:highlight w:val="none"/>
                      <w:shd w:val="clear"/>
                      <w:lang w:val="en-US" w:eastAsia="zh-CN"/>
                    </w:rPr>
                    <w:t>等措施</w:t>
                  </w:r>
                  <w:r>
                    <w:rPr>
                      <w:rFonts w:hint="default"/>
                      <w:color w:val="auto"/>
                      <w:sz w:val="18"/>
                      <w:szCs w:val="18"/>
                      <w:highlight w:val="none"/>
                      <w:shd w:val="clear"/>
                      <w:lang w:val="en-US" w:eastAsia="zh-CN"/>
                    </w:rPr>
                    <w:t>，减少粉尘扩散</w:t>
                  </w:r>
                  <w:r>
                    <w:rPr>
                      <w:rFonts w:hint="eastAsia"/>
                      <w:color w:val="auto"/>
                      <w:sz w:val="18"/>
                      <w:szCs w:val="18"/>
                      <w:highlight w:val="none"/>
                      <w:shd w:val="clear"/>
                      <w:lang w:val="en-US" w:eastAsia="zh-CN"/>
                    </w:rPr>
                    <w:t>，。</w:t>
                  </w:r>
                </w:p>
              </w:tc>
              <w:tc>
                <w:tcPr>
                  <w:tcW w:w="520" w:type="pct"/>
                  <w:tcBorders>
                    <w:tl2br w:val="nil"/>
                    <w:tr2bl w:val="nil"/>
                  </w:tcBorders>
                  <w:vAlign w:val="center"/>
                </w:tcPr>
                <w:p w14:paraId="374ABF70">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宋体" w:hAnsi="宋体" w:cs="宋体"/>
                      <w:color w:val="auto"/>
                      <w:sz w:val="18"/>
                      <w:szCs w:val="18"/>
                      <w:highlight w:val="none"/>
                    </w:rPr>
                  </w:pPr>
                  <w:r>
                    <w:rPr>
                      <w:rFonts w:hint="eastAsia" w:ascii="宋体" w:hAnsi="宋体" w:cs="宋体"/>
                      <w:color w:val="auto"/>
                      <w:sz w:val="18"/>
                      <w:szCs w:val="18"/>
                      <w:highlight w:val="none"/>
                      <w:lang w:val="en-US" w:eastAsia="zh-CN"/>
                    </w:rPr>
                    <w:t>新建</w:t>
                  </w:r>
                </w:p>
              </w:tc>
            </w:tr>
            <w:tr w14:paraId="2BA5ABF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14:paraId="50DD41F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p>
              </w:tc>
              <w:tc>
                <w:tcPr>
                  <w:tcW w:w="773" w:type="pct"/>
                  <w:tcBorders>
                    <w:tl2br w:val="nil"/>
                    <w:tr2bl w:val="nil"/>
                  </w:tcBorders>
                  <w:vAlign w:val="center"/>
                </w:tcPr>
                <w:p w14:paraId="282467E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r>
                    <w:rPr>
                      <w:rFonts w:hint="eastAsia" w:ascii="宋体" w:hAnsi="宋体" w:cs="宋体"/>
                      <w:color w:val="auto"/>
                      <w:sz w:val="18"/>
                      <w:szCs w:val="18"/>
                      <w:highlight w:val="none"/>
                    </w:rPr>
                    <w:t>废水</w:t>
                  </w:r>
                </w:p>
              </w:tc>
              <w:tc>
                <w:tcPr>
                  <w:tcW w:w="3296" w:type="pct"/>
                  <w:tcBorders>
                    <w:tl2br w:val="nil"/>
                    <w:tr2bl w:val="nil"/>
                  </w:tcBorders>
                  <w:vAlign w:val="center"/>
                </w:tcPr>
                <w:p w14:paraId="2B244C1A">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bCs/>
                      <w:color w:val="auto"/>
                      <w:sz w:val="18"/>
                      <w:szCs w:val="18"/>
                      <w:highlight w:val="none"/>
                    </w:rPr>
                  </w:pPr>
                  <w:r>
                    <w:rPr>
                      <w:rFonts w:hint="eastAsia"/>
                      <w:bCs/>
                      <w:color w:val="auto"/>
                      <w:sz w:val="18"/>
                      <w:szCs w:val="18"/>
                      <w:highlight w:val="none"/>
                    </w:rPr>
                    <w:t>本项目生产过程中无废水产生，</w:t>
                  </w:r>
                  <w:r>
                    <w:rPr>
                      <w:rFonts w:hint="eastAsia"/>
                      <w:bCs/>
                      <w:color w:val="auto"/>
                      <w:sz w:val="18"/>
                      <w:szCs w:val="18"/>
                      <w:highlight w:val="none"/>
                      <w:lang w:eastAsia="zh-CN"/>
                    </w:rPr>
                    <w:t>洒水降尘用水全部自然蒸发，</w:t>
                  </w:r>
                  <w:r>
                    <w:rPr>
                      <w:rFonts w:hint="eastAsia"/>
                      <w:bCs/>
                      <w:color w:val="auto"/>
                      <w:sz w:val="18"/>
                      <w:szCs w:val="18"/>
                      <w:highlight w:val="none"/>
                      <w:lang w:val="en-US" w:eastAsia="zh-CN"/>
                    </w:rPr>
                    <w:t>生活污水排入防渗旱厕，定期清掏，外运堆肥，不外排。</w:t>
                  </w:r>
                </w:p>
              </w:tc>
              <w:tc>
                <w:tcPr>
                  <w:tcW w:w="520" w:type="pct"/>
                  <w:tcBorders>
                    <w:tl2br w:val="nil"/>
                    <w:tr2bl w:val="nil"/>
                  </w:tcBorders>
                  <w:vAlign w:val="center"/>
                </w:tcPr>
                <w:p w14:paraId="0DBE31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宋体" w:hAnsi="宋体" w:cs="宋体"/>
                      <w:color w:val="auto"/>
                      <w:sz w:val="18"/>
                      <w:szCs w:val="18"/>
                      <w:highlight w:val="none"/>
                    </w:rPr>
                  </w:pPr>
                  <w:r>
                    <w:rPr>
                      <w:rFonts w:hint="eastAsia" w:ascii="宋体" w:hAnsi="宋体" w:cs="宋体"/>
                      <w:color w:val="auto"/>
                      <w:sz w:val="18"/>
                      <w:szCs w:val="18"/>
                      <w:highlight w:val="none"/>
                      <w:lang w:val="en-US" w:eastAsia="zh-CN"/>
                    </w:rPr>
                    <w:t>新建</w:t>
                  </w:r>
                </w:p>
              </w:tc>
            </w:tr>
            <w:tr w14:paraId="463A847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14:paraId="63F2219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p>
              </w:tc>
              <w:tc>
                <w:tcPr>
                  <w:tcW w:w="773" w:type="pct"/>
                  <w:tcBorders>
                    <w:tl2br w:val="nil"/>
                    <w:tr2bl w:val="nil"/>
                  </w:tcBorders>
                  <w:vAlign w:val="center"/>
                </w:tcPr>
                <w:p w14:paraId="747EF35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r>
                    <w:rPr>
                      <w:rFonts w:hint="eastAsia" w:ascii="宋体" w:hAnsi="宋体" w:cs="宋体"/>
                      <w:color w:val="auto"/>
                      <w:sz w:val="18"/>
                      <w:szCs w:val="18"/>
                      <w:highlight w:val="none"/>
                    </w:rPr>
                    <w:t>噪声</w:t>
                  </w:r>
                </w:p>
              </w:tc>
              <w:tc>
                <w:tcPr>
                  <w:tcW w:w="3296" w:type="pct"/>
                  <w:tcBorders>
                    <w:tl2br w:val="nil"/>
                    <w:tr2bl w:val="nil"/>
                  </w:tcBorders>
                  <w:vAlign w:val="center"/>
                </w:tcPr>
                <w:p w14:paraId="085F797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宋体" w:hAnsi="宋体" w:cs="宋体"/>
                      <w:color w:val="auto"/>
                      <w:sz w:val="18"/>
                      <w:szCs w:val="18"/>
                      <w:highlight w:val="none"/>
                    </w:rPr>
                  </w:pPr>
                  <w:r>
                    <w:rPr>
                      <w:rFonts w:hint="eastAsia" w:ascii="宋体" w:hAnsi="宋体" w:cs="宋体"/>
                      <w:color w:val="auto"/>
                      <w:sz w:val="18"/>
                      <w:szCs w:val="18"/>
                      <w:highlight w:val="none"/>
                    </w:rPr>
                    <w:t>本项目采用低噪声设备、厂房隔声、基础减振等措施。厂界噪声满足《工业企业厂界环境噪声排放标准</w:t>
                  </w:r>
                  <w:r>
                    <w:rPr>
                      <w:rFonts w:hint="default" w:ascii="Times New Roman" w:hAnsi="Times New Roman" w:cs="Times New Roman"/>
                      <w:color w:val="auto"/>
                      <w:sz w:val="18"/>
                      <w:szCs w:val="18"/>
                      <w:highlight w:val="none"/>
                    </w:rPr>
                    <w:t>》（GB12348-2008）表1中</w:t>
                  </w:r>
                  <w:r>
                    <w:rPr>
                      <w:rFonts w:hint="eastAsia"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类标</w:t>
                  </w:r>
                  <w:r>
                    <w:rPr>
                      <w:rFonts w:hint="eastAsia" w:ascii="宋体" w:hAnsi="宋体" w:cs="宋体"/>
                      <w:color w:val="auto"/>
                      <w:sz w:val="18"/>
                      <w:szCs w:val="18"/>
                      <w:highlight w:val="none"/>
                    </w:rPr>
                    <w:t>准要求。</w:t>
                  </w:r>
                </w:p>
              </w:tc>
              <w:tc>
                <w:tcPr>
                  <w:tcW w:w="520" w:type="pct"/>
                  <w:tcBorders>
                    <w:tl2br w:val="nil"/>
                    <w:tr2bl w:val="nil"/>
                  </w:tcBorders>
                  <w:vAlign w:val="center"/>
                </w:tcPr>
                <w:p w14:paraId="3A76D8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宋体" w:hAnsi="宋体" w:cs="宋体"/>
                      <w:color w:val="auto"/>
                      <w:sz w:val="18"/>
                      <w:szCs w:val="18"/>
                      <w:highlight w:val="none"/>
                      <w:lang w:val="en-US" w:eastAsia="zh-CN"/>
                    </w:rPr>
                    <w:t>新建</w:t>
                  </w:r>
                </w:p>
              </w:tc>
            </w:tr>
            <w:tr w14:paraId="6F78D0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14:paraId="566BAC8C">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p>
              </w:tc>
              <w:tc>
                <w:tcPr>
                  <w:tcW w:w="773" w:type="pct"/>
                  <w:tcBorders>
                    <w:tl2br w:val="nil"/>
                    <w:tr2bl w:val="nil"/>
                  </w:tcBorders>
                  <w:vAlign w:val="center"/>
                </w:tcPr>
                <w:p w14:paraId="618ED6E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r>
                    <w:rPr>
                      <w:rFonts w:hint="eastAsia" w:ascii="宋体" w:hAnsi="宋体" w:cs="宋体"/>
                      <w:color w:val="auto"/>
                      <w:sz w:val="18"/>
                      <w:szCs w:val="18"/>
                      <w:highlight w:val="none"/>
                    </w:rPr>
                    <w:t>固废</w:t>
                  </w:r>
                </w:p>
              </w:tc>
              <w:tc>
                <w:tcPr>
                  <w:tcW w:w="3296" w:type="pct"/>
                  <w:tcBorders>
                    <w:tl2br w:val="nil"/>
                    <w:tr2bl w:val="nil"/>
                  </w:tcBorders>
                  <w:vAlign w:val="center"/>
                </w:tcPr>
                <w:p w14:paraId="06B3378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auto"/>
                      <w:sz w:val="18"/>
                      <w:szCs w:val="18"/>
                      <w:highlight w:val="none"/>
                      <w:lang w:val="en-US" w:eastAsia="zh-CN"/>
                    </w:rPr>
                  </w:pPr>
                  <w:r>
                    <w:rPr>
                      <w:rFonts w:hint="eastAsia" w:ascii="宋体" w:hAnsi="宋体" w:cs="宋体"/>
                      <w:color w:val="auto"/>
                      <w:sz w:val="18"/>
                      <w:szCs w:val="18"/>
                      <w:highlight w:val="none"/>
                      <w:lang w:val="en-US" w:eastAsia="zh-CN"/>
                    </w:rPr>
                    <w:t>生活垃圾集中收集委托环卫部门处理；燃烧器灰渣及烘干工序除尘器收尘</w:t>
                  </w:r>
                  <w:r>
                    <w:rPr>
                      <w:rFonts w:hint="default" w:ascii="宋体" w:hAnsi="宋体" w:cs="宋体"/>
                      <w:color w:val="auto"/>
                      <w:sz w:val="18"/>
                      <w:szCs w:val="18"/>
                      <w:highlight w:val="none"/>
                    </w:rPr>
                    <w:t>集中收集</w:t>
                  </w:r>
                  <w:r>
                    <w:rPr>
                      <w:rFonts w:hint="eastAsia" w:ascii="宋体" w:hAnsi="宋体" w:cs="宋体"/>
                      <w:color w:val="auto"/>
                      <w:sz w:val="18"/>
                      <w:szCs w:val="18"/>
                      <w:highlight w:val="none"/>
                      <w:lang w:val="en-US" w:eastAsia="zh-CN"/>
                    </w:rPr>
                    <w:t>存储于灰渣间，</w:t>
                  </w:r>
                  <w:r>
                    <w:rPr>
                      <w:rFonts w:hint="default" w:ascii="宋体" w:hAnsi="宋体" w:cs="宋体"/>
                      <w:color w:val="auto"/>
                      <w:sz w:val="18"/>
                      <w:szCs w:val="18"/>
                      <w:highlight w:val="none"/>
                      <w:lang w:val="en-US" w:eastAsia="zh-CN"/>
                    </w:rPr>
                    <w:t>每</w:t>
                  </w:r>
                  <w:r>
                    <w:rPr>
                      <w:rFonts w:hint="default" w:ascii="Times New Roman" w:hAnsi="Times New Roman" w:cs="Times New Roman"/>
                      <w:color w:val="auto"/>
                      <w:sz w:val="18"/>
                      <w:szCs w:val="18"/>
                      <w:highlight w:val="none"/>
                      <w:lang w:val="en-US" w:eastAsia="zh-CN"/>
                    </w:rPr>
                    <w:t>5天清运1次</w:t>
                  </w:r>
                  <w:r>
                    <w:rPr>
                      <w:rFonts w:hint="eastAsia" w:ascii="宋体" w:hAnsi="宋体" w:cs="宋体"/>
                      <w:color w:val="auto"/>
                      <w:sz w:val="18"/>
                      <w:szCs w:val="18"/>
                      <w:highlight w:val="none"/>
                      <w:lang w:val="en-US" w:eastAsia="zh-CN"/>
                    </w:rPr>
                    <w:t>，不在厂区长期储存，由周边农户作为肥料还田；生产工序布袋除尘器、收尘生产车间地面收尘、不合格产品，回用于生产。筛分过程产生的砂石杂质集中收集暂存车间内，外送建材企业综合利用；废布袋由除尘器厂家更换后直接带走</w:t>
                  </w:r>
                  <w:r>
                    <w:rPr>
                      <w:rFonts w:hint="default" w:ascii="宋体" w:hAnsi="宋体" w:cs="宋体"/>
                      <w:color w:val="auto"/>
                      <w:sz w:val="18"/>
                      <w:szCs w:val="18"/>
                      <w:highlight w:val="none"/>
                      <w:lang w:val="en-US" w:eastAsia="zh-CN"/>
                    </w:rPr>
                    <w:t>。</w:t>
                  </w:r>
                  <w:r>
                    <w:rPr>
                      <w:rFonts w:hint="eastAsia" w:ascii="宋体" w:hAnsi="宋体" w:cs="宋体"/>
                      <w:color w:val="auto"/>
                      <w:sz w:val="18"/>
                      <w:szCs w:val="18"/>
                      <w:highlight w:val="none"/>
                      <w:lang w:val="en-US" w:eastAsia="zh-CN"/>
                    </w:rPr>
                    <w:t>生物质灰渣、烘干工序工序除尘器收尘均储存在密闭灰渣间内，地面采取水泥硬化，筛分过程产生的砂石杂质储存在车间专用收集箱内。</w:t>
                  </w:r>
                </w:p>
              </w:tc>
              <w:tc>
                <w:tcPr>
                  <w:tcW w:w="520" w:type="pct"/>
                  <w:tcBorders>
                    <w:tl2br w:val="nil"/>
                    <w:tr2bl w:val="nil"/>
                  </w:tcBorders>
                  <w:vAlign w:val="center"/>
                </w:tcPr>
                <w:p w14:paraId="4D2C2C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宋体" w:hAnsi="宋体" w:cs="宋体"/>
                      <w:color w:val="auto"/>
                      <w:sz w:val="18"/>
                      <w:szCs w:val="18"/>
                      <w:highlight w:val="none"/>
                      <w:lang w:val="en-US" w:eastAsia="zh-CN"/>
                    </w:rPr>
                    <w:t>新建</w:t>
                  </w:r>
                </w:p>
              </w:tc>
            </w:tr>
            <w:tr w14:paraId="1A94F64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vMerge w:val="continue"/>
                  <w:tcBorders>
                    <w:tl2br w:val="nil"/>
                    <w:tr2bl w:val="nil"/>
                  </w:tcBorders>
                  <w:vAlign w:val="center"/>
                </w:tcPr>
                <w:p w14:paraId="2964254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cs="宋体"/>
                      <w:color w:val="auto"/>
                      <w:sz w:val="18"/>
                      <w:szCs w:val="18"/>
                      <w:highlight w:val="none"/>
                    </w:rPr>
                  </w:pPr>
                </w:p>
              </w:tc>
              <w:tc>
                <w:tcPr>
                  <w:tcW w:w="773" w:type="pct"/>
                  <w:tcBorders>
                    <w:tl2br w:val="nil"/>
                    <w:tr2bl w:val="nil"/>
                  </w:tcBorders>
                  <w:vAlign w:val="center"/>
                </w:tcPr>
                <w:p w14:paraId="11777504">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eastAsia="宋体" w:cs="宋体"/>
                      <w:color w:val="auto"/>
                      <w:sz w:val="18"/>
                      <w:szCs w:val="18"/>
                      <w:highlight w:val="none"/>
                      <w:lang w:val="en-US" w:eastAsia="zh-CN"/>
                    </w:rPr>
                  </w:pPr>
                  <w:r>
                    <w:rPr>
                      <w:rFonts w:hint="eastAsia" w:ascii="宋体" w:hAnsi="宋体" w:cs="宋体"/>
                      <w:color w:val="auto"/>
                      <w:sz w:val="18"/>
                      <w:szCs w:val="18"/>
                      <w:highlight w:val="none"/>
                      <w:lang w:val="en-US" w:eastAsia="zh-CN"/>
                    </w:rPr>
                    <w:t>分区防渗</w:t>
                  </w:r>
                </w:p>
              </w:tc>
              <w:tc>
                <w:tcPr>
                  <w:tcW w:w="3296" w:type="pct"/>
                  <w:tcBorders>
                    <w:tl2br w:val="nil"/>
                    <w:tr2bl w:val="nil"/>
                  </w:tcBorders>
                  <w:vAlign w:val="center"/>
                </w:tcPr>
                <w:p w14:paraId="128CE52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宋体" w:hAnsi="宋体" w:eastAsia="宋体" w:cs="宋体"/>
                      <w:color w:val="auto"/>
                      <w:sz w:val="18"/>
                      <w:szCs w:val="18"/>
                      <w:highlight w:val="none"/>
                    </w:rPr>
                  </w:pPr>
                  <w:r>
                    <w:rPr>
                      <w:rFonts w:hint="eastAsia" w:ascii="宋体" w:hAnsi="宋体" w:eastAsia="宋体" w:cs="宋体"/>
                      <w:color w:val="auto"/>
                      <w:sz w:val="18"/>
                      <w:szCs w:val="18"/>
                      <w:highlight w:val="none"/>
                      <w:lang w:val="en-US" w:eastAsia="zh-CN"/>
                    </w:rPr>
                    <w:t>生产车间及热风炉房内均为水泥硬化地面，原料堆场采取简单硬化，原料上方苫布遮盖。</w:t>
                  </w:r>
                </w:p>
              </w:tc>
              <w:tc>
                <w:tcPr>
                  <w:tcW w:w="520" w:type="pct"/>
                  <w:tcBorders>
                    <w:tl2br w:val="nil"/>
                    <w:tr2bl w:val="nil"/>
                  </w:tcBorders>
                  <w:vAlign w:val="center"/>
                </w:tcPr>
                <w:p w14:paraId="4D0A13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宋体" w:hAnsi="宋体" w:cs="宋体"/>
                      <w:color w:val="auto"/>
                      <w:sz w:val="18"/>
                      <w:szCs w:val="18"/>
                      <w:highlight w:val="none"/>
                      <w:lang w:val="en-US" w:eastAsia="zh-CN"/>
                    </w:rPr>
                  </w:pPr>
                  <w:r>
                    <w:rPr>
                      <w:rFonts w:hint="eastAsia" w:ascii="宋体" w:hAnsi="宋体" w:cs="宋体"/>
                      <w:color w:val="auto"/>
                      <w:sz w:val="18"/>
                      <w:szCs w:val="18"/>
                      <w:highlight w:val="none"/>
                      <w:lang w:val="en-US" w:eastAsia="zh-CN"/>
                    </w:rPr>
                    <w:t>新建</w:t>
                  </w:r>
                </w:p>
              </w:tc>
            </w:tr>
          </w:tbl>
          <w:p w14:paraId="58605F03">
            <w:pPr>
              <w:keepNext w:val="0"/>
              <w:keepLines w:val="0"/>
              <w:widowControl/>
              <w:suppressLineNumbers w:val="0"/>
              <w:adjustRightInd/>
              <w:snapToGrid/>
              <w:spacing w:before="0" w:beforeAutospacing="0" w:after="0" w:afterAutospacing="0" w:line="360" w:lineRule="auto"/>
              <w:ind w:left="0" w:right="0" w:firstLine="422" w:firstLineChars="200"/>
              <w:rPr>
                <w:rFonts w:hint="default"/>
                <w:b/>
                <w:color w:val="auto"/>
                <w:szCs w:val="21"/>
                <w:highlight w:val="none"/>
              </w:rPr>
            </w:pPr>
            <w:r>
              <w:rPr>
                <w:rFonts w:hint="default" w:ascii="Times New Roman" w:hAnsi="Times New Roman" w:cs="Times New Roman"/>
                <w:b/>
                <w:bCs/>
                <w:color w:val="auto"/>
                <w:kern w:val="0"/>
                <w:szCs w:val="21"/>
                <w:highlight w:val="none"/>
              </w:rPr>
              <w:t>2、</w:t>
            </w:r>
            <w:r>
              <w:rPr>
                <w:rFonts w:hint="default"/>
                <w:b/>
                <w:color w:val="auto"/>
                <w:szCs w:val="21"/>
                <w:highlight w:val="none"/>
              </w:rPr>
              <w:t>主要产品及产能</w:t>
            </w:r>
          </w:p>
          <w:p w14:paraId="21E7278B">
            <w:pPr>
              <w:keepNext w:val="0"/>
              <w:keepLines w:val="0"/>
              <w:widowControl/>
              <w:suppressLineNumbers w:val="0"/>
              <w:adjustRightInd/>
              <w:snapToGrid/>
              <w:spacing w:before="0" w:beforeAutospacing="0" w:after="0" w:afterAutospacing="0" w:line="360" w:lineRule="auto"/>
              <w:ind w:left="0" w:right="0" w:firstLine="420" w:firstLineChars="200"/>
              <w:rPr>
                <w:rFonts w:hint="default"/>
                <w:bCs/>
                <w:color w:val="auto"/>
                <w:szCs w:val="21"/>
                <w:highlight w:val="none"/>
              </w:rPr>
            </w:pPr>
            <w:r>
              <w:rPr>
                <w:rFonts w:hint="default"/>
                <w:bCs/>
                <w:color w:val="auto"/>
                <w:szCs w:val="21"/>
                <w:highlight w:val="none"/>
              </w:rPr>
              <w:t>本项目产品方案详见表2-2。</w:t>
            </w:r>
          </w:p>
          <w:p w14:paraId="38D67F4D">
            <w:pPr>
              <w:keepNext w:val="0"/>
              <w:keepLines w:val="0"/>
              <w:widowControl/>
              <w:suppressLineNumbers w:val="0"/>
              <w:adjustRightInd/>
              <w:snapToGrid/>
              <w:spacing w:before="0" w:beforeAutospacing="0" w:after="0" w:afterAutospacing="0"/>
              <w:ind w:left="0" w:right="0"/>
              <w:jc w:val="center"/>
              <w:rPr>
                <w:rFonts w:hint="eastAsia" w:eastAsia="宋体"/>
                <w:b/>
                <w:color w:val="auto"/>
                <w:szCs w:val="21"/>
                <w:highlight w:val="none"/>
                <w:lang w:eastAsia="zh-CN"/>
              </w:rPr>
            </w:pPr>
            <w:r>
              <w:rPr>
                <w:rFonts w:hint="default"/>
                <w:b/>
                <w:color w:val="auto"/>
                <w:szCs w:val="21"/>
                <w:highlight w:val="none"/>
              </w:rPr>
              <w:t>表2-2主要产品及产能</w:t>
            </w:r>
          </w:p>
          <w:tbl>
            <w:tblPr>
              <w:tblStyle w:val="35"/>
              <w:tblW w:w="8298"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17"/>
              <w:gridCol w:w="2349"/>
              <w:gridCol w:w="2057"/>
              <w:gridCol w:w="1071"/>
              <w:gridCol w:w="2104"/>
            </w:tblGrid>
            <w:tr w14:paraId="561CB01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717" w:type="dxa"/>
                  <w:vAlign w:val="center"/>
                </w:tcPr>
                <w:p w14:paraId="22508307">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序号</w:t>
                  </w:r>
                </w:p>
              </w:tc>
              <w:tc>
                <w:tcPr>
                  <w:tcW w:w="2349" w:type="dxa"/>
                  <w:vAlign w:val="center"/>
                </w:tcPr>
                <w:p w14:paraId="2E136CA4">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产品名称</w:t>
                  </w:r>
                </w:p>
              </w:tc>
              <w:tc>
                <w:tcPr>
                  <w:tcW w:w="2057" w:type="dxa"/>
                  <w:vAlign w:val="center"/>
                </w:tcPr>
                <w:p w14:paraId="67A40CE3">
                  <w:pPr>
                    <w:keepNext w:val="0"/>
                    <w:keepLines w:val="0"/>
                    <w:suppressLineNumbers w:val="0"/>
                    <w:spacing w:before="0" w:beforeAutospacing="0" w:after="0" w:afterAutospacing="0"/>
                    <w:ind w:left="0" w:right="0"/>
                    <w:jc w:val="center"/>
                    <w:rPr>
                      <w:rFonts w:hint="default"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年产量</w:t>
                  </w:r>
                </w:p>
              </w:tc>
              <w:tc>
                <w:tcPr>
                  <w:tcW w:w="1071" w:type="dxa"/>
                  <w:vAlign w:val="center"/>
                </w:tcPr>
                <w:p w14:paraId="3D272BC6">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rPr>
                    <w:t>单位</w:t>
                  </w:r>
                </w:p>
              </w:tc>
              <w:tc>
                <w:tcPr>
                  <w:tcW w:w="2104" w:type="dxa"/>
                  <w:vAlign w:val="center"/>
                </w:tcPr>
                <w:p w14:paraId="4DB18F88">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rPr>
                    <w:t>备注</w:t>
                  </w:r>
                </w:p>
              </w:tc>
            </w:tr>
            <w:tr w14:paraId="7BA2B59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717" w:type="dxa"/>
                  <w:vAlign w:val="center"/>
                </w:tcPr>
                <w:p w14:paraId="5728635E">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1</w:t>
                  </w:r>
                </w:p>
              </w:tc>
              <w:tc>
                <w:tcPr>
                  <w:tcW w:w="2349" w:type="dxa"/>
                  <w:vAlign w:val="center"/>
                </w:tcPr>
                <w:p w14:paraId="006EC2C0">
                  <w:pPr>
                    <w:keepNext w:val="0"/>
                    <w:keepLines w:val="0"/>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lang w:val="en-US" w:eastAsia="zh-CN"/>
                    </w:rPr>
                    <w:t>生物质颗粒</w:t>
                  </w:r>
                </w:p>
              </w:tc>
              <w:tc>
                <w:tcPr>
                  <w:tcW w:w="2057" w:type="dxa"/>
                  <w:vAlign w:val="center"/>
                </w:tcPr>
                <w:p w14:paraId="29A50E84">
                  <w:pPr>
                    <w:keepNext w:val="0"/>
                    <w:keepLines w:val="0"/>
                    <w:suppressLineNumbers w:val="0"/>
                    <w:spacing w:before="0" w:beforeAutospacing="0" w:after="0" w:afterAutospacing="0"/>
                    <w:ind w:left="0" w:leftChars="0" w:right="0" w:rightChars="0"/>
                    <w:jc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20000</w:t>
                  </w:r>
                </w:p>
              </w:tc>
              <w:tc>
                <w:tcPr>
                  <w:tcW w:w="1071" w:type="dxa"/>
                  <w:vAlign w:val="center"/>
                </w:tcPr>
                <w:p w14:paraId="64C5A150">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rPr>
                    <w:t>t/a</w:t>
                  </w:r>
                </w:p>
              </w:tc>
              <w:tc>
                <w:tcPr>
                  <w:tcW w:w="2104" w:type="dxa"/>
                  <w:vAlign w:val="center"/>
                </w:tcPr>
                <w:p w14:paraId="0FCBF50D">
                  <w:pPr>
                    <w:keepNext w:val="0"/>
                    <w:keepLines w:val="0"/>
                    <w:widowControl/>
                    <w:suppressLineNumbers w:val="0"/>
                    <w:spacing w:before="0" w:beforeAutospacing="0" w:after="0" w:afterAutospacing="0"/>
                    <w:ind w:left="0" w:right="0"/>
                    <w:jc w:val="center"/>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lang w:val="en-US" w:eastAsia="zh-CN"/>
                    </w:rPr>
                    <w:t>含水率</w:t>
                  </w:r>
                  <w:r>
                    <w:rPr>
                      <w:rFonts w:hint="eastAsia" w:ascii="Times New Roman" w:hAnsi="Times New Roman" w:eastAsia="宋体" w:cs="Times New Roman"/>
                      <w:b w:val="0"/>
                      <w:bCs w:val="0"/>
                      <w:color w:val="auto"/>
                      <w:sz w:val="18"/>
                      <w:szCs w:val="18"/>
                      <w:highlight w:val="none"/>
                      <w:lang w:val="en-US" w:eastAsia="zh-CN"/>
                    </w:rPr>
                    <w:t>8</w:t>
                  </w:r>
                  <w:r>
                    <w:rPr>
                      <w:rFonts w:hint="eastAsia" w:cs="Times New Roman"/>
                      <w:b w:val="0"/>
                      <w:bCs w:val="0"/>
                      <w:color w:val="auto"/>
                      <w:sz w:val="18"/>
                      <w:szCs w:val="18"/>
                      <w:highlight w:val="none"/>
                      <w:lang w:val="en-US" w:eastAsia="zh-CN"/>
                    </w:rPr>
                    <w:t>%-15%</w:t>
                  </w:r>
                </w:p>
              </w:tc>
            </w:tr>
          </w:tbl>
          <w:p w14:paraId="734B603C">
            <w:pPr>
              <w:keepNext w:val="0"/>
              <w:keepLines w:val="0"/>
              <w:widowControl/>
              <w:suppressLineNumbers w:val="0"/>
              <w:spacing w:before="0" w:beforeAutospacing="0" w:after="0" w:afterAutospacing="0" w:line="360" w:lineRule="auto"/>
              <w:ind w:left="0" w:right="0" w:firstLine="422" w:firstLineChars="200"/>
              <w:rPr>
                <w:rFonts w:hint="default" w:ascii="Times New Roman" w:hAnsi="Times New Roman" w:cs="Times New Roman"/>
                <w:b/>
                <w:bCs/>
                <w:color w:val="auto"/>
                <w:kern w:val="0"/>
                <w:szCs w:val="21"/>
                <w:highlight w:val="none"/>
              </w:rPr>
            </w:pPr>
            <w:r>
              <w:rPr>
                <w:rFonts w:hint="eastAsia" w:cs="Times New Roman"/>
                <w:b/>
                <w:bCs/>
                <w:color w:val="auto"/>
                <w:kern w:val="0"/>
                <w:szCs w:val="21"/>
                <w:highlight w:val="none"/>
                <w:lang w:val="en-US" w:eastAsia="zh-CN"/>
              </w:rPr>
              <w:t>3、</w:t>
            </w:r>
            <w:r>
              <w:rPr>
                <w:rFonts w:hint="default" w:ascii="Times New Roman" w:hAnsi="Times New Roman" w:cs="Times New Roman"/>
                <w:b/>
                <w:bCs/>
                <w:color w:val="auto"/>
                <w:kern w:val="0"/>
                <w:szCs w:val="21"/>
                <w:highlight w:val="none"/>
              </w:rPr>
              <w:t>主要设备</w:t>
            </w:r>
          </w:p>
          <w:p w14:paraId="0A1CA7FF">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cs="Times New Roman"/>
                <w:b/>
                <w:bCs/>
                <w:color w:val="auto"/>
                <w:kern w:val="0"/>
                <w:szCs w:val="21"/>
                <w:highlight w:val="none"/>
              </w:rPr>
            </w:pPr>
            <w:r>
              <w:rPr>
                <w:rFonts w:hint="default" w:ascii="Times New Roman" w:hAnsi="Times New Roman" w:cs="Times New Roman"/>
                <w:color w:val="auto"/>
                <w:kern w:val="0"/>
                <w:szCs w:val="21"/>
                <w:highlight w:val="none"/>
              </w:rPr>
              <w:t>主要设备见表2-</w:t>
            </w:r>
            <w:r>
              <w:rPr>
                <w:rFonts w:hint="eastAsia" w:cs="Times New Roman"/>
                <w:color w:val="auto"/>
                <w:kern w:val="0"/>
                <w:szCs w:val="21"/>
                <w:highlight w:val="none"/>
                <w:lang w:val="en-US" w:eastAsia="zh-CN"/>
              </w:rPr>
              <w:t>3</w:t>
            </w:r>
            <w:r>
              <w:rPr>
                <w:rFonts w:hint="default" w:ascii="Times New Roman" w:hAnsi="Times New Roman" w:cs="Times New Roman"/>
                <w:color w:val="auto"/>
                <w:kern w:val="0"/>
                <w:szCs w:val="21"/>
                <w:highlight w:val="none"/>
              </w:rPr>
              <w:t>。</w:t>
            </w:r>
          </w:p>
          <w:p w14:paraId="3414A4BA">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snapToGrid w:val="0"/>
                <w:color w:val="auto"/>
                <w:sz w:val="24"/>
                <w:highlight w:val="none"/>
              </w:rPr>
            </w:pPr>
            <w:r>
              <w:rPr>
                <w:rFonts w:hint="default" w:ascii="Times New Roman" w:hAnsi="Times New Roman" w:eastAsia="宋体" w:cs="Times New Roman"/>
                <w:b/>
                <w:bCs/>
                <w:snapToGrid w:val="0"/>
                <w:color w:val="auto"/>
                <w:szCs w:val="21"/>
                <w:highlight w:val="none"/>
              </w:rPr>
              <w:t>表2-</w:t>
            </w:r>
            <w:r>
              <w:rPr>
                <w:rFonts w:hint="eastAsia" w:cs="Times New Roman"/>
                <w:b/>
                <w:bCs/>
                <w:snapToGrid w:val="0"/>
                <w:color w:val="auto"/>
                <w:szCs w:val="21"/>
                <w:highlight w:val="none"/>
                <w:lang w:val="en-US" w:eastAsia="zh-CN"/>
              </w:rPr>
              <w:t>3</w:t>
            </w:r>
            <w:r>
              <w:rPr>
                <w:rFonts w:hint="default" w:ascii="Times New Roman" w:hAnsi="Times New Roman" w:eastAsia="宋体" w:cs="Times New Roman"/>
                <w:b/>
                <w:bCs/>
                <w:snapToGrid w:val="0"/>
                <w:color w:val="auto"/>
                <w:szCs w:val="21"/>
                <w:highlight w:val="none"/>
              </w:rPr>
              <w:t>主要设备一览表</w:t>
            </w:r>
          </w:p>
          <w:tbl>
            <w:tblPr>
              <w:tblStyle w:val="35"/>
              <w:tblW w:w="8338" w:type="dxa"/>
              <w:tblInd w:w="-1"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69"/>
              <w:gridCol w:w="1826"/>
              <w:gridCol w:w="2318"/>
              <w:gridCol w:w="2624"/>
              <w:gridCol w:w="701"/>
            </w:tblGrid>
            <w:tr w14:paraId="6BAC5E7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869" w:type="dxa"/>
                  <w:vAlign w:val="center"/>
                </w:tcPr>
                <w:p w14:paraId="7A69B8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序号</w:t>
                  </w:r>
                </w:p>
              </w:tc>
              <w:tc>
                <w:tcPr>
                  <w:tcW w:w="1826" w:type="dxa"/>
                  <w:vAlign w:val="center"/>
                </w:tcPr>
                <w:p w14:paraId="5C6EA15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设备名称</w:t>
                  </w:r>
                </w:p>
              </w:tc>
              <w:tc>
                <w:tcPr>
                  <w:tcW w:w="2318" w:type="dxa"/>
                  <w:vAlign w:val="center"/>
                </w:tcPr>
                <w:p w14:paraId="35CEF07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型号</w:t>
                  </w:r>
                </w:p>
              </w:tc>
              <w:tc>
                <w:tcPr>
                  <w:tcW w:w="2624" w:type="dxa"/>
                  <w:vAlign w:val="center"/>
                </w:tcPr>
                <w:p w14:paraId="0DFD81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数量</w:t>
                  </w:r>
                </w:p>
              </w:tc>
              <w:tc>
                <w:tcPr>
                  <w:tcW w:w="701" w:type="dxa"/>
                  <w:vAlign w:val="center"/>
                </w:tcPr>
                <w:p w14:paraId="0A5215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单位</w:t>
                  </w:r>
                </w:p>
              </w:tc>
            </w:tr>
            <w:tr w14:paraId="48C7257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869" w:type="dxa"/>
                  <w:vAlign w:val="center"/>
                </w:tcPr>
                <w:p w14:paraId="569820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1826" w:type="dxa"/>
                  <w:vAlign w:val="center"/>
                </w:tcPr>
                <w:p w14:paraId="78B597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Theme="minorEastAsia"/>
                      <w:color w:val="auto"/>
                      <w:sz w:val="18"/>
                      <w:szCs w:val="18"/>
                      <w:highlight w:val="none"/>
                      <w:vertAlign w:val="baseline"/>
                      <w:lang w:val="en-US" w:eastAsia="zh-CN"/>
                    </w:rPr>
                  </w:pPr>
                  <w:r>
                    <w:rPr>
                      <w:rFonts w:hint="eastAsia"/>
                      <w:color w:val="auto"/>
                      <w:sz w:val="18"/>
                      <w:szCs w:val="18"/>
                      <w:highlight w:val="none"/>
                      <w:lang w:eastAsia="zh-CN"/>
                    </w:rPr>
                    <w:t>铲车</w:t>
                  </w:r>
                </w:p>
              </w:tc>
              <w:tc>
                <w:tcPr>
                  <w:tcW w:w="2318" w:type="dxa"/>
                  <w:vAlign w:val="center"/>
                </w:tcPr>
                <w:p w14:paraId="6855A7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宋体" w:cs="Times New Roman"/>
                      <w:b w:val="0"/>
                      <w:bCs w:val="0"/>
                      <w:color w:val="auto"/>
                      <w:sz w:val="18"/>
                      <w:szCs w:val="18"/>
                      <w:highlight w:val="none"/>
                    </w:rPr>
                    <w:t>/</w:t>
                  </w:r>
                </w:p>
              </w:tc>
              <w:tc>
                <w:tcPr>
                  <w:tcW w:w="2624" w:type="dxa"/>
                  <w:vAlign w:val="center"/>
                </w:tcPr>
                <w:p w14:paraId="431142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eastAsia"/>
                      <w:color w:val="auto"/>
                      <w:sz w:val="18"/>
                      <w:szCs w:val="18"/>
                      <w:highlight w:val="none"/>
                      <w:lang w:val="en-US" w:eastAsia="zh-CN"/>
                    </w:rPr>
                    <w:t>1</w:t>
                  </w:r>
                </w:p>
              </w:tc>
              <w:tc>
                <w:tcPr>
                  <w:tcW w:w="701" w:type="dxa"/>
                  <w:vAlign w:val="center"/>
                </w:tcPr>
                <w:p w14:paraId="68A09C1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kern w:val="0"/>
                      <w:sz w:val="18"/>
                      <w:szCs w:val="18"/>
                      <w:highlight w:val="none"/>
                    </w:rPr>
                    <w:t>台</w:t>
                  </w:r>
                </w:p>
              </w:tc>
            </w:tr>
            <w:tr w14:paraId="5358A5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869" w:type="dxa"/>
                  <w:vAlign w:val="center"/>
                </w:tcPr>
                <w:p w14:paraId="2CC4D92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2</w:t>
                  </w:r>
                </w:p>
              </w:tc>
              <w:tc>
                <w:tcPr>
                  <w:tcW w:w="1826" w:type="dxa"/>
                  <w:vAlign w:val="center"/>
                </w:tcPr>
                <w:p w14:paraId="4C34E2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Theme="minorEastAsia"/>
                      <w:color w:val="auto"/>
                      <w:sz w:val="18"/>
                      <w:szCs w:val="18"/>
                      <w:highlight w:val="none"/>
                      <w:vertAlign w:val="baseline"/>
                      <w:lang w:val="en-US" w:eastAsia="zh-CN"/>
                    </w:rPr>
                  </w:pPr>
                  <w:r>
                    <w:rPr>
                      <w:rFonts w:hint="eastAsia" w:eastAsiaTheme="minorEastAsia"/>
                      <w:color w:val="auto"/>
                      <w:sz w:val="18"/>
                      <w:szCs w:val="18"/>
                      <w:highlight w:val="none"/>
                      <w:vertAlign w:val="baseline"/>
                      <w:lang w:val="en-US" w:eastAsia="zh-CN"/>
                    </w:rPr>
                    <w:t>筛分机</w:t>
                  </w:r>
                </w:p>
              </w:tc>
              <w:tc>
                <w:tcPr>
                  <w:tcW w:w="2318" w:type="dxa"/>
                  <w:vAlign w:val="center"/>
                </w:tcPr>
                <w:p w14:paraId="285A7D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2624" w:type="dxa"/>
                  <w:vAlign w:val="center"/>
                </w:tcPr>
                <w:p w14:paraId="54DC8C3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eastAsiaTheme="minorEastAsia"/>
                      <w:color w:val="auto"/>
                      <w:sz w:val="18"/>
                      <w:szCs w:val="18"/>
                      <w:highlight w:val="none"/>
                      <w:vertAlign w:val="baseline"/>
                      <w:lang w:val="en-US" w:eastAsia="zh-CN"/>
                    </w:rPr>
                    <w:t>2</w:t>
                  </w:r>
                </w:p>
              </w:tc>
              <w:tc>
                <w:tcPr>
                  <w:tcW w:w="701" w:type="dxa"/>
                  <w:vAlign w:val="center"/>
                </w:tcPr>
                <w:p w14:paraId="5F89B82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kern w:val="0"/>
                      <w:sz w:val="18"/>
                      <w:szCs w:val="18"/>
                      <w:highlight w:val="none"/>
                    </w:rPr>
                    <w:t>台</w:t>
                  </w:r>
                </w:p>
              </w:tc>
            </w:tr>
            <w:tr w14:paraId="06530F7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869" w:type="dxa"/>
                  <w:vAlign w:val="center"/>
                </w:tcPr>
                <w:p w14:paraId="6111A6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3</w:t>
                  </w:r>
                </w:p>
              </w:tc>
              <w:tc>
                <w:tcPr>
                  <w:tcW w:w="1826" w:type="dxa"/>
                  <w:shd w:val="clear" w:color="auto" w:fill="auto"/>
                  <w:vAlign w:val="center"/>
                </w:tcPr>
                <w:p w14:paraId="26571B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eastAsiaTheme="minorEastAsia"/>
                      <w:color w:val="auto"/>
                      <w:kern w:val="2"/>
                      <w:sz w:val="18"/>
                      <w:szCs w:val="18"/>
                      <w:highlight w:val="none"/>
                      <w:vertAlign w:val="baseline"/>
                      <w:lang w:val="en-US" w:eastAsia="zh-CN" w:bidi="ar-SA"/>
                    </w:rPr>
                  </w:pPr>
                  <w:r>
                    <w:rPr>
                      <w:rFonts w:hint="eastAsia"/>
                      <w:color w:val="auto"/>
                      <w:sz w:val="18"/>
                      <w:szCs w:val="18"/>
                      <w:highlight w:val="none"/>
                      <w:lang w:eastAsia="zh-CN"/>
                    </w:rPr>
                    <w:t>粗式破碎机</w:t>
                  </w:r>
                </w:p>
              </w:tc>
              <w:tc>
                <w:tcPr>
                  <w:tcW w:w="2318" w:type="dxa"/>
                  <w:shd w:val="clear" w:color="auto" w:fill="auto"/>
                  <w:vAlign w:val="center"/>
                </w:tcPr>
                <w:p w14:paraId="3A0E33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rPr>
                    <w:t>/</w:t>
                  </w:r>
                </w:p>
              </w:tc>
              <w:tc>
                <w:tcPr>
                  <w:tcW w:w="2624" w:type="dxa"/>
                  <w:shd w:val="clear" w:color="auto" w:fill="auto"/>
                  <w:vAlign w:val="center"/>
                </w:tcPr>
                <w:p w14:paraId="2A0AFE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eastAsia"/>
                      <w:color w:val="auto"/>
                      <w:sz w:val="18"/>
                      <w:szCs w:val="18"/>
                      <w:highlight w:val="none"/>
                      <w:lang w:val="en-US" w:eastAsia="zh-CN"/>
                    </w:rPr>
                    <w:t>2</w:t>
                  </w:r>
                </w:p>
              </w:tc>
              <w:tc>
                <w:tcPr>
                  <w:tcW w:w="701" w:type="dxa"/>
                  <w:vAlign w:val="center"/>
                </w:tcPr>
                <w:p w14:paraId="4776E49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18"/>
                      <w:szCs w:val="18"/>
                      <w:highlight w:val="none"/>
                      <w:vertAlign w:val="baseline"/>
                      <w:lang w:val="en-US" w:eastAsia="zh-CN"/>
                    </w:rPr>
                  </w:pPr>
                  <w:r>
                    <w:rPr>
                      <w:rFonts w:hint="default" w:ascii="Times New Roman" w:hAnsi="Times New Roman" w:cs="Times New Roman"/>
                      <w:color w:val="auto"/>
                      <w:kern w:val="0"/>
                      <w:sz w:val="18"/>
                      <w:szCs w:val="18"/>
                      <w:highlight w:val="none"/>
                    </w:rPr>
                    <w:t>台</w:t>
                  </w:r>
                </w:p>
              </w:tc>
            </w:tr>
            <w:tr w14:paraId="683D62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869" w:type="dxa"/>
                  <w:vAlign w:val="center"/>
                </w:tcPr>
                <w:p w14:paraId="6B0BC3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4</w:t>
                  </w:r>
                </w:p>
              </w:tc>
              <w:tc>
                <w:tcPr>
                  <w:tcW w:w="1826" w:type="dxa"/>
                  <w:shd w:val="clear" w:color="auto" w:fill="auto"/>
                  <w:vAlign w:val="center"/>
                </w:tcPr>
                <w:p w14:paraId="04087AB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eastAsia"/>
                      <w:color w:val="auto"/>
                      <w:sz w:val="18"/>
                      <w:szCs w:val="18"/>
                      <w:highlight w:val="none"/>
                      <w:lang w:eastAsia="zh-CN"/>
                    </w:rPr>
                    <w:t>粉碎机</w:t>
                  </w:r>
                </w:p>
              </w:tc>
              <w:tc>
                <w:tcPr>
                  <w:tcW w:w="2318" w:type="dxa"/>
                  <w:shd w:val="clear" w:color="auto" w:fill="auto"/>
                  <w:vAlign w:val="center"/>
                </w:tcPr>
                <w:p w14:paraId="4E0BAC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rPr>
                    <w:t>/</w:t>
                  </w:r>
                </w:p>
              </w:tc>
              <w:tc>
                <w:tcPr>
                  <w:tcW w:w="2624" w:type="dxa"/>
                  <w:shd w:val="clear" w:color="auto" w:fill="auto"/>
                  <w:vAlign w:val="center"/>
                </w:tcPr>
                <w:p w14:paraId="47526F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18"/>
                      <w:szCs w:val="18"/>
                      <w:highlight w:val="none"/>
                      <w:vertAlign w:val="baseline"/>
                      <w:lang w:val="en-US" w:eastAsia="zh-CN" w:bidi="ar-SA"/>
                    </w:rPr>
                  </w:pPr>
                  <w:r>
                    <w:rPr>
                      <w:rFonts w:hint="eastAsia"/>
                      <w:color w:val="auto"/>
                      <w:sz w:val="18"/>
                      <w:szCs w:val="18"/>
                      <w:highlight w:val="none"/>
                      <w:lang w:val="en-US" w:eastAsia="zh-CN"/>
                    </w:rPr>
                    <w:t>2</w:t>
                  </w:r>
                </w:p>
              </w:tc>
              <w:tc>
                <w:tcPr>
                  <w:tcW w:w="701" w:type="dxa"/>
                  <w:vAlign w:val="center"/>
                </w:tcPr>
                <w:p w14:paraId="001422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台</w:t>
                  </w:r>
                </w:p>
              </w:tc>
            </w:tr>
            <w:tr w14:paraId="74EC957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869" w:type="dxa"/>
                  <w:vAlign w:val="center"/>
                </w:tcPr>
                <w:p w14:paraId="65B636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5</w:t>
                  </w:r>
                </w:p>
              </w:tc>
              <w:tc>
                <w:tcPr>
                  <w:tcW w:w="1826" w:type="dxa"/>
                  <w:shd w:val="clear" w:color="auto" w:fill="auto"/>
                  <w:vAlign w:val="center"/>
                </w:tcPr>
                <w:p w14:paraId="3D98DB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color w:val="auto"/>
                      <w:sz w:val="18"/>
                      <w:szCs w:val="18"/>
                      <w:highlight w:val="none"/>
                      <w:lang w:val="en-US" w:eastAsia="zh-CN"/>
                    </w:rPr>
                    <w:t>烘干滚筒</w:t>
                  </w:r>
                </w:p>
              </w:tc>
              <w:tc>
                <w:tcPr>
                  <w:tcW w:w="2318" w:type="dxa"/>
                  <w:shd w:val="clear" w:color="auto" w:fill="auto"/>
                  <w:vAlign w:val="center"/>
                </w:tcPr>
                <w:p w14:paraId="6E5BF8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b w:val="0"/>
                      <w:bCs w:val="0"/>
                      <w:color w:val="auto"/>
                      <w:sz w:val="18"/>
                      <w:szCs w:val="18"/>
                      <w:highlight w:val="none"/>
                    </w:rPr>
                    <w:t>/</w:t>
                  </w:r>
                </w:p>
              </w:tc>
              <w:tc>
                <w:tcPr>
                  <w:tcW w:w="2624" w:type="dxa"/>
                  <w:shd w:val="clear" w:color="auto" w:fill="auto"/>
                  <w:vAlign w:val="center"/>
                </w:tcPr>
                <w:p w14:paraId="73C5D0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2</w:t>
                  </w:r>
                </w:p>
              </w:tc>
              <w:tc>
                <w:tcPr>
                  <w:tcW w:w="701" w:type="dxa"/>
                  <w:vAlign w:val="center"/>
                </w:tcPr>
                <w:p w14:paraId="69D5F5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kern w:val="0"/>
                      <w:sz w:val="18"/>
                      <w:szCs w:val="18"/>
                      <w:highlight w:val="none"/>
                    </w:rPr>
                    <w:t>台</w:t>
                  </w:r>
                </w:p>
              </w:tc>
            </w:tr>
            <w:tr w14:paraId="52F4D2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869" w:type="dxa"/>
                  <w:vAlign w:val="center"/>
                </w:tcPr>
                <w:p w14:paraId="3F122D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6</w:t>
                  </w:r>
                </w:p>
              </w:tc>
              <w:tc>
                <w:tcPr>
                  <w:tcW w:w="1826" w:type="dxa"/>
                  <w:vAlign w:val="center"/>
                </w:tcPr>
                <w:p w14:paraId="2297F6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eastAsiaTheme="minorEastAsia"/>
                      <w:color w:val="auto"/>
                      <w:sz w:val="18"/>
                      <w:szCs w:val="18"/>
                      <w:highlight w:val="none"/>
                      <w:vertAlign w:val="baseline"/>
                      <w:lang w:val="en-US" w:eastAsia="zh-CN"/>
                    </w:rPr>
                  </w:pPr>
                  <w:r>
                    <w:rPr>
                      <w:rFonts w:hint="eastAsia"/>
                      <w:color w:val="auto"/>
                      <w:sz w:val="18"/>
                      <w:szCs w:val="18"/>
                      <w:highlight w:val="none"/>
                      <w:lang w:eastAsia="zh-CN"/>
                    </w:rPr>
                    <w:t>造粒机</w:t>
                  </w:r>
                </w:p>
              </w:tc>
              <w:tc>
                <w:tcPr>
                  <w:tcW w:w="2318" w:type="dxa"/>
                  <w:vAlign w:val="center"/>
                </w:tcPr>
                <w:p w14:paraId="5DFE8F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eastAsia="宋体"/>
                      <w:color w:val="auto"/>
                      <w:sz w:val="18"/>
                      <w:szCs w:val="18"/>
                      <w:highlight w:val="none"/>
                      <w:lang w:val="en-US" w:eastAsia="zh-CN"/>
                    </w:rPr>
                  </w:pPr>
                  <w:r>
                    <w:rPr>
                      <w:rFonts w:hint="default" w:ascii="Times New Roman" w:hAnsi="Times New Roman" w:eastAsia="宋体" w:cs="Times New Roman"/>
                      <w:b w:val="0"/>
                      <w:bCs w:val="0"/>
                      <w:color w:val="auto"/>
                      <w:sz w:val="18"/>
                      <w:szCs w:val="18"/>
                      <w:highlight w:val="none"/>
                    </w:rPr>
                    <w:t>/</w:t>
                  </w:r>
                </w:p>
              </w:tc>
              <w:tc>
                <w:tcPr>
                  <w:tcW w:w="2624" w:type="dxa"/>
                  <w:vAlign w:val="center"/>
                </w:tcPr>
                <w:p w14:paraId="6E46C5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eastAsiaTheme="minorEastAsia"/>
                      <w:color w:val="auto"/>
                      <w:sz w:val="18"/>
                      <w:szCs w:val="18"/>
                      <w:highlight w:val="none"/>
                      <w:vertAlign w:val="baseline"/>
                      <w:lang w:val="en-US" w:eastAsia="zh-CN"/>
                    </w:rPr>
                  </w:pPr>
                  <w:r>
                    <w:rPr>
                      <w:rFonts w:hint="eastAsia"/>
                      <w:color w:val="auto"/>
                      <w:sz w:val="18"/>
                      <w:szCs w:val="18"/>
                      <w:highlight w:val="none"/>
                      <w:lang w:val="en-US" w:eastAsia="zh-CN"/>
                    </w:rPr>
                    <w:t>2</w:t>
                  </w:r>
                </w:p>
              </w:tc>
              <w:tc>
                <w:tcPr>
                  <w:tcW w:w="701" w:type="dxa"/>
                  <w:vAlign w:val="center"/>
                </w:tcPr>
                <w:p w14:paraId="224ED1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kern w:val="0"/>
                      <w:sz w:val="18"/>
                      <w:szCs w:val="18"/>
                      <w:highlight w:val="none"/>
                    </w:rPr>
                    <w:t>台</w:t>
                  </w:r>
                </w:p>
              </w:tc>
            </w:tr>
            <w:tr w14:paraId="79821F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869" w:type="dxa"/>
                  <w:vAlign w:val="center"/>
                </w:tcPr>
                <w:p w14:paraId="4AEE9C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7</w:t>
                  </w:r>
                </w:p>
              </w:tc>
              <w:tc>
                <w:tcPr>
                  <w:tcW w:w="1826" w:type="dxa"/>
                  <w:vAlign w:val="center"/>
                </w:tcPr>
                <w:p w14:paraId="7437B6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Theme="minorEastAsia"/>
                      <w:color w:val="auto"/>
                      <w:sz w:val="18"/>
                      <w:szCs w:val="18"/>
                      <w:highlight w:val="none"/>
                      <w:vertAlign w:val="baseline"/>
                      <w:lang w:val="en-US" w:eastAsia="zh-CN"/>
                    </w:rPr>
                  </w:pPr>
                  <w:r>
                    <w:rPr>
                      <w:rFonts w:hint="eastAsia"/>
                      <w:color w:val="auto"/>
                      <w:sz w:val="18"/>
                      <w:szCs w:val="18"/>
                      <w:highlight w:val="none"/>
                      <w:lang w:val="en-US" w:eastAsia="zh-CN"/>
                    </w:rPr>
                    <w:t>生物质燃烧器</w:t>
                  </w:r>
                </w:p>
              </w:tc>
              <w:tc>
                <w:tcPr>
                  <w:tcW w:w="2318" w:type="dxa"/>
                  <w:vAlign w:val="center"/>
                </w:tcPr>
                <w:p w14:paraId="20ECA54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eastAsia="宋体"/>
                      <w:color w:val="auto"/>
                      <w:sz w:val="18"/>
                      <w:szCs w:val="18"/>
                      <w:highlight w:val="none"/>
                      <w:lang w:val="en-US" w:eastAsia="zh-CN"/>
                    </w:rPr>
                  </w:pPr>
                  <w:r>
                    <w:rPr>
                      <w:rFonts w:hint="eastAsia" w:cs="Times New Roman"/>
                      <w:b w:val="0"/>
                      <w:bCs w:val="0"/>
                      <w:color w:val="auto"/>
                      <w:sz w:val="18"/>
                      <w:szCs w:val="18"/>
                      <w:highlight w:val="none"/>
                      <w:lang w:val="en-US" w:eastAsia="zh-CN"/>
                    </w:rPr>
                    <w:t>360万kcal/h</w:t>
                  </w:r>
                </w:p>
              </w:tc>
              <w:tc>
                <w:tcPr>
                  <w:tcW w:w="2624" w:type="dxa"/>
                  <w:vAlign w:val="center"/>
                </w:tcPr>
                <w:p w14:paraId="031BA1F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eastAsiaTheme="minorEastAsia"/>
                      <w:color w:val="auto"/>
                      <w:sz w:val="18"/>
                      <w:szCs w:val="18"/>
                      <w:highlight w:val="none"/>
                      <w:vertAlign w:val="baseline"/>
                      <w:lang w:val="en-US" w:eastAsia="zh-CN"/>
                    </w:rPr>
                  </w:pPr>
                  <w:r>
                    <w:rPr>
                      <w:rFonts w:hint="eastAsia" w:cs="Times New Roman"/>
                      <w:b w:val="0"/>
                      <w:bCs w:val="0"/>
                      <w:color w:val="auto"/>
                      <w:kern w:val="0"/>
                      <w:sz w:val="18"/>
                      <w:szCs w:val="18"/>
                      <w:highlight w:val="none"/>
                      <w:lang w:val="en-US" w:eastAsia="zh-CN"/>
                    </w:rPr>
                    <w:t>2</w:t>
                  </w:r>
                </w:p>
              </w:tc>
              <w:tc>
                <w:tcPr>
                  <w:tcW w:w="701" w:type="dxa"/>
                  <w:vAlign w:val="center"/>
                </w:tcPr>
                <w:p w14:paraId="46F681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台</w:t>
                  </w:r>
                </w:p>
              </w:tc>
            </w:tr>
            <w:tr w14:paraId="436B8C0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869" w:type="dxa"/>
                  <w:vAlign w:val="center"/>
                </w:tcPr>
                <w:p w14:paraId="1AF3227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8</w:t>
                  </w:r>
                </w:p>
              </w:tc>
              <w:tc>
                <w:tcPr>
                  <w:tcW w:w="1826" w:type="dxa"/>
                  <w:vAlign w:val="center"/>
                </w:tcPr>
                <w:p w14:paraId="7589FB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Theme="minorEastAsia"/>
                      <w:color w:val="auto"/>
                      <w:sz w:val="18"/>
                      <w:szCs w:val="18"/>
                      <w:highlight w:val="none"/>
                      <w:vertAlign w:val="baseline"/>
                      <w:lang w:val="en-US" w:eastAsia="zh-CN"/>
                    </w:rPr>
                  </w:pPr>
                  <w:r>
                    <w:rPr>
                      <w:rFonts w:hint="eastAsia"/>
                      <w:color w:val="auto"/>
                      <w:sz w:val="18"/>
                      <w:szCs w:val="18"/>
                      <w:highlight w:val="none"/>
                      <w:lang w:eastAsia="zh-CN"/>
                    </w:rPr>
                    <w:t>引风机</w:t>
                  </w:r>
                </w:p>
              </w:tc>
              <w:tc>
                <w:tcPr>
                  <w:tcW w:w="2318" w:type="dxa"/>
                  <w:vAlign w:val="center"/>
                </w:tcPr>
                <w:p w14:paraId="52C625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w:t>
                  </w:r>
                </w:p>
              </w:tc>
              <w:tc>
                <w:tcPr>
                  <w:tcW w:w="2624" w:type="dxa"/>
                  <w:vAlign w:val="center"/>
                </w:tcPr>
                <w:p w14:paraId="586984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eastAsiaTheme="minorEastAsia"/>
                      <w:color w:val="auto"/>
                      <w:sz w:val="18"/>
                      <w:szCs w:val="18"/>
                      <w:highlight w:val="none"/>
                      <w:vertAlign w:val="baseline"/>
                      <w:lang w:val="en-US" w:eastAsia="zh-CN"/>
                    </w:rPr>
                  </w:pPr>
                  <w:r>
                    <w:rPr>
                      <w:rFonts w:hint="eastAsia" w:cs="Times New Roman" w:eastAsiaTheme="minorEastAsia"/>
                      <w:color w:val="auto"/>
                      <w:sz w:val="18"/>
                      <w:szCs w:val="18"/>
                      <w:highlight w:val="none"/>
                      <w:vertAlign w:val="baseline"/>
                      <w:lang w:val="en-US" w:eastAsia="zh-CN"/>
                    </w:rPr>
                    <w:t>6</w:t>
                  </w:r>
                </w:p>
              </w:tc>
              <w:tc>
                <w:tcPr>
                  <w:tcW w:w="701" w:type="dxa"/>
                  <w:vAlign w:val="center"/>
                </w:tcPr>
                <w:p w14:paraId="3DB624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台</w:t>
                  </w:r>
                </w:p>
              </w:tc>
            </w:tr>
            <w:tr w14:paraId="737F30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869" w:type="dxa"/>
                  <w:vAlign w:val="center"/>
                </w:tcPr>
                <w:p w14:paraId="3B6C034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9</w:t>
                  </w:r>
                </w:p>
              </w:tc>
              <w:tc>
                <w:tcPr>
                  <w:tcW w:w="1826" w:type="dxa"/>
                  <w:vAlign w:val="center"/>
                </w:tcPr>
                <w:p w14:paraId="19642D60">
                  <w:pPr>
                    <w:keepNext w:val="0"/>
                    <w:keepLines w:val="0"/>
                    <w:suppressLineNumbers w:val="0"/>
                    <w:snapToGrid w:val="0"/>
                    <w:spacing w:before="0" w:beforeAutospacing="0" w:after="0" w:afterAutospacing="0"/>
                    <w:ind w:left="0" w:right="0"/>
                    <w:jc w:val="center"/>
                    <w:rPr>
                      <w:rFonts w:hint="eastAsia"/>
                      <w:color w:val="auto"/>
                      <w:sz w:val="18"/>
                      <w:szCs w:val="18"/>
                      <w:highlight w:val="none"/>
                      <w:lang w:eastAsia="zh-CN"/>
                    </w:rPr>
                  </w:pPr>
                  <w:r>
                    <w:rPr>
                      <w:rFonts w:hint="eastAsia"/>
                      <w:color w:val="auto"/>
                      <w:sz w:val="18"/>
                      <w:szCs w:val="18"/>
                      <w:highlight w:val="none"/>
                      <w:lang w:eastAsia="zh-CN"/>
                    </w:rPr>
                    <w:t>鼓风机</w:t>
                  </w:r>
                </w:p>
              </w:tc>
              <w:tc>
                <w:tcPr>
                  <w:tcW w:w="2318" w:type="dxa"/>
                  <w:vAlign w:val="center"/>
                </w:tcPr>
                <w:p w14:paraId="4CE6F60C">
                  <w:pPr>
                    <w:keepNext w:val="0"/>
                    <w:keepLines w:val="0"/>
                    <w:suppressLineNumbers w:val="0"/>
                    <w:snapToGrid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c>
                <w:tcPr>
                  <w:tcW w:w="2624" w:type="dxa"/>
                  <w:vAlign w:val="center"/>
                </w:tcPr>
                <w:p w14:paraId="2A91783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eastAsiaTheme="minorEastAsia"/>
                      <w:color w:val="auto"/>
                      <w:sz w:val="18"/>
                      <w:szCs w:val="18"/>
                      <w:highlight w:val="none"/>
                      <w:vertAlign w:val="baseline"/>
                      <w:lang w:val="en-US" w:eastAsia="zh-CN"/>
                    </w:rPr>
                  </w:pPr>
                  <w:r>
                    <w:rPr>
                      <w:rFonts w:hint="eastAsia" w:cs="Times New Roman" w:eastAsiaTheme="minorEastAsia"/>
                      <w:color w:val="auto"/>
                      <w:sz w:val="18"/>
                      <w:szCs w:val="18"/>
                      <w:highlight w:val="none"/>
                      <w:vertAlign w:val="baseline"/>
                      <w:lang w:val="en-US" w:eastAsia="zh-CN"/>
                    </w:rPr>
                    <w:t>2</w:t>
                  </w:r>
                </w:p>
              </w:tc>
              <w:tc>
                <w:tcPr>
                  <w:tcW w:w="701" w:type="dxa"/>
                  <w:vAlign w:val="center"/>
                </w:tcPr>
                <w:p w14:paraId="1B919BD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0"/>
                      <w:sz w:val="18"/>
                      <w:szCs w:val="18"/>
                      <w:highlight w:val="none"/>
                      <w:lang w:val="en-US" w:eastAsia="zh-CN"/>
                    </w:rPr>
                  </w:pPr>
                  <w:r>
                    <w:rPr>
                      <w:rFonts w:hint="eastAsia" w:ascii="Times New Roman" w:hAnsi="Times New Roman" w:cs="Times New Roman"/>
                      <w:color w:val="auto"/>
                      <w:kern w:val="0"/>
                      <w:sz w:val="18"/>
                      <w:szCs w:val="18"/>
                      <w:highlight w:val="none"/>
                      <w:lang w:val="en-US" w:eastAsia="zh-CN"/>
                    </w:rPr>
                    <w:t>台</w:t>
                  </w:r>
                </w:p>
              </w:tc>
            </w:tr>
            <w:tr w14:paraId="0CD4ADE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869" w:type="dxa"/>
                  <w:vAlign w:val="center"/>
                </w:tcPr>
                <w:p w14:paraId="68FD3FA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10</w:t>
                  </w:r>
                </w:p>
              </w:tc>
              <w:tc>
                <w:tcPr>
                  <w:tcW w:w="1826" w:type="dxa"/>
                  <w:vAlign w:val="center"/>
                </w:tcPr>
                <w:p w14:paraId="5290C5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布袋除尘器</w:t>
                  </w:r>
                </w:p>
              </w:tc>
              <w:tc>
                <w:tcPr>
                  <w:tcW w:w="2318" w:type="dxa"/>
                  <w:vAlign w:val="center"/>
                </w:tcPr>
                <w:p w14:paraId="18EFF4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eastAsia="宋体" w:cs="Times New Roman"/>
                      <w:b w:val="0"/>
                      <w:bCs w:val="0"/>
                      <w:color w:val="auto"/>
                      <w:sz w:val="18"/>
                      <w:szCs w:val="18"/>
                      <w:highlight w:val="none"/>
                    </w:rPr>
                  </w:pPr>
                  <w:r>
                    <w:rPr>
                      <w:rFonts w:hint="default" w:ascii="Times New Roman" w:hAnsi="Times New Roman" w:eastAsia="宋体" w:cs="Times New Roman"/>
                      <w:b w:val="0"/>
                      <w:bCs w:val="0"/>
                      <w:color w:val="auto"/>
                      <w:sz w:val="18"/>
                      <w:szCs w:val="18"/>
                      <w:highlight w:val="none"/>
                    </w:rPr>
                    <w:t>/</w:t>
                  </w:r>
                </w:p>
              </w:tc>
              <w:tc>
                <w:tcPr>
                  <w:tcW w:w="2624" w:type="dxa"/>
                  <w:vAlign w:val="center"/>
                </w:tcPr>
                <w:p w14:paraId="01429A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eastAsiaTheme="minorEastAsia"/>
                      <w:color w:val="auto"/>
                      <w:sz w:val="18"/>
                      <w:szCs w:val="18"/>
                      <w:highlight w:val="none"/>
                      <w:vertAlign w:val="baseline"/>
                      <w:lang w:val="en-US" w:eastAsia="zh-CN"/>
                    </w:rPr>
                  </w:pPr>
                  <w:r>
                    <w:rPr>
                      <w:rFonts w:hint="eastAsia" w:cs="Times New Roman" w:eastAsiaTheme="minorEastAsia"/>
                      <w:color w:val="auto"/>
                      <w:sz w:val="18"/>
                      <w:szCs w:val="18"/>
                      <w:highlight w:val="none"/>
                      <w:vertAlign w:val="baseline"/>
                      <w:lang w:val="en-US" w:eastAsia="zh-CN"/>
                    </w:rPr>
                    <w:t>4</w:t>
                  </w:r>
                </w:p>
              </w:tc>
              <w:tc>
                <w:tcPr>
                  <w:tcW w:w="701" w:type="dxa"/>
                  <w:vAlign w:val="center"/>
                </w:tcPr>
                <w:p w14:paraId="33E05B5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kern w:val="0"/>
                      <w:sz w:val="18"/>
                      <w:szCs w:val="18"/>
                      <w:highlight w:val="none"/>
                    </w:rPr>
                  </w:pPr>
                  <w:r>
                    <w:rPr>
                      <w:rFonts w:hint="eastAsia" w:cs="Times New Roman"/>
                      <w:color w:val="auto"/>
                      <w:kern w:val="0"/>
                      <w:sz w:val="18"/>
                      <w:szCs w:val="18"/>
                      <w:highlight w:val="none"/>
                      <w:lang w:val="en-US" w:eastAsia="zh-CN"/>
                    </w:rPr>
                    <w:t>台</w:t>
                  </w:r>
                </w:p>
              </w:tc>
            </w:tr>
            <w:tr w14:paraId="42BF1E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869" w:type="dxa"/>
                  <w:vAlign w:val="center"/>
                </w:tcPr>
                <w:p w14:paraId="05D17C1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11</w:t>
                  </w:r>
                </w:p>
              </w:tc>
              <w:tc>
                <w:tcPr>
                  <w:tcW w:w="1826" w:type="dxa"/>
                  <w:vAlign w:val="center"/>
                </w:tcPr>
                <w:p w14:paraId="5C0BA95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eastAsia="宋体"/>
                      <w:color w:val="auto"/>
                      <w:sz w:val="18"/>
                      <w:szCs w:val="18"/>
                      <w:highlight w:val="none"/>
                      <w:lang w:val="en-US" w:eastAsia="zh-CN"/>
                    </w:rPr>
                  </w:pPr>
                  <w:r>
                    <w:rPr>
                      <w:rFonts w:hint="eastAsia"/>
                      <w:color w:val="auto"/>
                      <w:sz w:val="18"/>
                      <w:szCs w:val="18"/>
                      <w:highlight w:val="none"/>
                      <w:lang w:val="en-US" w:eastAsia="zh-CN"/>
                    </w:rPr>
                    <w:t>输送机</w:t>
                  </w:r>
                </w:p>
              </w:tc>
              <w:tc>
                <w:tcPr>
                  <w:tcW w:w="2318" w:type="dxa"/>
                  <w:vAlign w:val="center"/>
                </w:tcPr>
                <w:p w14:paraId="33071F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eastAsia="宋体" w:cs="Times New Roman"/>
                      <w:b w:val="0"/>
                      <w:bCs w:val="0"/>
                      <w:color w:val="auto"/>
                      <w:sz w:val="18"/>
                      <w:szCs w:val="18"/>
                      <w:highlight w:val="none"/>
                      <w:lang w:val="en-US" w:eastAsia="zh-CN"/>
                    </w:rPr>
                  </w:pPr>
                  <w:r>
                    <w:rPr>
                      <w:rFonts w:hint="eastAsia" w:cs="Times New Roman"/>
                      <w:b w:val="0"/>
                      <w:bCs w:val="0"/>
                      <w:color w:val="auto"/>
                      <w:sz w:val="18"/>
                      <w:szCs w:val="18"/>
                      <w:highlight w:val="none"/>
                      <w:lang w:val="en-US" w:eastAsia="zh-CN"/>
                    </w:rPr>
                    <w:t>/</w:t>
                  </w:r>
                </w:p>
              </w:tc>
              <w:tc>
                <w:tcPr>
                  <w:tcW w:w="2624" w:type="dxa"/>
                  <w:vAlign w:val="center"/>
                </w:tcPr>
                <w:p w14:paraId="6B2CCF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eastAsiaTheme="minorEastAsia"/>
                      <w:color w:val="auto"/>
                      <w:sz w:val="18"/>
                      <w:szCs w:val="18"/>
                      <w:highlight w:val="none"/>
                      <w:vertAlign w:val="baseline"/>
                      <w:lang w:val="en-US" w:eastAsia="zh-CN"/>
                    </w:rPr>
                  </w:pPr>
                  <w:r>
                    <w:rPr>
                      <w:rFonts w:hint="eastAsia" w:cs="Times New Roman" w:eastAsiaTheme="minorEastAsia"/>
                      <w:color w:val="auto"/>
                      <w:sz w:val="18"/>
                      <w:szCs w:val="18"/>
                      <w:highlight w:val="none"/>
                      <w:vertAlign w:val="baseline"/>
                      <w:lang w:val="en-US" w:eastAsia="zh-CN"/>
                    </w:rPr>
                    <w:t>12</w:t>
                  </w:r>
                </w:p>
              </w:tc>
              <w:tc>
                <w:tcPr>
                  <w:tcW w:w="701" w:type="dxa"/>
                  <w:vAlign w:val="center"/>
                </w:tcPr>
                <w:p w14:paraId="4ABEE1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台</w:t>
                  </w:r>
                </w:p>
              </w:tc>
            </w:tr>
          </w:tbl>
          <w:p w14:paraId="3AD9DB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kern w:val="0"/>
                <w:sz w:val="21"/>
                <w:szCs w:val="21"/>
                <w:highlight w:val="none"/>
              </w:rPr>
            </w:pPr>
            <w:r>
              <w:rPr>
                <w:rFonts w:hint="eastAsia" w:cs="Times New Roman"/>
                <w:b/>
                <w:bCs/>
                <w:color w:val="auto"/>
                <w:kern w:val="0"/>
                <w:sz w:val="21"/>
                <w:szCs w:val="21"/>
                <w:highlight w:val="none"/>
                <w:lang w:val="en-US" w:eastAsia="zh-CN"/>
              </w:rPr>
              <w:t>4</w:t>
            </w:r>
            <w:r>
              <w:rPr>
                <w:rFonts w:hint="default" w:ascii="Times New Roman" w:hAnsi="Times New Roman" w:cs="Times New Roman"/>
                <w:b/>
                <w:bCs/>
                <w:color w:val="auto"/>
                <w:kern w:val="0"/>
                <w:sz w:val="21"/>
                <w:szCs w:val="21"/>
                <w:highlight w:val="none"/>
              </w:rPr>
              <w:t>、原辅材料</w:t>
            </w:r>
          </w:p>
          <w:p w14:paraId="514793FC">
            <w:pPr>
              <w:keepNext w:val="0"/>
              <w:keepLines w:val="0"/>
              <w:widowControl/>
              <w:suppressLineNumbers w:val="0"/>
              <w:spacing w:before="0" w:beforeAutospacing="0" w:after="0" w:afterAutospacing="0"/>
              <w:ind w:left="0" w:right="0"/>
              <w:jc w:val="center"/>
              <w:rPr>
                <w:rFonts w:hint="default" w:ascii="Times New Roman" w:hAnsi="Times New Roman" w:eastAsia="黑体" w:cs="Times New Roman"/>
                <w:snapToGrid w:val="0"/>
                <w:color w:val="auto"/>
                <w:sz w:val="24"/>
                <w:highlight w:val="none"/>
              </w:rPr>
            </w:pPr>
            <w:r>
              <w:rPr>
                <w:rFonts w:hint="default" w:ascii="Times New Roman" w:hAnsi="Times New Roman" w:eastAsia="宋体" w:cs="Times New Roman"/>
                <w:b/>
                <w:bCs/>
                <w:snapToGrid w:val="0"/>
                <w:color w:val="auto"/>
                <w:szCs w:val="21"/>
                <w:highlight w:val="none"/>
              </w:rPr>
              <w:t>表2-</w:t>
            </w:r>
            <w:r>
              <w:rPr>
                <w:rFonts w:hint="eastAsia" w:cs="Times New Roman"/>
                <w:b/>
                <w:bCs/>
                <w:snapToGrid w:val="0"/>
                <w:color w:val="auto"/>
                <w:szCs w:val="21"/>
                <w:highlight w:val="none"/>
                <w:lang w:val="en-US" w:eastAsia="zh-CN"/>
              </w:rPr>
              <w:t>4</w:t>
            </w:r>
            <w:r>
              <w:rPr>
                <w:rFonts w:hint="default" w:ascii="Times New Roman" w:hAnsi="Times New Roman" w:eastAsia="宋体" w:cs="Times New Roman"/>
                <w:b/>
                <w:bCs/>
                <w:snapToGrid w:val="0"/>
                <w:color w:val="auto"/>
                <w:szCs w:val="21"/>
                <w:highlight w:val="none"/>
              </w:rPr>
              <w:t>原辅材料消耗一览表</w:t>
            </w:r>
          </w:p>
          <w:tbl>
            <w:tblPr>
              <w:tblStyle w:val="35"/>
              <w:tblW w:w="8298"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7"/>
              <w:gridCol w:w="2791"/>
              <w:gridCol w:w="1744"/>
              <w:gridCol w:w="1403"/>
              <w:gridCol w:w="1403"/>
            </w:tblGrid>
            <w:tr w14:paraId="4EA3FB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957" w:type="dxa"/>
                  <w:vAlign w:val="center"/>
                </w:tcPr>
                <w:p w14:paraId="60E4441B">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序号</w:t>
                  </w:r>
                </w:p>
              </w:tc>
              <w:tc>
                <w:tcPr>
                  <w:tcW w:w="2791" w:type="dxa"/>
                  <w:vAlign w:val="center"/>
                </w:tcPr>
                <w:p w14:paraId="2C68ABFC">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原辅材料名称</w:t>
                  </w:r>
                </w:p>
              </w:tc>
              <w:tc>
                <w:tcPr>
                  <w:tcW w:w="1744" w:type="dxa"/>
                  <w:vAlign w:val="center"/>
                </w:tcPr>
                <w:p w14:paraId="3CAC45CB">
                  <w:pPr>
                    <w:keepNext w:val="0"/>
                    <w:keepLines w:val="0"/>
                    <w:suppressLineNumbers w:val="0"/>
                    <w:spacing w:before="0" w:beforeAutospacing="0" w:after="0" w:afterAutospacing="0"/>
                    <w:ind w:left="0" w:right="0"/>
                    <w:jc w:val="center"/>
                    <w:rPr>
                      <w:rFonts w:hint="default"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年用量</w:t>
                  </w:r>
                </w:p>
              </w:tc>
              <w:tc>
                <w:tcPr>
                  <w:tcW w:w="1403" w:type="dxa"/>
                  <w:vAlign w:val="center"/>
                </w:tcPr>
                <w:p w14:paraId="5E7CD7E1">
                  <w:pPr>
                    <w:keepNext w:val="0"/>
                    <w:keepLines w:val="0"/>
                    <w:suppressLineNumbers w:val="0"/>
                    <w:spacing w:before="0" w:beforeAutospacing="0" w:after="0" w:afterAutospacing="0"/>
                    <w:ind w:left="0" w:right="0"/>
                    <w:jc w:val="center"/>
                    <w:rPr>
                      <w:rFonts w:hint="default"/>
                      <w:color w:val="auto"/>
                      <w:sz w:val="18"/>
                      <w:szCs w:val="18"/>
                      <w:highlight w:val="none"/>
                      <w:vertAlign w:val="baseline"/>
                      <w:lang w:val="en-US" w:eastAsia="zh-CN"/>
                    </w:rPr>
                  </w:pPr>
                  <w:r>
                    <w:rPr>
                      <w:rFonts w:hint="eastAsia"/>
                      <w:color w:val="auto"/>
                      <w:sz w:val="18"/>
                      <w:szCs w:val="18"/>
                      <w:highlight w:val="none"/>
                      <w:vertAlign w:val="baseline"/>
                      <w:lang w:val="en-US" w:eastAsia="zh-CN"/>
                    </w:rPr>
                    <w:t>单位</w:t>
                  </w:r>
                </w:p>
              </w:tc>
              <w:tc>
                <w:tcPr>
                  <w:tcW w:w="1403" w:type="dxa"/>
                  <w:vAlign w:val="center"/>
                </w:tcPr>
                <w:p w14:paraId="6EB9E35A">
                  <w:pPr>
                    <w:keepNext w:val="0"/>
                    <w:keepLines w:val="0"/>
                    <w:suppressLineNumbers w:val="0"/>
                    <w:spacing w:before="0" w:beforeAutospacing="0" w:after="0" w:afterAutospacing="0"/>
                    <w:ind w:left="0" w:right="0"/>
                    <w:jc w:val="center"/>
                    <w:rPr>
                      <w:rFonts w:hint="eastAsia" w:eastAsiaTheme="minorEastAsia"/>
                      <w:color w:val="auto"/>
                      <w:sz w:val="18"/>
                      <w:szCs w:val="18"/>
                      <w:highlight w:val="none"/>
                      <w:vertAlign w:val="baseline"/>
                      <w:lang w:val="en-US" w:eastAsia="zh-CN"/>
                    </w:rPr>
                  </w:pPr>
                  <w:r>
                    <w:rPr>
                      <w:rFonts w:hint="eastAsia"/>
                      <w:color w:val="auto"/>
                      <w:sz w:val="18"/>
                      <w:szCs w:val="18"/>
                      <w:highlight w:val="none"/>
                      <w:vertAlign w:val="baseline"/>
                      <w:lang w:val="en-US" w:eastAsia="zh-CN"/>
                    </w:rPr>
                    <w:t>来源</w:t>
                  </w:r>
                </w:p>
              </w:tc>
            </w:tr>
            <w:tr w14:paraId="5137ADC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957" w:type="dxa"/>
                  <w:vAlign w:val="center"/>
                </w:tcPr>
                <w:p w14:paraId="47AAE45B">
                  <w:pPr>
                    <w:keepNext w:val="0"/>
                    <w:keepLines w:val="0"/>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1</w:t>
                  </w:r>
                </w:p>
              </w:tc>
              <w:tc>
                <w:tcPr>
                  <w:tcW w:w="2791" w:type="dxa"/>
                  <w:vAlign w:val="center"/>
                </w:tcPr>
                <w:p w14:paraId="5EAE5D3A">
                  <w:pPr>
                    <w:keepNext w:val="0"/>
                    <w:keepLines w:val="0"/>
                    <w:widowControl/>
                    <w:suppressLineNumbers w:val="0"/>
                    <w:spacing w:before="0" w:beforeAutospacing="0" w:after="0" w:afterAutospacing="0"/>
                    <w:ind w:left="0" w:right="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bCs/>
                      <w:color w:val="auto"/>
                      <w:sz w:val="18"/>
                      <w:szCs w:val="18"/>
                      <w:highlight w:val="none"/>
                      <w:lang w:val="en-US" w:eastAsia="zh-CN"/>
                    </w:rPr>
                    <w:t>玉米芯（含水率60%)</w:t>
                  </w:r>
                </w:p>
              </w:tc>
              <w:tc>
                <w:tcPr>
                  <w:tcW w:w="1744" w:type="dxa"/>
                  <w:vAlign w:val="center"/>
                </w:tcPr>
                <w:p w14:paraId="70A81511">
                  <w:pPr>
                    <w:pStyle w:val="14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color w:val="auto"/>
                      <w:kern w:val="0"/>
                      <w:sz w:val="18"/>
                      <w:szCs w:val="18"/>
                      <w:highlight w:val="none"/>
                      <w:lang w:val="en-US" w:eastAsia="zh-CN" w:bidi="ar-SA"/>
                    </w:rPr>
                    <w:t>23000</w:t>
                  </w:r>
                </w:p>
              </w:tc>
              <w:tc>
                <w:tcPr>
                  <w:tcW w:w="1403" w:type="dxa"/>
                  <w:vAlign w:val="center"/>
                </w:tcPr>
                <w:p w14:paraId="24FA0D08">
                  <w:pPr>
                    <w:keepNext w:val="0"/>
                    <w:keepLines w:val="0"/>
                    <w:widowControl/>
                    <w:suppressLineNumbers w:val="0"/>
                    <w:spacing w:before="0" w:beforeAutospacing="0" w:after="0" w:afterAutospacing="0"/>
                    <w:ind w:left="0" w:right="0"/>
                    <w:jc w:val="center"/>
                    <w:rPr>
                      <w:rFonts w:hint="eastAsia" w:cs="Times New Roman" w:eastAsiaTheme="minorEastAsia"/>
                      <w:bCs/>
                      <w:color w:val="auto"/>
                      <w:sz w:val="18"/>
                      <w:szCs w:val="18"/>
                      <w:highlight w:val="none"/>
                      <w:lang w:val="en-US" w:eastAsia="zh-CN"/>
                    </w:rPr>
                  </w:pPr>
                  <w:r>
                    <w:rPr>
                      <w:rFonts w:hint="default" w:ascii="Times New Roman" w:hAnsi="Times New Roman" w:cs="Times New Roman"/>
                      <w:bCs/>
                      <w:color w:val="auto"/>
                      <w:sz w:val="18"/>
                      <w:szCs w:val="18"/>
                      <w:highlight w:val="none"/>
                    </w:rPr>
                    <w:t>t/a</w:t>
                  </w:r>
                </w:p>
              </w:tc>
              <w:tc>
                <w:tcPr>
                  <w:tcW w:w="1403" w:type="dxa"/>
                  <w:vAlign w:val="center"/>
                </w:tcPr>
                <w:p w14:paraId="2305FEC7">
                  <w:pPr>
                    <w:keepNext w:val="0"/>
                    <w:keepLines w:val="0"/>
                    <w:widowControl/>
                    <w:suppressLineNumbers w:val="0"/>
                    <w:spacing w:before="0" w:beforeAutospacing="0" w:after="0" w:afterAutospacing="0"/>
                    <w:ind w:left="0" w:right="0"/>
                    <w:jc w:val="center"/>
                    <w:rPr>
                      <w:rFonts w:hint="eastAsia" w:ascii="Times New Roman" w:hAnsi="Times New Roman" w:cs="Times New Roman" w:eastAsiaTheme="minorEastAsia"/>
                      <w:color w:val="auto"/>
                      <w:sz w:val="18"/>
                      <w:szCs w:val="18"/>
                      <w:highlight w:val="none"/>
                      <w:vertAlign w:val="baseline"/>
                      <w:lang w:val="en-US" w:eastAsia="zh-CN"/>
                    </w:rPr>
                  </w:pPr>
                  <w:r>
                    <w:rPr>
                      <w:rFonts w:hint="eastAsia" w:cs="Times New Roman" w:eastAsiaTheme="minorEastAsia"/>
                      <w:bCs/>
                      <w:color w:val="auto"/>
                      <w:sz w:val="18"/>
                      <w:szCs w:val="18"/>
                      <w:highlight w:val="none"/>
                      <w:lang w:val="en-US" w:eastAsia="zh-CN"/>
                    </w:rPr>
                    <w:t>当地</w:t>
                  </w:r>
                </w:p>
              </w:tc>
            </w:tr>
            <w:tr w14:paraId="49CF75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9" w:hRule="atLeast"/>
              </w:trPr>
              <w:tc>
                <w:tcPr>
                  <w:tcW w:w="957" w:type="dxa"/>
                  <w:vAlign w:val="center"/>
                </w:tcPr>
                <w:p w14:paraId="71C4295D">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2</w:t>
                  </w:r>
                </w:p>
              </w:tc>
              <w:tc>
                <w:tcPr>
                  <w:tcW w:w="2791" w:type="dxa"/>
                  <w:vAlign w:val="center"/>
                </w:tcPr>
                <w:p w14:paraId="08D6CE2A">
                  <w:pPr>
                    <w:keepNext w:val="0"/>
                    <w:keepLines w:val="0"/>
                    <w:widowControl/>
                    <w:suppressLineNumbers w:val="0"/>
                    <w:spacing w:before="0" w:beforeAutospacing="0" w:after="0" w:afterAutospacing="0"/>
                    <w:ind w:left="0" w:right="0"/>
                    <w:jc w:val="center"/>
                    <w:rPr>
                      <w:rFonts w:hint="eastAsia" w:cs="Times New Roman"/>
                      <w:bCs/>
                      <w:color w:val="auto"/>
                      <w:sz w:val="18"/>
                      <w:szCs w:val="18"/>
                      <w:highlight w:val="none"/>
                      <w:lang w:val="en-US" w:eastAsia="zh-CN"/>
                    </w:rPr>
                  </w:pPr>
                  <w:r>
                    <w:rPr>
                      <w:rFonts w:hint="eastAsia" w:cs="Times New Roman"/>
                      <w:bCs/>
                      <w:color w:val="auto"/>
                      <w:sz w:val="18"/>
                      <w:szCs w:val="18"/>
                      <w:highlight w:val="none"/>
                      <w:lang w:val="en-US" w:eastAsia="zh-CN"/>
                    </w:rPr>
                    <w:t>秸秆（含水率50%)</w:t>
                  </w:r>
                </w:p>
              </w:tc>
              <w:tc>
                <w:tcPr>
                  <w:tcW w:w="1744" w:type="dxa"/>
                  <w:vAlign w:val="center"/>
                </w:tcPr>
                <w:p w14:paraId="6DD753BF">
                  <w:pPr>
                    <w:pStyle w:val="149"/>
                    <w:keepNext w:val="0"/>
                    <w:keepLines w:val="0"/>
                    <w:suppressLineNumbers w:val="0"/>
                    <w:spacing w:before="0" w:beforeAutospacing="0" w:after="0" w:afterAutospacing="0" w:line="240" w:lineRule="auto"/>
                    <w:ind w:left="0" w:leftChars="0" w:right="0" w:rightChars="0"/>
                    <w:jc w:val="center"/>
                    <w:rPr>
                      <w:rFonts w:hint="default" w:cs="Times New Roman" w:eastAsiaTheme="minorEastAsia"/>
                      <w:color w:val="auto"/>
                      <w:sz w:val="18"/>
                      <w:szCs w:val="18"/>
                      <w:highlight w:val="none"/>
                      <w:vertAlign w:val="baseline"/>
                      <w:lang w:val="en-US" w:eastAsia="zh-CN"/>
                    </w:rPr>
                  </w:pPr>
                  <w:r>
                    <w:rPr>
                      <w:rFonts w:hint="eastAsia" w:cs="Times New Roman"/>
                      <w:color w:val="auto"/>
                      <w:kern w:val="0"/>
                      <w:sz w:val="18"/>
                      <w:szCs w:val="18"/>
                      <w:highlight w:val="none"/>
                      <w:lang w:val="en-US" w:eastAsia="zh-CN" w:bidi="ar-SA"/>
                    </w:rPr>
                    <w:t>7360</w:t>
                  </w:r>
                </w:p>
              </w:tc>
              <w:tc>
                <w:tcPr>
                  <w:tcW w:w="1403" w:type="dxa"/>
                  <w:vAlign w:val="center"/>
                </w:tcPr>
                <w:p w14:paraId="317517CB">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t/a</w:t>
                  </w:r>
                </w:p>
              </w:tc>
              <w:tc>
                <w:tcPr>
                  <w:tcW w:w="1403" w:type="dxa"/>
                  <w:vAlign w:val="center"/>
                </w:tcPr>
                <w:p w14:paraId="74A0F9CA">
                  <w:pPr>
                    <w:keepNext w:val="0"/>
                    <w:keepLines w:val="0"/>
                    <w:widowControl/>
                    <w:suppressLineNumbers w:val="0"/>
                    <w:spacing w:before="0" w:beforeAutospacing="0" w:after="0" w:afterAutospacing="0"/>
                    <w:ind w:left="0" w:right="0"/>
                    <w:jc w:val="center"/>
                    <w:rPr>
                      <w:rFonts w:hint="eastAsia"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当地</w:t>
                  </w:r>
                </w:p>
              </w:tc>
            </w:tr>
            <w:tr w14:paraId="36B1F8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957" w:type="dxa"/>
                  <w:vAlign w:val="center"/>
                </w:tcPr>
                <w:p w14:paraId="52355573">
                  <w:pPr>
                    <w:keepNext w:val="0"/>
                    <w:keepLines w:val="0"/>
                    <w:suppressLineNumbers w:val="0"/>
                    <w:spacing w:before="0" w:beforeAutospacing="0" w:after="0" w:afterAutospacing="0"/>
                    <w:ind w:left="0" w:right="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3</w:t>
                  </w:r>
                </w:p>
              </w:tc>
              <w:tc>
                <w:tcPr>
                  <w:tcW w:w="2791" w:type="dxa"/>
                  <w:shd w:val="clear" w:color="auto" w:fill="auto"/>
                  <w:vAlign w:val="center"/>
                </w:tcPr>
                <w:p w14:paraId="58895677">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菌渣（含水率60%)</w:t>
                  </w:r>
                </w:p>
              </w:tc>
              <w:tc>
                <w:tcPr>
                  <w:tcW w:w="1744" w:type="dxa"/>
                  <w:vAlign w:val="center"/>
                </w:tcPr>
                <w:p w14:paraId="63D51818">
                  <w:pPr>
                    <w:pStyle w:val="149"/>
                    <w:keepNext w:val="0"/>
                    <w:keepLines w:val="0"/>
                    <w:suppressLineNumbers w:val="0"/>
                    <w:spacing w:before="0" w:beforeAutospacing="0" w:after="0" w:afterAutospacing="0" w:line="240" w:lineRule="auto"/>
                    <w:ind w:left="0" w:leftChars="0" w:right="0" w:rightChars="0"/>
                    <w:jc w:val="center"/>
                    <w:rPr>
                      <w:rFonts w:hint="default" w:cs="Times New Roman" w:eastAsiaTheme="minorEastAsia"/>
                      <w:color w:val="auto"/>
                      <w:sz w:val="18"/>
                      <w:szCs w:val="18"/>
                      <w:highlight w:val="none"/>
                      <w:vertAlign w:val="baseline"/>
                      <w:lang w:val="en-US" w:eastAsia="zh-CN"/>
                    </w:rPr>
                  </w:pPr>
                  <w:r>
                    <w:rPr>
                      <w:rFonts w:hint="eastAsia" w:cs="Times New Roman"/>
                      <w:color w:val="auto"/>
                      <w:kern w:val="0"/>
                      <w:sz w:val="18"/>
                      <w:szCs w:val="18"/>
                      <w:highlight w:val="none"/>
                      <w:lang w:val="en-US" w:eastAsia="zh-CN" w:bidi="ar-SA"/>
                    </w:rPr>
                    <w:t>9200</w:t>
                  </w:r>
                </w:p>
              </w:tc>
              <w:tc>
                <w:tcPr>
                  <w:tcW w:w="1403" w:type="dxa"/>
                  <w:vAlign w:val="center"/>
                </w:tcPr>
                <w:p w14:paraId="387F3DD7">
                  <w:pPr>
                    <w:keepNext w:val="0"/>
                    <w:keepLines w:val="0"/>
                    <w:widowControl/>
                    <w:suppressLineNumbers w:val="0"/>
                    <w:spacing w:before="0" w:beforeAutospacing="0" w:after="0" w:afterAutospacing="0"/>
                    <w:ind w:left="0" w:right="0"/>
                    <w:jc w:val="center"/>
                    <w:rPr>
                      <w:rFonts w:hint="default" w:ascii="Times New Roman" w:hAnsi="Times New Roman" w:cs="Times New Roman"/>
                      <w:bCs/>
                      <w:color w:val="auto"/>
                      <w:sz w:val="18"/>
                      <w:szCs w:val="18"/>
                      <w:highlight w:val="none"/>
                    </w:rPr>
                  </w:pPr>
                  <w:r>
                    <w:rPr>
                      <w:rFonts w:hint="default" w:ascii="Times New Roman" w:hAnsi="Times New Roman" w:cs="Times New Roman"/>
                      <w:bCs/>
                      <w:color w:val="auto"/>
                      <w:sz w:val="18"/>
                      <w:szCs w:val="18"/>
                      <w:highlight w:val="none"/>
                    </w:rPr>
                    <w:t>t/a</w:t>
                  </w:r>
                </w:p>
              </w:tc>
              <w:tc>
                <w:tcPr>
                  <w:tcW w:w="1403" w:type="dxa"/>
                  <w:vAlign w:val="center"/>
                </w:tcPr>
                <w:p w14:paraId="11D17E59">
                  <w:pPr>
                    <w:keepNext w:val="0"/>
                    <w:keepLines w:val="0"/>
                    <w:widowControl/>
                    <w:suppressLineNumbers w:val="0"/>
                    <w:spacing w:before="0" w:beforeAutospacing="0" w:after="0" w:afterAutospacing="0"/>
                    <w:ind w:left="0" w:right="0"/>
                    <w:jc w:val="center"/>
                    <w:rPr>
                      <w:rFonts w:hint="eastAsia"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当地</w:t>
                  </w:r>
                </w:p>
              </w:tc>
            </w:tr>
            <w:tr w14:paraId="060D5A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957" w:type="dxa"/>
                  <w:vAlign w:val="center"/>
                </w:tcPr>
                <w:p w14:paraId="031ABB63">
                  <w:pPr>
                    <w:keepNext w:val="0"/>
                    <w:keepLines w:val="0"/>
                    <w:suppressLineNumbers w:val="0"/>
                    <w:spacing w:before="0" w:beforeAutospacing="0" w:after="0" w:afterAutospacing="0"/>
                    <w:ind w:left="0" w:right="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4</w:t>
                  </w:r>
                </w:p>
              </w:tc>
              <w:tc>
                <w:tcPr>
                  <w:tcW w:w="2791" w:type="dxa"/>
                  <w:shd w:val="clear" w:color="auto" w:fill="auto"/>
                  <w:vAlign w:val="center"/>
                </w:tcPr>
                <w:p w14:paraId="4C5C1867">
                  <w:pPr>
                    <w:keepNext w:val="0"/>
                    <w:keepLines w:val="0"/>
                    <w:widowControl/>
                    <w:suppressLineNumbers w:val="0"/>
                    <w:spacing w:before="0" w:beforeAutospacing="0" w:after="0" w:afterAutospacing="0"/>
                    <w:ind w:left="0" w:leftChars="0" w:right="0" w:rightChars="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木头（含水率40%)</w:t>
                  </w:r>
                </w:p>
              </w:tc>
              <w:tc>
                <w:tcPr>
                  <w:tcW w:w="1744" w:type="dxa"/>
                  <w:vAlign w:val="center"/>
                </w:tcPr>
                <w:p w14:paraId="3CB1410C">
                  <w:pPr>
                    <w:pStyle w:val="149"/>
                    <w:keepNext w:val="0"/>
                    <w:keepLines w:val="0"/>
                    <w:suppressLineNumbers w:val="0"/>
                    <w:spacing w:before="0" w:beforeAutospacing="0" w:after="0" w:afterAutospacing="0" w:line="240" w:lineRule="auto"/>
                    <w:ind w:left="0" w:leftChars="0" w:right="0" w:rightChars="0"/>
                    <w:jc w:val="center"/>
                    <w:rPr>
                      <w:rFonts w:hint="default" w:cs="Times New Roman" w:eastAsiaTheme="minorEastAsia"/>
                      <w:color w:val="auto"/>
                      <w:sz w:val="18"/>
                      <w:szCs w:val="18"/>
                      <w:highlight w:val="none"/>
                      <w:vertAlign w:val="baseline"/>
                      <w:lang w:val="en-US" w:eastAsia="zh-CN"/>
                    </w:rPr>
                  </w:pPr>
                  <w:r>
                    <w:rPr>
                      <w:rFonts w:hint="eastAsia" w:cs="Times New Roman"/>
                      <w:color w:val="auto"/>
                      <w:kern w:val="0"/>
                      <w:sz w:val="18"/>
                      <w:szCs w:val="18"/>
                      <w:highlight w:val="none"/>
                      <w:lang w:val="en-US" w:eastAsia="zh-CN" w:bidi="ar-SA"/>
                    </w:rPr>
                    <w:t>3066</w:t>
                  </w:r>
                </w:p>
              </w:tc>
              <w:tc>
                <w:tcPr>
                  <w:tcW w:w="1403" w:type="dxa"/>
                  <w:shd w:val="clear" w:color="auto" w:fill="auto"/>
                  <w:vAlign w:val="center"/>
                </w:tcPr>
                <w:p w14:paraId="3075546D">
                  <w:pPr>
                    <w:keepNext w:val="0"/>
                    <w:keepLines w:val="0"/>
                    <w:widowControl/>
                    <w:suppressLineNumbers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lang w:val="en-US" w:eastAsia="zh-CN" w:bidi="ar-SA"/>
                    </w:rPr>
                  </w:pPr>
                  <w:r>
                    <w:rPr>
                      <w:rFonts w:hint="default" w:ascii="Times New Roman" w:hAnsi="Times New Roman" w:cs="Times New Roman"/>
                      <w:bCs/>
                      <w:color w:val="auto"/>
                      <w:sz w:val="18"/>
                      <w:szCs w:val="18"/>
                      <w:highlight w:val="none"/>
                    </w:rPr>
                    <w:t>t/a</w:t>
                  </w:r>
                </w:p>
              </w:tc>
              <w:tc>
                <w:tcPr>
                  <w:tcW w:w="1403" w:type="dxa"/>
                  <w:shd w:val="clear" w:color="auto" w:fill="auto"/>
                  <w:vAlign w:val="center"/>
                </w:tcPr>
                <w:p w14:paraId="0C774304">
                  <w:pPr>
                    <w:keepNext w:val="0"/>
                    <w:keepLines w:val="0"/>
                    <w:widowControl/>
                    <w:suppressLineNumbers w:val="0"/>
                    <w:spacing w:before="0" w:beforeAutospacing="0" w:after="0" w:afterAutospacing="0"/>
                    <w:ind w:left="0" w:leftChars="0" w:right="0" w:rightChars="0"/>
                    <w:jc w:val="center"/>
                    <w:rPr>
                      <w:rFonts w:hint="eastAsia" w:ascii="Times New Roman" w:hAnsi="Times New Roman" w:cs="Times New Roman" w:eastAsiaTheme="minorEastAsia"/>
                      <w:bCs/>
                      <w:color w:val="auto"/>
                      <w:kern w:val="2"/>
                      <w:sz w:val="18"/>
                      <w:szCs w:val="18"/>
                      <w:highlight w:val="none"/>
                      <w:lang w:val="en-US" w:eastAsia="zh-CN" w:bidi="ar-SA"/>
                    </w:rPr>
                  </w:pPr>
                  <w:r>
                    <w:rPr>
                      <w:rFonts w:hint="eastAsia" w:cs="Times New Roman" w:eastAsiaTheme="minorEastAsia"/>
                      <w:bCs/>
                      <w:color w:val="auto"/>
                      <w:sz w:val="18"/>
                      <w:szCs w:val="18"/>
                      <w:highlight w:val="none"/>
                      <w:lang w:val="en-US" w:eastAsia="zh-CN"/>
                    </w:rPr>
                    <w:t>当地</w:t>
                  </w:r>
                </w:p>
              </w:tc>
            </w:tr>
            <w:tr w14:paraId="6A5DCD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957" w:type="dxa"/>
                  <w:vAlign w:val="center"/>
                </w:tcPr>
                <w:p w14:paraId="012F99CD">
                  <w:pPr>
                    <w:keepNext w:val="0"/>
                    <w:keepLines w:val="0"/>
                    <w:suppressLineNumbers w:val="0"/>
                    <w:spacing w:before="0" w:beforeAutospacing="0" w:after="0" w:afterAutospacing="0"/>
                    <w:ind w:left="0" w:right="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5</w:t>
                  </w:r>
                </w:p>
              </w:tc>
              <w:tc>
                <w:tcPr>
                  <w:tcW w:w="2791" w:type="dxa"/>
                  <w:shd w:val="clear" w:color="auto" w:fill="auto"/>
                  <w:vAlign w:val="center"/>
                </w:tcPr>
                <w:p w14:paraId="3EC653FD">
                  <w:pPr>
                    <w:pStyle w:val="149"/>
                    <w:keepNext w:val="0"/>
                    <w:keepLines w:val="0"/>
                    <w:suppressLineNumbers w:val="0"/>
                    <w:spacing w:before="0" w:beforeAutospacing="0" w:after="0" w:afterAutospacing="0" w:line="240" w:lineRule="auto"/>
                    <w:ind w:left="0" w:leftChars="0" w:right="0" w:rightChars="0"/>
                    <w:jc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生物质颗粒</w:t>
                  </w:r>
                </w:p>
              </w:tc>
              <w:tc>
                <w:tcPr>
                  <w:tcW w:w="1744" w:type="dxa"/>
                  <w:vAlign w:val="center"/>
                </w:tcPr>
                <w:p w14:paraId="2B408DD9">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8082</w:t>
                  </w:r>
                </w:p>
              </w:tc>
              <w:tc>
                <w:tcPr>
                  <w:tcW w:w="1403" w:type="dxa"/>
                  <w:shd w:val="clear" w:color="auto" w:fill="auto"/>
                  <w:vAlign w:val="center"/>
                </w:tcPr>
                <w:p w14:paraId="62E792B4">
                  <w:pPr>
                    <w:pStyle w:val="149"/>
                    <w:keepNext w:val="0"/>
                    <w:keepLines w:val="0"/>
                    <w:suppressLineNumbers w:val="0"/>
                    <w:spacing w:before="0" w:beforeAutospacing="0" w:after="0" w:afterAutospacing="0" w:line="240" w:lineRule="auto"/>
                    <w:ind w:left="0" w:leftChars="0" w:right="0" w:rightChars="0"/>
                    <w:jc w:val="center"/>
                    <w:rPr>
                      <w:rFonts w:hint="default" w:cs="Times New Roman"/>
                      <w:color w:val="auto"/>
                      <w:kern w:val="0"/>
                      <w:sz w:val="18"/>
                      <w:szCs w:val="18"/>
                      <w:highlight w:val="none"/>
                      <w:lang w:val="en-US" w:eastAsia="zh-CN" w:bidi="ar-SA"/>
                    </w:rPr>
                  </w:pPr>
                  <w:r>
                    <w:rPr>
                      <w:rFonts w:hint="default" w:cs="Times New Roman"/>
                      <w:color w:val="auto"/>
                      <w:kern w:val="0"/>
                      <w:sz w:val="18"/>
                      <w:szCs w:val="18"/>
                      <w:highlight w:val="none"/>
                      <w:lang w:val="en-US" w:eastAsia="zh-CN" w:bidi="ar-SA"/>
                    </w:rPr>
                    <w:t>t/a</w:t>
                  </w:r>
                </w:p>
              </w:tc>
              <w:tc>
                <w:tcPr>
                  <w:tcW w:w="1403" w:type="dxa"/>
                  <w:shd w:val="clear" w:color="auto" w:fill="auto"/>
                  <w:vAlign w:val="center"/>
                </w:tcPr>
                <w:p w14:paraId="112A7F35">
                  <w:pPr>
                    <w:keepNext w:val="0"/>
                    <w:keepLines w:val="0"/>
                    <w:widowControl/>
                    <w:suppressLineNumbers w:val="0"/>
                    <w:spacing w:before="0" w:beforeAutospacing="0" w:after="0" w:afterAutospacing="0"/>
                    <w:ind w:left="0" w:leftChars="0" w:right="0" w:rightChars="0"/>
                    <w:jc w:val="center"/>
                    <w:rPr>
                      <w:rFonts w:hint="eastAsia"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自产</w:t>
                  </w:r>
                </w:p>
              </w:tc>
            </w:tr>
            <w:tr w14:paraId="567F82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957" w:type="dxa"/>
                  <w:vAlign w:val="center"/>
                </w:tcPr>
                <w:p w14:paraId="3DD00504">
                  <w:pPr>
                    <w:keepNext w:val="0"/>
                    <w:keepLines w:val="0"/>
                    <w:suppressLineNumbers w:val="0"/>
                    <w:spacing w:before="0" w:beforeAutospacing="0" w:after="0" w:afterAutospacing="0"/>
                    <w:ind w:left="0" w:right="0"/>
                    <w:jc w:val="center"/>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6</w:t>
                  </w:r>
                </w:p>
              </w:tc>
              <w:tc>
                <w:tcPr>
                  <w:tcW w:w="2791" w:type="dxa"/>
                  <w:shd w:val="clear" w:color="auto" w:fill="auto"/>
                  <w:vAlign w:val="center"/>
                </w:tcPr>
                <w:p w14:paraId="6DA5454A">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水（生活用水、洒水降尘用水）</w:t>
                  </w:r>
                </w:p>
              </w:tc>
              <w:tc>
                <w:tcPr>
                  <w:tcW w:w="1744" w:type="dxa"/>
                  <w:vAlign w:val="center"/>
                </w:tcPr>
                <w:p w14:paraId="0A2BD1CD">
                  <w:pPr>
                    <w:pStyle w:val="149"/>
                    <w:keepNext w:val="0"/>
                    <w:keepLines w:val="0"/>
                    <w:suppressLineNumbers w:val="0"/>
                    <w:spacing w:before="0" w:beforeAutospacing="0" w:after="0" w:afterAutospacing="0" w:line="240" w:lineRule="auto"/>
                    <w:ind w:left="0" w:leftChars="0" w:right="0" w:rightChars="0"/>
                    <w:jc w:val="center"/>
                    <w:rPr>
                      <w:rFonts w:hint="default"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445.2</w:t>
                  </w:r>
                </w:p>
              </w:tc>
              <w:tc>
                <w:tcPr>
                  <w:tcW w:w="1403" w:type="dxa"/>
                  <w:shd w:val="clear" w:color="auto" w:fill="auto"/>
                  <w:vAlign w:val="center"/>
                </w:tcPr>
                <w:p w14:paraId="48E6015B">
                  <w:pPr>
                    <w:pStyle w:val="149"/>
                    <w:keepNext w:val="0"/>
                    <w:keepLines w:val="0"/>
                    <w:suppressLineNumbers w:val="0"/>
                    <w:spacing w:before="0" w:beforeAutospacing="0" w:after="0" w:afterAutospacing="0" w:line="240" w:lineRule="auto"/>
                    <w:ind w:left="0" w:leftChars="0" w:right="0" w:rightChars="0"/>
                    <w:jc w:val="center"/>
                    <w:rPr>
                      <w:rFonts w:hint="default" w:cs="Times New Roman"/>
                      <w:color w:val="auto"/>
                      <w:kern w:val="0"/>
                      <w:sz w:val="18"/>
                      <w:szCs w:val="18"/>
                      <w:highlight w:val="none"/>
                      <w:lang w:val="en-US" w:eastAsia="zh-CN" w:bidi="ar-SA"/>
                    </w:rPr>
                  </w:pPr>
                  <w:r>
                    <w:rPr>
                      <w:rFonts w:hint="default" w:cs="Times New Roman"/>
                      <w:color w:val="auto"/>
                      <w:kern w:val="0"/>
                      <w:sz w:val="18"/>
                      <w:szCs w:val="18"/>
                      <w:highlight w:val="none"/>
                      <w:lang w:val="en-US" w:eastAsia="zh-CN" w:bidi="ar-SA"/>
                    </w:rPr>
                    <w:t>t/a</w:t>
                  </w:r>
                </w:p>
              </w:tc>
              <w:tc>
                <w:tcPr>
                  <w:tcW w:w="1403" w:type="dxa"/>
                  <w:shd w:val="clear" w:color="auto" w:fill="auto"/>
                  <w:vAlign w:val="center"/>
                </w:tcPr>
                <w:p w14:paraId="2DF577D3">
                  <w:pPr>
                    <w:keepNext w:val="0"/>
                    <w:keepLines w:val="0"/>
                    <w:widowControl/>
                    <w:suppressLineNumbers w:val="0"/>
                    <w:spacing w:before="0" w:beforeAutospacing="0" w:after="0" w:afterAutospacing="0"/>
                    <w:ind w:left="0" w:leftChars="0" w:right="0" w:rightChars="0"/>
                    <w:jc w:val="center"/>
                    <w:rPr>
                      <w:rFonts w:hint="eastAsia" w:cs="Times New Roman" w:eastAsiaTheme="minorEastAsia"/>
                      <w:bCs/>
                      <w:color w:val="auto"/>
                      <w:sz w:val="18"/>
                      <w:szCs w:val="18"/>
                      <w:highlight w:val="none"/>
                      <w:lang w:val="en-US" w:eastAsia="zh-CN"/>
                    </w:rPr>
                  </w:pPr>
                  <w:r>
                    <w:rPr>
                      <w:rFonts w:hint="eastAsia" w:cs="Times New Roman" w:eastAsiaTheme="minorEastAsia"/>
                      <w:bCs/>
                      <w:color w:val="auto"/>
                      <w:sz w:val="18"/>
                      <w:szCs w:val="18"/>
                      <w:highlight w:val="none"/>
                      <w:lang w:val="en-US" w:eastAsia="zh-CN"/>
                    </w:rPr>
                    <w:t>外购、罐车拉运</w:t>
                  </w:r>
                </w:p>
              </w:tc>
            </w:tr>
          </w:tbl>
          <w:p w14:paraId="2923400B">
            <w:pPr>
              <w:pStyle w:val="161"/>
              <w:keepNext w:val="0"/>
              <w:keepLines w:val="0"/>
              <w:suppressLineNumbers w:val="0"/>
              <w:spacing w:before="0" w:beforeAutospacing="0" w:after="0" w:afterAutospacing="0" w:line="240" w:lineRule="auto"/>
              <w:ind w:left="0" w:right="0"/>
              <w:rPr>
                <w:rFonts w:hint="default" w:eastAsia="宋体"/>
                <w:color w:val="auto"/>
                <w:highlight w:val="none"/>
                <w:lang w:val="en-US" w:eastAsia="zh-CN"/>
              </w:rPr>
            </w:pPr>
            <w:r>
              <w:rPr>
                <w:rFonts w:hint="eastAsia" w:eastAsia="宋体"/>
                <w:color w:val="auto"/>
                <w:highlight w:val="none"/>
              </w:rPr>
              <w:t>表2-5</w:t>
            </w:r>
            <w:r>
              <w:rPr>
                <w:rFonts w:hint="eastAsia"/>
                <w:color w:val="auto"/>
                <w:highlight w:val="none"/>
                <w:lang w:val="en-US" w:eastAsia="zh-CN"/>
              </w:rPr>
              <w:t>物</w:t>
            </w:r>
            <w:r>
              <w:rPr>
                <w:rFonts w:hint="eastAsia" w:eastAsia="宋体"/>
                <w:color w:val="auto"/>
                <w:highlight w:val="none"/>
              </w:rPr>
              <w:t>料平衡表</w:t>
            </w:r>
            <w:r>
              <w:rPr>
                <w:rFonts w:hint="eastAsia"/>
                <w:color w:val="auto"/>
                <w:highlight w:val="none"/>
                <w:lang w:val="en-US" w:eastAsia="zh-CN"/>
              </w:rPr>
              <w:t xml:space="preserve"> 单位t/a</w:t>
            </w:r>
          </w:p>
          <w:tbl>
            <w:tblPr>
              <w:tblStyle w:val="34"/>
              <w:tblW w:w="501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1"/>
              <w:gridCol w:w="4736"/>
              <w:gridCol w:w="1485"/>
              <w:gridCol w:w="1075"/>
            </w:tblGrid>
            <w:tr w14:paraId="70DB58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597" w:type="pct"/>
                  <w:tcBorders>
                    <w:top w:val="single" w:color="auto" w:sz="4" w:space="0"/>
                    <w:left w:val="nil"/>
                    <w:right w:val="single" w:color="auto" w:sz="4" w:space="0"/>
                  </w:tcBorders>
                  <w:vAlign w:val="center"/>
                </w:tcPr>
                <w:p w14:paraId="7687882E">
                  <w:pPr>
                    <w:pStyle w:val="149"/>
                    <w:keepNext w:val="0"/>
                    <w:keepLines w:val="0"/>
                    <w:suppressLineNumbers w:val="0"/>
                    <w:spacing w:before="0" w:beforeAutospacing="0" w:after="0" w:afterAutospacing="0" w:line="240" w:lineRule="auto"/>
                    <w:ind w:left="0" w:right="0"/>
                    <w:jc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序号</w:t>
                  </w:r>
                </w:p>
              </w:tc>
              <w:tc>
                <w:tcPr>
                  <w:tcW w:w="3753"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56D98A6A">
                  <w:pPr>
                    <w:pStyle w:val="149"/>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lang w:val="en-US" w:eastAsia="zh-CN" w:bidi="ar-SA"/>
                    </w:rPr>
                    <w:t>进料量</w:t>
                  </w:r>
                </w:p>
              </w:tc>
              <w:tc>
                <w:tcPr>
                  <w:tcW w:w="648" w:type="pct"/>
                  <w:tcBorders>
                    <w:top w:val="single" w:color="auto" w:sz="4" w:space="0"/>
                    <w:left w:val="single" w:color="auto" w:sz="4" w:space="0"/>
                    <w:right w:val="nil"/>
                  </w:tcBorders>
                  <w:vAlign w:val="center"/>
                </w:tcPr>
                <w:p w14:paraId="6083527A">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合计</w:t>
                  </w:r>
                </w:p>
              </w:tc>
            </w:tr>
            <w:tr w14:paraId="63D91B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597" w:type="pct"/>
                  <w:tcBorders>
                    <w:top w:val="single" w:color="auto" w:sz="4" w:space="0"/>
                    <w:left w:val="nil"/>
                    <w:right w:val="single" w:color="auto" w:sz="4" w:space="0"/>
                  </w:tcBorders>
                  <w:vAlign w:val="center"/>
                </w:tcPr>
                <w:p w14:paraId="67C65F90">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w:t>
                  </w:r>
                </w:p>
              </w:tc>
              <w:tc>
                <w:tcPr>
                  <w:tcW w:w="2857" w:type="pct"/>
                  <w:tcBorders>
                    <w:top w:val="single" w:color="auto" w:sz="4" w:space="0"/>
                    <w:left w:val="single" w:color="auto" w:sz="4" w:space="0"/>
                    <w:bottom w:val="single" w:color="auto" w:sz="4" w:space="0"/>
                    <w:right w:val="single" w:color="auto" w:sz="4" w:space="0"/>
                  </w:tcBorders>
                  <w:vAlign w:val="center"/>
                </w:tcPr>
                <w:p w14:paraId="5A92569A">
                  <w:pPr>
                    <w:keepNext w:val="0"/>
                    <w:keepLines w:val="0"/>
                    <w:widowControl/>
                    <w:suppressLineNumbers w:val="0"/>
                    <w:spacing w:before="0" w:beforeAutospacing="0" w:after="0" w:afterAutospacing="0"/>
                    <w:ind w:left="0" w:leftChars="0" w:right="0" w:rightChars="0"/>
                    <w:jc w:val="center"/>
                    <w:rPr>
                      <w:rFonts w:hint="eastAsia" w:cs="Times New Roman"/>
                      <w:color w:val="auto"/>
                      <w:kern w:val="0"/>
                      <w:sz w:val="18"/>
                      <w:szCs w:val="18"/>
                      <w:highlight w:val="none"/>
                      <w:lang w:val="en-US" w:eastAsia="zh-CN" w:bidi="ar-SA"/>
                    </w:rPr>
                  </w:pPr>
                  <w:r>
                    <w:rPr>
                      <w:rFonts w:hint="eastAsia" w:cs="Times New Roman"/>
                      <w:bCs/>
                      <w:color w:val="auto"/>
                      <w:sz w:val="18"/>
                      <w:szCs w:val="18"/>
                      <w:highlight w:val="none"/>
                      <w:lang w:val="en-US" w:eastAsia="zh-CN"/>
                    </w:rPr>
                    <w:t>玉米芯（含水率60%)</w:t>
                  </w:r>
                </w:p>
              </w:tc>
              <w:tc>
                <w:tcPr>
                  <w:tcW w:w="895" w:type="pct"/>
                  <w:tcBorders>
                    <w:top w:val="single" w:color="auto" w:sz="4" w:space="0"/>
                    <w:left w:val="single" w:color="auto" w:sz="4" w:space="0"/>
                    <w:bottom w:val="single" w:color="auto" w:sz="4" w:space="0"/>
                    <w:right w:val="single" w:color="auto" w:sz="4" w:space="0"/>
                  </w:tcBorders>
                  <w:vAlign w:val="center"/>
                </w:tcPr>
                <w:p w14:paraId="334BCF6B">
                  <w:pPr>
                    <w:pStyle w:val="14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23000</w:t>
                  </w:r>
                </w:p>
              </w:tc>
              <w:tc>
                <w:tcPr>
                  <w:tcW w:w="648" w:type="pct"/>
                  <w:vMerge w:val="restart"/>
                  <w:tcBorders>
                    <w:top w:val="single" w:color="auto" w:sz="4" w:space="0"/>
                    <w:left w:val="single" w:color="auto" w:sz="4" w:space="0"/>
                    <w:right w:val="nil"/>
                  </w:tcBorders>
                  <w:vAlign w:val="center"/>
                </w:tcPr>
                <w:p w14:paraId="25F4FE47">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42626</w:t>
                  </w:r>
                </w:p>
              </w:tc>
            </w:tr>
            <w:tr w14:paraId="7692FA9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597" w:type="pct"/>
                  <w:tcBorders>
                    <w:left w:val="nil"/>
                    <w:right w:val="single" w:color="auto" w:sz="4" w:space="0"/>
                  </w:tcBorders>
                  <w:vAlign w:val="center"/>
                </w:tcPr>
                <w:p w14:paraId="15CC678C">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2</w:t>
                  </w:r>
                </w:p>
              </w:tc>
              <w:tc>
                <w:tcPr>
                  <w:tcW w:w="2857" w:type="pct"/>
                  <w:tcBorders>
                    <w:top w:val="single" w:color="auto" w:sz="4" w:space="0"/>
                    <w:left w:val="single" w:color="auto" w:sz="4" w:space="0"/>
                    <w:bottom w:val="single" w:color="auto" w:sz="4" w:space="0"/>
                    <w:right w:val="single" w:color="auto" w:sz="4" w:space="0"/>
                  </w:tcBorders>
                  <w:vAlign w:val="center"/>
                </w:tcPr>
                <w:p w14:paraId="0AB60EB8">
                  <w:pPr>
                    <w:keepNext w:val="0"/>
                    <w:keepLines w:val="0"/>
                    <w:widowControl/>
                    <w:suppressLineNumbers w:val="0"/>
                    <w:spacing w:before="0" w:beforeAutospacing="0" w:after="0" w:afterAutospacing="0"/>
                    <w:ind w:left="0" w:leftChars="0" w:right="0" w:rightChars="0"/>
                    <w:jc w:val="center"/>
                    <w:rPr>
                      <w:rFonts w:hint="eastAsia" w:cs="Times New Roman"/>
                      <w:color w:val="auto"/>
                      <w:kern w:val="0"/>
                      <w:sz w:val="18"/>
                      <w:szCs w:val="18"/>
                      <w:highlight w:val="none"/>
                      <w:lang w:val="en-US" w:eastAsia="zh-CN" w:bidi="ar-SA"/>
                    </w:rPr>
                  </w:pPr>
                  <w:r>
                    <w:rPr>
                      <w:rFonts w:hint="eastAsia" w:cs="Times New Roman"/>
                      <w:bCs/>
                      <w:color w:val="auto"/>
                      <w:sz w:val="18"/>
                      <w:szCs w:val="18"/>
                      <w:highlight w:val="none"/>
                      <w:lang w:val="en-US" w:eastAsia="zh-CN"/>
                    </w:rPr>
                    <w:t>秸秆（含水率50%)</w:t>
                  </w:r>
                </w:p>
              </w:tc>
              <w:tc>
                <w:tcPr>
                  <w:tcW w:w="895" w:type="pct"/>
                  <w:tcBorders>
                    <w:top w:val="single" w:color="auto" w:sz="4" w:space="0"/>
                    <w:left w:val="single" w:color="auto" w:sz="4" w:space="0"/>
                    <w:bottom w:val="single" w:color="auto" w:sz="4" w:space="0"/>
                    <w:right w:val="single" w:color="auto" w:sz="4" w:space="0"/>
                  </w:tcBorders>
                  <w:vAlign w:val="center"/>
                </w:tcPr>
                <w:p w14:paraId="0312B064">
                  <w:pPr>
                    <w:pStyle w:val="14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7360</w:t>
                  </w:r>
                </w:p>
              </w:tc>
              <w:tc>
                <w:tcPr>
                  <w:tcW w:w="648" w:type="pct"/>
                  <w:vMerge w:val="continue"/>
                  <w:tcBorders>
                    <w:left w:val="single" w:color="auto" w:sz="4" w:space="0"/>
                    <w:right w:val="nil"/>
                  </w:tcBorders>
                  <w:vAlign w:val="center"/>
                </w:tcPr>
                <w:p w14:paraId="109C4BE8">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p>
              </w:tc>
            </w:tr>
            <w:tr w14:paraId="749D41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597" w:type="pct"/>
                  <w:tcBorders>
                    <w:left w:val="nil"/>
                    <w:right w:val="single" w:color="auto" w:sz="4" w:space="0"/>
                  </w:tcBorders>
                  <w:vAlign w:val="center"/>
                </w:tcPr>
                <w:p w14:paraId="598456C7">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w:t>
                  </w:r>
                </w:p>
              </w:tc>
              <w:tc>
                <w:tcPr>
                  <w:tcW w:w="2857" w:type="pct"/>
                  <w:tcBorders>
                    <w:top w:val="single" w:color="auto" w:sz="4" w:space="0"/>
                    <w:left w:val="single" w:color="auto" w:sz="4" w:space="0"/>
                    <w:bottom w:val="single" w:color="auto" w:sz="4" w:space="0"/>
                    <w:right w:val="single" w:color="auto" w:sz="4" w:space="0"/>
                  </w:tcBorders>
                  <w:vAlign w:val="center"/>
                </w:tcPr>
                <w:p w14:paraId="5376842C">
                  <w:pPr>
                    <w:keepNext w:val="0"/>
                    <w:keepLines w:val="0"/>
                    <w:widowControl/>
                    <w:suppressLineNumbers w:val="0"/>
                    <w:spacing w:before="0" w:beforeAutospacing="0" w:after="0" w:afterAutospacing="0"/>
                    <w:ind w:left="0" w:leftChars="0" w:right="0" w:rightChars="0"/>
                    <w:jc w:val="center"/>
                    <w:rPr>
                      <w:rFonts w:hint="eastAsia" w:cs="Times New Roman"/>
                      <w:color w:val="auto"/>
                      <w:kern w:val="0"/>
                      <w:sz w:val="18"/>
                      <w:szCs w:val="18"/>
                      <w:highlight w:val="none"/>
                      <w:lang w:val="en-US" w:eastAsia="zh-CN" w:bidi="ar-SA"/>
                    </w:rPr>
                  </w:pPr>
                  <w:r>
                    <w:rPr>
                      <w:rFonts w:hint="eastAsia" w:cs="Times New Roman"/>
                      <w:bCs/>
                      <w:color w:val="auto"/>
                      <w:sz w:val="18"/>
                      <w:szCs w:val="18"/>
                      <w:highlight w:val="none"/>
                      <w:lang w:val="en-US" w:eastAsia="zh-CN"/>
                    </w:rPr>
                    <w:t>菌渣（含水率60%)</w:t>
                  </w:r>
                </w:p>
              </w:tc>
              <w:tc>
                <w:tcPr>
                  <w:tcW w:w="895" w:type="pct"/>
                  <w:tcBorders>
                    <w:top w:val="single" w:color="auto" w:sz="4" w:space="0"/>
                    <w:left w:val="single" w:color="auto" w:sz="4" w:space="0"/>
                    <w:bottom w:val="single" w:color="auto" w:sz="4" w:space="0"/>
                    <w:right w:val="single" w:color="auto" w:sz="4" w:space="0"/>
                  </w:tcBorders>
                  <w:vAlign w:val="center"/>
                </w:tcPr>
                <w:p w14:paraId="54CFE852">
                  <w:pPr>
                    <w:pStyle w:val="14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9200</w:t>
                  </w:r>
                </w:p>
              </w:tc>
              <w:tc>
                <w:tcPr>
                  <w:tcW w:w="648" w:type="pct"/>
                  <w:vMerge w:val="continue"/>
                  <w:tcBorders>
                    <w:left w:val="single" w:color="auto" w:sz="4" w:space="0"/>
                    <w:right w:val="nil"/>
                  </w:tcBorders>
                  <w:vAlign w:val="center"/>
                </w:tcPr>
                <w:p w14:paraId="20FB7A5D">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p>
              </w:tc>
            </w:tr>
            <w:tr w14:paraId="66EE62E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597" w:type="pct"/>
                  <w:tcBorders>
                    <w:left w:val="nil"/>
                    <w:right w:val="single" w:color="auto" w:sz="4" w:space="0"/>
                  </w:tcBorders>
                  <w:vAlign w:val="center"/>
                </w:tcPr>
                <w:p w14:paraId="6F66BAC8">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4</w:t>
                  </w:r>
                </w:p>
              </w:tc>
              <w:tc>
                <w:tcPr>
                  <w:tcW w:w="2857" w:type="pct"/>
                  <w:tcBorders>
                    <w:top w:val="single" w:color="auto" w:sz="4" w:space="0"/>
                    <w:left w:val="single" w:color="auto" w:sz="4" w:space="0"/>
                    <w:bottom w:val="single" w:color="auto" w:sz="4" w:space="0"/>
                    <w:right w:val="single" w:color="auto" w:sz="4" w:space="0"/>
                  </w:tcBorders>
                  <w:vAlign w:val="center"/>
                </w:tcPr>
                <w:p w14:paraId="10063892">
                  <w:pPr>
                    <w:keepNext w:val="0"/>
                    <w:keepLines w:val="0"/>
                    <w:widowControl/>
                    <w:suppressLineNumbers w:val="0"/>
                    <w:spacing w:before="0" w:beforeAutospacing="0" w:after="0" w:afterAutospacing="0"/>
                    <w:ind w:left="0" w:leftChars="0" w:right="0" w:rightChars="0"/>
                    <w:jc w:val="center"/>
                    <w:rPr>
                      <w:rFonts w:hint="eastAsia" w:cs="Times New Roman"/>
                      <w:color w:val="auto"/>
                      <w:kern w:val="0"/>
                      <w:sz w:val="18"/>
                      <w:szCs w:val="18"/>
                      <w:highlight w:val="none"/>
                      <w:lang w:val="en-US" w:eastAsia="zh-CN" w:bidi="ar-SA"/>
                    </w:rPr>
                  </w:pPr>
                  <w:r>
                    <w:rPr>
                      <w:rFonts w:hint="eastAsia" w:cs="Times New Roman"/>
                      <w:bCs/>
                      <w:color w:val="auto"/>
                      <w:sz w:val="18"/>
                      <w:szCs w:val="18"/>
                      <w:highlight w:val="none"/>
                      <w:lang w:val="en-US" w:eastAsia="zh-CN"/>
                    </w:rPr>
                    <w:t>木头（含水率40%)</w:t>
                  </w:r>
                </w:p>
              </w:tc>
              <w:tc>
                <w:tcPr>
                  <w:tcW w:w="895" w:type="pct"/>
                  <w:tcBorders>
                    <w:top w:val="single" w:color="auto" w:sz="4" w:space="0"/>
                    <w:left w:val="single" w:color="auto" w:sz="4" w:space="0"/>
                    <w:bottom w:val="single" w:color="auto" w:sz="4" w:space="0"/>
                    <w:right w:val="single" w:color="auto" w:sz="4" w:space="0"/>
                  </w:tcBorders>
                  <w:vAlign w:val="center"/>
                </w:tcPr>
                <w:p w14:paraId="0A320787">
                  <w:pPr>
                    <w:pStyle w:val="14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3066</w:t>
                  </w:r>
                </w:p>
              </w:tc>
              <w:tc>
                <w:tcPr>
                  <w:tcW w:w="648" w:type="pct"/>
                  <w:vMerge w:val="continue"/>
                  <w:tcBorders>
                    <w:left w:val="single" w:color="auto" w:sz="4" w:space="0"/>
                    <w:right w:val="nil"/>
                  </w:tcBorders>
                  <w:vAlign w:val="center"/>
                </w:tcPr>
                <w:p w14:paraId="6A3138DA">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p>
              </w:tc>
            </w:tr>
            <w:tr w14:paraId="6F81C66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cantSplit/>
                <w:trHeight w:val="278" w:hRule="atLeast"/>
                <w:jc w:val="center"/>
              </w:trPr>
              <w:tc>
                <w:tcPr>
                  <w:tcW w:w="597" w:type="pct"/>
                  <w:tcBorders>
                    <w:top w:val="single" w:color="auto" w:sz="4" w:space="0"/>
                    <w:left w:val="nil"/>
                    <w:right w:val="single" w:color="auto" w:sz="4" w:space="0"/>
                  </w:tcBorders>
                  <w:vAlign w:val="center"/>
                </w:tcPr>
                <w:p w14:paraId="3AEC896B">
                  <w:pPr>
                    <w:pStyle w:val="149"/>
                    <w:keepNext w:val="0"/>
                    <w:keepLines w:val="0"/>
                    <w:suppressLineNumbers w:val="0"/>
                    <w:spacing w:before="0" w:beforeAutospacing="0" w:after="0" w:afterAutospacing="0" w:line="240" w:lineRule="auto"/>
                    <w:ind w:left="0" w:right="0"/>
                    <w:jc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序号</w:t>
                  </w:r>
                </w:p>
              </w:tc>
              <w:tc>
                <w:tcPr>
                  <w:tcW w:w="3753" w:type="pct"/>
                  <w:gridSpan w:val="2"/>
                  <w:tcBorders>
                    <w:top w:val="single" w:color="auto" w:sz="4" w:space="0"/>
                    <w:left w:val="single" w:color="auto" w:sz="4" w:space="0"/>
                    <w:bottom w:val="single" w:color="auto" w:sz="4" w:space="0"/>
                    <w:right w:val="single" w:color="auto" w:sz="4" w:space="0"/>
                  </w:tcBorders>
                  <w:shd w:val="clear" w:color="auto" w:fill="auto"/>
                  <w:vAlign w:val="center"/>
                </w:tcPr>
                <w:p w14:paraId="70A7369D">
                  <w:pPr>
                    <w:keepNext w:val="0"/>
                    <w:keepLines w:val="0"/>
                    <w:suppressLineNumbers w:val="0"/>
                    <w:spacing w:before="0" w:beforeAutospacing="0" w:after="0" w:afterAutospacing="0" w:line="240" w:lineRule="auto"/>
                    <w:ind w:left="0" w:leftChars="0" w:right="0" w:rightChars="0"/>
                    <w:contextualSpacing/>
                    <w:jc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产出量</w:t>
                  </w:r>
                </w:p>
              </w:tc>
              <w:tc>
                <w:tcPr>
                  <w:tcW w:w="648" w:type="pct"/>
                  <w:tcBorders>
                    <w:top w:val="single" w:color="auto" w:sz="4" w:space="0"/>
                    <w:left w:val="single" w:color="auto" w:sz="4" w:space="0"/>
                    <w:right w:val="nil"/>
                  </w:tcBorders>
                  <w:vAlign w:val="center"/>
                </w:tcPr>
                <w:p w14:paraId="52EE8D14">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合计</w:t>
                  </w:r>
                </w:p>
              </w:tc>
            </w:tr>
            <w:tr w14:paraId="7DA1A3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597" w:type="pct"/>
                  <w:tcBorders>
                    <w:top w:val="single" w:color="auto" w:sz="4" w:space="0"/>
                    <w:left w:val="nil"/>
                    <w:right w:val="single" w:color="auto" w:sz="4" w:space="0"/>
                  </w:tcBorders>
                  <w:vAlign w:val="center"/>
                </w:tcPr>
                <w:p w14:paraId="6E761023">
                  <w:pPr>
                    <w:pStyle w:val="14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w:t>
                  </w:r>
                </w:p>
              </w:tc>
              <w:tc>
                <w:tcPr>
                  <w:tcW w:w="2857" w:type="pct"/>
                  <w:tcBorders>
                    <w:top w:val="single" w:color="auto" w:sz="4" w:space="0"/>
                    <w:left w:val="single" w:color="auto" w:sz="4" w:space="0"/>
                    <w:bottom w:val="single" w:color="auto" w:sz="4" w:space="0"/>
                    <w:right w:val="single" w:color="auto" w:sz="4" w:space="0"/>
                  </w:tcBorders>
                  <w:shd w:val="clear" w:color="auto" w:fill="auto"/>
                  <w:vAlign w:val="center"/>
                </w:tcPr>
                <w:p w14:paraId="72382D2C">
                  <w:pPr>
                    <w:pStyle w:val="149"/>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烘干过程</w:t>
                  </w:r>
                  <w:r>
                    <w:rPr>
                      <w:rFonts w:hint="default" w:ascii="Times New Roman" w:hAnsi="Times New Roman" w:eastAsia="宋体" w:cs="Times New Roman"/>
                      <w:color w:val="auto"/>
                      <w:kern w:val="0"/>
                      <w:sz w:val="18"/>
                      <w:szCs w:val="18"/>
                      <w:highlight w:val="none"/>
                      <w:lang w:val="en-US" w:eastAsia="zh-CN" w:bidi="ar-SA"/>
                    </w:rPr>
                    <w:t>蒸发水分</w:t>
                  </w:r>
                </w:p>
              </w:tc>
              <w:tc>
                <w:tcPr>
                  <w:tcW w:w="895" w:type="pct"/>
                  <w:tcBorders>
                    <w:top w:val="single" w:color="auto" w:sz="4" w:space="0"/>
                    <w:left w:val="single" w:color="auto" w:sz="4" w:space="0"/>
                    <w:bottom w:val="single" w:color="auto" w:sz="4" w:space="0"/>
                    <w:right w:val="single" w:color="auto" w:sz="4" w:space="0"/>
                  </w:tcBorders>
                  <w:shd w:val="clear" w:color="auto" w:fill="auto"/>
                  <w:vAlign w:val="center"/>
                </w:tcPr>
                <w:p w14:paraId="66D3C667">
                  <w:pPr>
                    <w:keepNext w:val="0"/>
                    <w:keepLines w:val="0"/>
                    <w:suppressLineNumbers w:val="0"/>
                    <w:spacing w:before="0" w:beforeAutospacing="0" w:after="0" w:afterAutospacing="0" w:line="240" w:lineRule="auto"/>
                    <w:ind w:left="0" w:leftChars="0" w:right="0" w:rightChars="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20979.4</w:t>
                  </w:r>
                </w:p>
              </w:tc>
              <w:tc>
                <w:tcPr>
                  <w:tcW w:w="648" w:type="pct"/>
                  <w:vMerge w:val="restart"/>
                  <w:tcBorders>
                    <w:top w:val="single" w:color="auto" w:sz="4" w:space="0"/>
                    <w:left w:val="single" w:color="auto" w:sz="4" w:space="0"/>
                    <w:right w:val="nil"/>
                  </w:tcBorders>
                  <w:vAlign w:val="center"/>
                </w:tcPr>
                <w:p w14:paraId="2D764057">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42626</w:t>
                  </w:r>
                </w:p>
              </w:tc>
            </w:tr>
            <w:tr w14:paraId="79D358F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597" w:type="pct"/>
                  <w:tcBorders>
                    <w:left w:val="nil"/>
                    <w:right w:val="single" w:color="auto" w:sz="4" w:space="0"/>
                  </w:tcBorders>
                  <w:vAlign w:val="center"/>
                </w:tcPr>
                <w:p w14:paraId="597B1D0B">
                  <w:pPr>
                    <w:pStyle w:val="14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2</w:t>
                  </w:r>
                </w:p>
              </w:tc>
              <w:tc>
                <w:tcPr>
                  <w:tcW w:w="2857" w:type="pct"/>
                  <w:tcBorders>
                    <w:top w:val="single" w:color="auto" w:sz="4" w:space="0"/>
                    <w:left w:val="single" w:color="auto" w:sz="4" w:space="0"/>
                    <w:bottom w:val="single" w:color="auto" w:sz="4" w:space="0"/>
                    <w:right w:val="single" w:color="auto" w:sz="4" w:space="0"/>
                  </w:tcBorders>
                  <w:shd w:val="clear" w:color="auto" w:fill="auto"/>
                  <w:vAlign w:val="center"/>
                </w:tcPr>
                <w:p w14:paraId="263AD7B3">
                  <w:pPr>
                    <w:pStyle w:val="149"/>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造粒过程蒸发水分</w:t>
                  </w:r>
                </w:p>
              </w:tc>
              <w:tc>
                <w:tcPr>
                  <w:tcW w:w="895" w:type="pct"/>
                  <w:tcBorders>
                    <w:top w:val="single" w:color="auto" w:sz="4" w:space="0"/>
                    <w:left w:val="single" w:color="auto" w:sz="4" w:space="0"/>
                    <w:bottom w:val="single" w:color="auto" w:sz="4" w:space="0"/>
                    <w:right w:val="single" w:color="auto" w:sz="4" w:space="0"/>
                  </w:tcBorders>
                  <w:shd w:val="clear" w:color="auto" w:fill="auto"/>
                  <w:vAlign w:val="center"/>
                </w:tcPr>
                <w:p w14:paraId="21A41C23">
                  <w:pPr>
                    <w:keepNext w:val="0"/>
                    <w:keepLines w:val="0"/>
                    <w:suppressLineNumbers w:val="0"/>
                    <w:spacing w:before="0" w:beforeAutospacing="0" w:after="0" w:afterAutospacing="0" w:line="240" w:lineRule="auto"/>
                    <w:ind w:left="0" w:leftChars="0" w:right="0" w:rightChars="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1500.395</w:t>
                  </w:r>
                </w:p>
              </w:tc>
              <w:tc>
                <w:tcPr>
                  <w:tcW w:w="648" w:type="pct"/>
                  <w:vMerge w:val="continue"/>
                  <w:tcBorders>
                    <w:left w:val="single" w:color="auto" w:sz="4" w:space="0"/>
                    <w:right w:val="nil"/>
                  </w:tcBorders>
                  <w:vAlign w:val="center"/>
                </w:tcPr>
                <w:p w14:paraId="1B94B977">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p>
              </w:tc>
            </w:tr>
            <w:tr w14:paraId="0F7EEDE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597" w:type="pct"/>
                  <w:tcBorders>
                    <w:left w:val="nil"/>
                    <w:right w:val="single" w:color="auto" w:sz="4" w:space="0"/>
                  </w:tcBorders>
                  <w:vAlign w:val="center"/>
                </w:tcPr>
                <w:p w14:paraId="54C93EDF">
                  <w:pPr>
                    <w:pStyle w:val="14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w:t>
                  </w:r>
                </w:p>
              </w:tc>
              <w:tc>
                <w:tcPr>
                  <w:tcW w:w="2857" w:type="pct"/>
                  <w:tcBorders>
                    <w:top w:val="single" w:color="auto" w:sz="4" w:space="0"/>
                    <w:left w:val="single" w:color="auto" w:sz="4" w:space="0"/>
                    <w:bottom w:val="single" w:color="auto" w:sz="4" w:space="0"/>
                    <w:right w:val="single" w:color="auto" w:sz="4" w:space="0"/>
                  </w:tcBorders>
                  <w:shd w:val="clear" w:color="auto" w:fill="auto"/>
                  <w:vAlign w:val="center"/>
                </w:tcPr>
                <w:p w14:paraId="5D706BF0">
                  <w:pPr>
                    <w:pStyle w:val="149"/>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18"/>
                      <w:szCs w:val="18"/>
                      <w:highlight w:val="none"/>
                      <w:lang w:val="en-US" w:eastAsia="zh-CN" w:bidi="ar-SA"/>
                    </w:rPr>
                  </w:pPr>
                  <w:r>
                    <w:rPr>
                      <w:rFonts w:hint="eastAsia" w:cs="Times New Roman"/>
                      <w:bCs/>
                      <w:color w:val="auto"/>
                      <w:kern w:val="0"/>
                      <w:sz w:val="18"/>
                      <w:szCs w:val="18"/>
                      <w:highlight w:val="none"/>
                      <w:lang w:val="en-US" w:eastAsia="zh-CN"/>
                    </w:rPr>
                    <w:t>粗破、粉碎、烘干、造粒排放粉尘</w:t>
                  </w:r>
                </w:p>
              </w:tc>
              <w:tc>
                <w:tcPr>
                  <w:tcW w:w="895" w:type="pct"/>
                  <w:tcBorders>
                    <w:top w:val="single" w:color="auto" w:sz="4" w:space="0"/>
                    <w:left w:val="single" w:color="auto" w:sz="4" w:space="0"/>
                    <w:bottom w:val="single" w:color="auto" w:sz="4" w:space="0"/>
                    <w:right w:val="single" w:color="auto" w:sz="4" w:space="0"/>
                  </w:tcBorders>
                  <w:shd w:val="clear" w:color="auto" w:fill="auto"/>
                  <w:vAlign w:val="center"/>
                </w:tcPr>
                <w:p w14:paraId="2AFA8054">
                  <w:pPr>
                    <w:keepNext w:val="0"/>
                    <w:keepLines w:val="0"/>
                    <w:suppressLineNumbers w:val="0"/>
                    <w:spacing w:before="0" w:beforeAutospacing="0" w:after="0" w:afterAutospacing="0" w:line="240" w:lineRule="auto"/>
                    <w:ind w:left="0" w:leftChars="0" w:right="0" w:rightChars="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2.032</w:t>
                  </w:r>
                </w:p>
              </w:tc>
              <w:tc>
                <w:tcPr>
                  <w:tcW w:w="648" w:type="pct"/>
                  <w:vMerge w:val="continue"/>
                  <w:tcBorders>
                    <w:left w:val="single" w:color="auto" w:sz="4" w:space="0"/>
                    <w:right w:val="nil"/>
                  </w:tcBorders>
                  <w:vAlign w:val="center"/>
                </w:tcPr>
                <w:p w14:paraId="249C85B1">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p>
              </w:tc>
            </w:tr>
            <w:tr w14:paraId="1B5F64D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597" w:type="pct"/>
                  <w:tcBorders>
                    <w:left w:val="nil"/>
                    <w:right w:val="single" w:color="auto" w:sz="4" w:space="0"/>
                  </w:tcBorders>
                  <w:shd w:val="clear" w:color="auto" w:fill="auto"/>
                  <w:vAlign w:val="center"/>
                </w:tcPr>
                <w:p w14:paraId="1D4F601F">
                  <w:pPr>
                    <w:pStyle w:val="149"/>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4</w:t>
                  </w:r>
                </w:p>
              </w:tc>
              <w:tc>
                <w:tcPr>
                  <w:tcW w:w="2857" w:type="pct"/>
                  <w:tcBorders>
                    <w:top w:val="single" w:color="auto" w:sz="4" w:space="0"/>
                    <w:left w:val="single" w:color="auto" w:sz="4" w:space="0"/>
                    <w:bottom w:val="single" w:color="auto" w:sz="4" w:space="0"/>
                    <w:right w:val="single" w:color="auto" w:sz="4" w:space="0"/>
                  </w:tcBorders>
                  <w:shd w:val="clear" w:color="auto" w:fill="auto"/>
                  <w:vAlign w:val="center"/>
                </w:tcPr>
                <w:p w14:paraId="7C61FE64">
                  <w:pPr>
                    <w:pStyle w:val="14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烘干布袋除尘器收尘</w:t>
                  </w:r>
                </w:p>
              </w:tc>
              <w:tc>
                <w:tcPr>
                  <w:tcW w:w="895" w:type="pct"/>
                  <w:tcBorders>
                    <w:top w:val="single" w:color="auto" w:sz="4" w:space="0"/>
                    <w:left w:val="single" w:color="auto" w:sz="4" w:space="0"/>
                    <w:bottom w:val="single" w:color="auto" w:sz="4" w:space="0"/>
                    <w:right w:val="single" w:color="auto" w:sz="4" w:space="0"/>
                  </w:tcBorders>
                  <w:shd w:val="clear" w:color="auto" w:fill="auto"/>
                  <w:vAlign w:val="center"/>
                </w:tcPr>
                <w:p w14:paraId="1D60FEA3">
                  <w:pPr>
                    <w:keepNext w:val="0"/>
                    <w:keepLines w:val="0"/>
                    <w:suppressLineNumbers w:val="0"/>
                    <w:spacing w:before="0" w:beforeAutospacing="0" w:after="0" w:afterAutospacing="0" w:line="240" w:lineRule="auto"/>
                    <w:ind w:left="0" w:leftChars="0" w:right="0" w:rightChars="0"/>
                    <w:contextualSpacing/>
                    <w:jc w:val="center"/>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79.398</w:t>
                  </w:r>
                </w:p>
              </w:tc>
              <w:tc>
                <w:tcPr>
                  <w:tcW w:w="648" w:type="pct"/>
                  <w:vMerge w:val="continue"/>
                  <w:tcBorders>
                    <w:left w:val="single" w:color="auto" w:sz="4" w:space="0"/>
                    <w:right w:val="nil"/>
                  </w:tcBorders>
                  <w:vAlign w:val="center"/>
                </w:tcPr>
                <w:p w14:paraId="07AD6056">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p>
              </w:tc>
            </w:tr>
            <w:tr w14:paraId="14F8A3E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597" w:type="pct"/>
                  <w:tcBorders>
                    <w:left w:val="nil"/>
                    <w:right w:val="single" w:color="auto" w:sz="4" w:space="0"/>
                  </w:tcBorders>
                  <w:shd w:val="clear" w:color="auto" w:fill="auto"/>
                  <w:vAlign w:val="center"/>
                </w:tcPr>
                <w:p w14:paraId="464D8655">
                  <w:pPr>
                    <w:pStyle w:val="14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5</w:t>
                  </w:r>
                </w:p>
              </w:tc>
              <w:tc>
                <w:tcPr>
                  <w:tcW w:w="2857" w:type="pct"/>
                  <w:tcBorders>
                    <w:top w:val="single" w:color="auto" w:sz="4" w:space="0"/>
                    <w:left w:val="single" w:color="auto" w:sz="4" w:space="0"/>
                    <w:bottom w:val="single" w:color="auto" w:sz="4" w:space="0"/>
                    <w:right w:val="single" w:color="auto" w:sz="4" w:space="0"/>
                  </w:tcBorders>
                  <w:shd w:val="clear" w:color="auto" w:fill="auto"/>
                  <w:vAlign w:val="center"/>
                </w:tcPr>
                <w:p w14:paraId="145AA71E">
                  <w:pPr>
                    <w:pStyle w:val="149"/>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车间</w:t>
                  </w:r>
                  <w:r>
                    <w:rPr>
                      <w:rFonts w:hint="eastAsia" w:ascii="Times New Roman" w:hAnsi="Times New Roman" w:cs="Times New Roman"/>
                      <w:color w:val="auto"/>
                      <w:sz w:val="18"/>
                      <w:szCs w:val="18"/>
                      <w:highlight w:val="none"/>
                      <w:lang w:val="en-US" w:eastAsia="zh-CN"/>
                    </w:rPr>
                    <w:t>布袋除尘器收尘</w:t>
                  </w:r>
                </w:p>
              </w:tc>
              <w:tc>
                <w:tcPr>
                  <w:tcW w:w="895" w:type="pct"/>
                  <w:tcBorders>
                    <w:top w:val="single" w:color="auto" w:sz="4" w:space="0"/>
                    <w:left w:val="single" w:color="auto" w:sz="4" w:space="0"/>
                    <w:bottom w:val="single" w:color="auto" w:sz="4" w:space="0"/>
                    <w:right w:val="single" w:color="auto" w:sz="4" w:space="0"/>
                  </w:tcBorders>
                  <w:shd w:val="clear" w:color="auto" w:fill="auto"/>
                  <w:vAlign w:val="center"/>
                </w:tcPr>
                <w:p w14:paraId="35491E4B">
                  <w:pPr>
                    <w:keepNext w:val="0"/>
                    <w:keepLines w:val="0"/>
                    <w:suppressLineNumbers w:val="0"/>
                    <w:spacing w:before="0" w:beforeAutospacing="0" w:after="0" w:afterAutospacing="0" w:line="240" w:lineRule="auto"/>
                    <w:ind w:left="0" w:leftChars="0" w:right="0" w:rightChars="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11.079</w:t>
                  </w:r>
                </w:p>
              </w:tc>
              <w:tc>
                <w:tcPr>
                  <w:tcW w:w="648" w:type="pct"/>
                  <w:vMerge w:val="continue"/>
                  <w:tcBorders>
                    <w:left w:val="single" w:color="auto" w:sz="4" w:space="0"/>
                    <w:right w:val="nil"/>
                  </w:tcBorders>
                  <w:vAlign w:val="center"/>
                </w:tcPr>
                <w:p w14:paraId="062C18CF">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p>
              </w:tc>
            </w:tr>
            <w:tr w14:paraId="1A7BAC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597" w:type="pct"/>
                  <w:tcBorders>
                    <w:left w:val="nil"/>
                    <w:right w:val="single" w:color="auto" w:sz="4" w:space="0"/>
                  </w:tcBorders>
                  <w:shd w:val="clear" w:color="auto" w:fill="auto"/>
                  <w:vAlign w:val="center"/>
                </w:tcPr>
                <w:p w14:paraId="37478C4F">
                  <w:pPr>
                    <w:pStyle w:val="14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6</w:t>
                  </w:r>
                </w:p>
              </w:tc>
              <w:tc>
                <w:tcPr>
                  <w:tcW w:w="2857" w:type="pct"/>
                  <w:tcBorders>
                    <w:top w:val="single" w:color="auto" w:sz="4" w:space="0"/>
                    <w:left w:val="single" w:color="auto" w:sz="4" w:space="0"/>
                    <w:bottom w:val="single" w:color="auto" w:sz="4" w:space="0"/>
                    <w:right w:val="single" w:color="auto" w:sz="4" w:space="0"/>
                  </w:tcBorders>
                  <w:shd w:val="clear" w:color="auto" w:fill="auto"/>
                  <w:vAlign w:val="center"/>
                </w:tcPr>
                <w:p w14:paraId="4A7E2F9F">
                  <w:pPr>
                    <w:pStyle w:val="149"/>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sz w:val="18"/>
                      <w:szCs w:val="18"/>
                      <w:highlight w:val="none"/>
                      <w:lang w:val="en-US" w:eastAsia="zh-CN"/>
                    </w:rPr>
                    <w:t>生产车间收尘</w:t>
                  </w:r>
                </w:p>
              </w:tc>
              <w:tc>
                <w:tcPr>
                  <w:tcW w:w="895" w:type="pct"/>
                  <w:tcBorders>
                    <w:top w:val="single" w:color="auto" w:sz="4" w:space="0"/>
                    <w:left w:val="single" w:color="auto" w:sz="4" w:space="0"/>
                    <w:bottom w:val="single" w:color="auto" w:sz="4" w:space="0"/>
                    <w:right w:val="single" w:color="auto" w:sz="4" w:space="0"/>
                  </w:tcBorders>
                  <w:shd w:val="clear" w:color="auto" w:fill="auto"/>
                  <w:vAlign w:val="center"/>
                </w:tcPr>
                <w:p w14:paraId="2B69FFAA">
                  <w:pPr>
                    <w:keepNext w:val="0"/>
                    <w:keepLines w:val="0"/>
                    <w:suppressLineNumbers w:val="0"/>
                    <w:spacing w:before="0" w:beforeAutospacing="0" w:after="0" w:afterAutospacing="0" w:line="240" w:lineRule="auto"/>
                    <w:ind w:left="0" w:leftChars="0" w:right="0" w:rightChars="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1.07</w:t>
                  </w:r>
                </w:p>
              </w:tc>
              <w:tc>
                <w:tcPr>
                  <w:tcW w:w="648" w:type="pct"/>
                  <w:vMerge w:val="continue"/>
                  <w:tcBorders>
                    <w:left w:val="single" w:color="auto" w:sz="4" w:space="0"/>
                    <w:right w:val="nil"/>
                  </w:tcBorders>
                  <w:vAlign w:val="center"/>
                </w:tcPr>
                <w:p w14:paraId="2A592F22">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p>
              </w:tc>
            </w:tr>
            <w:tr w14:paraId="32A516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597" w:type="pct"/>
                  <w:tcBorders>
                    <w:left w:val="nil"/>
                    <w:right w:val="single" w:color="auto" w:sz="4" w:space="0"/>
                  </w:tcBorders>
                  <w:shd w:val="clear" w:color="auto" w:fill="auto"/>
                  <w:vAlign w:val="center"/>
                </w:tcPr>
                <w:p w14:paraId="61579359">
                  <w:pPr>
                    <w:pStyle w:val="14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7</w:t>
                  </w:r>
                </w:p>
              </w:tc>
              <w:tc>
                <w:tcPr>
                  <w:tcW w:w="2857" w:type="pct"/>
                  <w:tcBorders>
                    <w:top w:val="single" w:color="auto" w:sz="4" w:space="0"/>
                    <w:left w:val="single" w:color="auto" w:sz="4" w:space="0"/>
                    <w:bottom w:val="single" w:color="auto" w:sz="4" w:space="0"/>
                    <w:right w:val="single" w:color="auto" w:sz="4" w:space="0"/>
                  </w:tcBorders>
                  <w:shd w:val="clear" w:color="auto" w:fill="auto"/>
                  <w:vAlign w:val="center"/>
                </w:tcPr>
                <w:p w14:paraId="3D6ED60F">
                  <w:pPr>
                    <w:pStyle w:val="149"/>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不合格产品</w:t>
                  </w:r>
                </w:p>
              </w:tc>
              <w:tc>
                <w:tcPr>
                  <w:tcW w:w="895" w:type="pct"/>
                  <w:tcBorders>
                    <w:top w:val="single" w:color="auto" w:sz="4" w:space="0"/>
                    <w:left w:val="single" w:color="auto" w:sz="4" w:space="0"/>
                    <w:bottom w:val="single" w:color="auto" w:sz="4" w:space="0"/>
                    <w:right w:val="single" w:color="auto" w:sz="4" w:space="0"/>
                  </w:tcBorders>
                  <w:shd w:val="clear" w:color="auto" w:fill="auto"/>
                  <w:vAlign w:val="center"/>
                </w:tcPr>
                <w:p w14:paraId="38C9998B">
                  <w:pPr>
                    <w:keepNext w:val="0"/>
                    <w:keepLines w:val="0"/>
                    <w:suppressLineNumbers w:val="0"/>
                    <w:spacing w:before="0" w:beforeAutospacing="0" w:after="0" w:afterAutospacing="0" w:line="240" w:lineRule="auto"/>
                    <w:ind w:left="0" w:leftChars="0" w:right="0" w:rightChars="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10</w:t>
                  </w:r>
                </w:p>
              </w:tc>
              <w:tc>
                <w:tcPr>
                  <w:tcW w:w="648" w:type="pct"/>
                  <w:vMerge w:val="continue"/>
                  <w:tcBorders>
                    <w:left w:val="single" w:color="auto" w:sz="4" w:space="0"/>
                    <w:right w:val="nil"/>
                  </w:tcBorders>
                  <w:vAlign w:val="center"/>
                </w:tcPr>
                <w:p w14:paraId="2F110A39">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p>
              </w:tc>
            </w:tr>
            <w:tr w14:paraId="4B4BCD7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597" w:type="pct"/>
                  <w:tcBorders>
                    <w:left w:val="nil"/>
                    <w:right w:val="single" w:color="auto" w:sz="4" w:space="0"/>
                  </w:tcBorders>
                  <w:shd w:val="clear" w:color="auto" w:fill="auto"/>
                  <w:vAlign w:val="top"/>
                </w:tcPr>
                <w:p w14:paraId="6F289CE3">
                  <w:pPr>
                    <w:pStyle w:val="149"/>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8</w:t>
                  </w:r>
                </w:p>
              </w:tc>
              <w:tc>
                <w:tcPr>
                  <w:tcW w:w="2857" w:type="pct"/>
                  <w:tcBorders>
                    <w:top w:val="single" w:color="auto" w:sz="4" w:space="0"/>
                    <w:left w:val="single" w:color="auto" w:sz="4" w:space="0"/>
                    <w:right w:val="single" w:color="auto" w:sz="4" w:space="0"/>
                  </w:tcBorders>
                  <w:shd w:val="clear" w:color="auto" w:fill="auto"/>
                  <w:vAlign w:val="center"/>
                </w:tcPr>
                <w:p w14:paraId="3CE481BE">
                  <w:pPr>
                    <w:pStyle w:val="149"/>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杂质砂石</w:t>
                  </w:r>
                </w:p>
              </w:tc>
              <w:tc>
                <w:tcPr>
                  <w:tcW w:w="895" w:type="pct"/>
                  <w:tcBorders>
                    <w:top w:val="single" w:color="auto" w:sz="4" w:space="0"/>
                    <w:left w:val="single" w:color="auto" w:sz="4" w:space="0"/>
                    <w:right w:val="single" w:color="auto" w:sz="4" w:space="0"/>
                  </w:tcBorders>
                  <w:shd w:val="clear" w:color="auto" w:fill="auto"/>
                  <w:vAlign w:val="center"/>
                </w:tcPr>
                <w:p w14:paraId="52AB5B38">
                  <w:pPr>
                    <w:keepNext w:val="0"/>
                    <w:keepLines w:val="0"/>
                    <w:suppressLineNumbers w:val="0"/>
                    <w:spacing w:before="0" w:beforeAutospacing="0" w:after="0" w:afterAutospacing="0" w:line="240" w:lineRule="auto"/>
                    <w:ind w:left="0" w:leftChars="0" w:right="0" w:rightChars="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42.626</w:t>
                  </w:r>
                </w:p>
              </w:tc>
              <w:tc>
                <w:tcPr>
                  <w:tcW w:w="648" w:type="pct"/>
                  <w:vMerge w:val="continue"/>
                  <w:tcBorders>
                    <w:left w:val="single" w:color="auto" w:sz="4" w:space="0"/>
                    <w:right w:val="nil"/>
                  </w:tcBorders>
                  <w:vAlign w:val="center"/>
                </w:tcPr>
                <w:p w14:paraId="7D2D9650">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p>
              </w:tc>
            </w:tr>
            <w:tr w14:paraId="57411E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78" w:hRule="atLeast"/>
                <w:jc w:val="center"/>
              </w:trPr>
              <w:tc>
                <w:tcPr>
                  <w:tcW w:w="597" w:type="pct"/>
                  <w:tcBorders>
                    <w:left w:val="nil"/>
                    <w:right w:val="single" w:color="auto" w:sz="4" w:space="0"/>
                  </w:tcBorders>
                </w:tcPr>
                <w:p w14:paraId="439B6C72">
                  <w:pPr>
                    <w:pStyle w:val="149"/>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9</w:t>
                  </w:r>
                </w:p>
              </w:tc>
              <w:tc>
                <w:tcPr>
                  <w:tcW w:w="2857" w:type="pct"/>
                  <w:shd w:val="clear" w:color="auto" w:fill="auto"/>
                  <w:vAlign w:val="center"/>
                </w:tcPr>
                <w:p w14:paraId="2720A821">
                  <w:pPr>
                    <w:pStyle w:val="149"/>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生物质颗粒</w:t>
                  </w:r>
                  <w:r>
                    <w:rPr>
                      <w:rFonts w:hint="default" w:ascii="Times New Roman" w:hAnsi="Times New Roman" w:eastAsia="宋体" w:cs="Times New Roman"/>
                      <w:color w:val="auto"/>
                      <w:kern w:val="0"/>
                      <w:sz w:val="18"/>
                      <w:szCs w:val="18"/>
                      <w:highlight w:val="none"/>
                      <w:lang w:val="en-US" w:eastAsia="zh-CN" w:bidi="ar-SA"/>
                    </w:rPr>
                    <w:t>（含水率为</w:t>
                  </w:r>
                  <w:r>
                    <w:rPr>
                      <w:rFonts w:hint="eastAsia" w:eastAsia="宋体" w:cs="Times New Roman"/>
                      <w:color w:val="auto"/>
                      <w:kern w:val="0"/>
                      <w:sz w:val="18"/>
                      <w:szCs w:val="18"/>
                      <w:highlight w:val="none"/>
                      <w:lang w:val="en-US" w:eastAsia="zh-CN" w:bidi="ar-SA"/>
                    </w:rPr>
                    <w:t>8</w:t>
                  </w:r>
                  <w:r>
                    <w:rPr>
                      <w:rFonts w:hint="eastAsia" w:cs="Times New Roman"/>
                      <w:color w:val="auto"/>
                      <w:kern w:val="0"/>
                      <w:sz w:val="18"/>
                      <w:szCs w:val="18"/>
                      <w:highlight w:val="none"/>
                      <w:lang w:val="en-US" w:eastAsia="zh-CN" w:bidi="ar-SA"/>
                    </w:rPr>
                    <w:t>-15</w:t>
                  </w:r>
                  <w:r>
                    <w:rPr>
                      <w:rFonts w:hint="default" w:ascii="Times New Roman" w:hAnsi="Times New Roman" w:eastAsia="宋体" w:cs="Times New Roman"/>
                      <w:color w:val="auto"/>
                      <w:kern w:val="0"/>
                      <w:sz w:val="18"/>
                      <w:szCs w:val="18"/>
                      <w:highlight w:val="none"/>
                      <w:lang w:val="en-US" w:eastAsia="zh-CN" w:bidi="ar-SA"/>
                    </w:rPr>
                    <w:t>%）</w:t>
                  </w:r>
                </w:p>
              </w:tc>
              <w:tc>
                <w:tcPr>
                  <w:tcW w:w="895" w:type="pct"/>
                  <w:shd w:val="clear" w:color="auto" w:fill="auto"/>
                  <w:vAlign w:val="center"/>
                </w:tcPr>
                <w:p w14:paraId="15468139">
                  <w:pPr>
                    <w:keepNext w:val="0"/>
                    <w:keepLines w:val="0"/>
                    <w:suppressLineNumbers w:val="0"/>
                    <w:spacing w:before="0" w:beforeAutospacing="0" w:after="0" w:afterAutospacing="0" w:line="240" w:lineRule="auto"/>
                    <w:ind w:left="0" w:leftChars="0" w:right="0" w:rightChars="0"/>
                    <w:contextualSpacing/>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20000</w:t>
                  </w:r>
                </w:p>
              </w:tc>
              <w:tc>
                <w:tcPr>
                  <w:tcW w:w="648" w:type="pct"/>
                  <w:vMerge w:val="continue"/>
                  <w:tcBorders>
                    <w:left w:val="single" w:color="auto" w:sz="4" w:space="0"/>
                    <w:right w:val="nil"/>
                  </w:tcBorders>
                </w:tcPr>
                <w:p w14:paraId="4E499482">
                  <w:pPr>
                    <w:pStyle w:val="149"/>
                    <w:keepNext w:val="0"/>
                    <w:keepLines w:val="0"/>
                    <w:suppressLineNumbers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bidi="ar-SA"/>
                    </w:rPr>
                  </w:pPr>
                </w:p>
              </w:tc>
            </w:tr>
          </w:tbl>
          <w:p w14:paraId="6E3BC0BA">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2" w:firstLineChars="200"/>
              <w:textAlignment w:val="auto"/>
              <w:rPr>
                <w:rFonts w:hint="default" w:ascii="Times New Roman" w:hAnsi="Times New Roman" w:eastAsia="宋体" w:cs="Times New Roman"/>
                <w:b/>
                <w:bCs/>
                <w:color w:val="auto"/>
                <w:kern w:val="21"/>
                <w:sz w:val="21"/>
                <w:szCs w:val="21"/>
                <w:highlight w:val="none"/>
                <w:lang w:val="en-US" w:eastAsia="zh-CN"/>
              </w:rPr>
            </w:pPr>
            <w:r>
              <w:rPr>
                <w:rFonts w:hint="default" w:ascii="Times New Roman" w:hAnsi="Times New Roman" w:eastAsia="宋体" w:cs="Times New Roman"/>
                <w:b/>
                <w:bCs/>
                <w:color w:val="auto"/>
                <w:kern w:val="21"/>
                <w:sz w:val="21"/>
                <w:szCs w:val="21"/>
                <w:highlight w:val="none"/>
                <w:lang w:val="en-US" w:eastAsia="zh-CN"/>
              </w:rPr>
              <w:t>5、劳动定员及工作制度</w:t>
            </w:r>
          </w:p>
          <w:p w14:paraId="328AF1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bCs/>
                <w:color w:val="auto"/>
                <w:kern w:val="0"/>
                <w:sz w:val="21"/>
                <w:szCs w:val="21"/>
                <w:highlight w:val="none"/>
                <w:lang w:val="en-US" w:eastAsia="zh-CN"/>
              </w:rPr>
            </w:pPr>
            <w:r>
              <w:rPr>
                <w:rFonts w:hint="default" w:ascii="Times New Roman" w:hAnsi="Times New Roman" w:eastAsia="宋体" w:cs="Times New Roman"/>
                <w:color w:val="auto"/>
                <w:kern w:val="21"/>
                <w:sz w:val="21"/>
                <w:szCs w:val="21"/>
                <w:highlight w:val="none"/>
              </w:rPr>
              <w:t>本项目</w:t>
            </w:r>
            <w:r>
              <w:rPr>
                <w:rFonts w:hint="eastAsia"/>
                <w:bCs/>
                <w:color w:val="auto"/>
                <w:szCs w:val="21"/>
                <w:highlight w:val="none"/>
              </w:rPr>
              <w:t>劳动定员</w:t>
            </w:r>
            <w:r>
              <w:rPr>
                <w:rFonts w:hint="eastAsia"/>
                <w:bCs/>
                <w:color w:val="auto"/>
                <w:szCs w:val="21"/>
                <w:highlight w:val="none"/>
                <w:lang w:val="en-US" w:eastAsia="zh-CN"/>
              </w:rPr>
              <w:t>10人，2班制，每班10小时</w:t>
            </w:r>
            <w:r>
              <w:rPr>
                <w:rFonts w:hint="eastAsia"/>
                <w:bCs/>
                <w:color w:val="auto"/>
                <w:szCs w:val="21"/>
                <w:highlight w:val="none"/>
                <w:lang w:eastAsia="zh-CN"/>
              </w:rPr>
              <w:t>，</w:t>
            </w:r>
            <w:r>
              <w:rPr>
                <w:rFonts w:hint="eastAsia" w:cs="Times New Roman"/>
                <w:color w:val="auto"/>
                <w:sz w:val="21"/>
                <w:szCs w:val="21"/>
                <w:highlight w:val="none"/>
                <w:lang w:val="en-US" w:eastAsia="zh-CN"/>
              </w:rPr>
              <w:t>年生产300</w:t>
            </w:r>
            <w:r>
              <w:rPr>
                <w:rFonts w:hint="default" w:ascii="Times New Roman" w:hAnsi="Times New Roman" w:cs="Times New Roman"/>
                <w:color w:val="auto"/>
                <w:sz w:val="21"/>
                <w:szCs w:val="21"/>
                <w:highlight w:val="none"/>
              </w:rPr>
              <w:t>天</w:t>
            </w:r>
            <w:r>
              <w:rPr>
                <w:rFonts w:hint="eastAsia" w:cs="Times New Roman"/>
                <w:color w:val="auto"/>
                <w:sz w:val="21"/>
                <w:szCs w:val="21"/>
                <w:highlight w:val="none"/>
                <w:lang w:val="en-US" w:eastAsia="zh-CN"/>
              </w:rPr>
              <w:t>年工作时间3000h</w:t>
            </w:r>
            <w:r>
              <w:rPr>
                <w:rFonts w:hint="default" w:ascii="Times New Roman" w:hAnsi="Times New Roman" w:cs="Times New Roman"/>
                <w:color w:val="auto"/>
                <w:sz w:val="21"/>
                <w:szCs w:val="21"/>
                <w:highlight w:val="none"/>
              </w:rPr>
              <w:t>。</w:t>
            </w:r>
            <w:r>
              <w:rPr>
                <w:rFonts w:hint="eastAsia" w:cs="Times New Roman"/>
                <w:color w:val="auto"/>
                <w:kern w:val="21"/>
                <w:sz w:val="21"/>
                <w:szCs w:val="21"/>
                <w:highlight w:val="none"/>
                <w:lang w:val="en-US" w:eastAsia="zh-CN"/>
              </w:rPr>
              <w:t>本项目不设食堂和宿舍。</w:t>
            </w:r>
          </w:p>
          <w:p w14:paraId="191976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eastAsia" w:ascii="Times New Roman" w:hAnsi="Times New Roman" w:eastAsia="宋体" w:cs="Times New Roman"/>
                <w:b/>
                <w:bCs/>
                <w:color w:val="auto"/>
                <w:kern w:val="0"/>
                <w:sz w:val="21"/>
                <w:szCs w:val="21"/>
                <w:highlight w:val="none"/>
                <w:lang w:eastAsia="zh-CN"/>
              </w:rPr>
            </w:pPr>
            <w:r>
              <w:rPr>
                <w:rFonts w:hint="default" w:ascii="Times New Roman" w:hAnsi="Times New Roman" w:eastAsia="宋体" w:cs="Times New Roman"/>
                <w:b/>
                <w:bCs/>
                <w:color w:val="auto"/>
                <w:kern w:val="0"/>
                <w:sz w:val="21"/>
                <w:szCs w:val="21"/>
                <w:highlight w:val="none"/>
                <w:lang w:val="en-US" w:eastAsia="zh-CN"/>
              </w:rPr>
              <w:t>6</w:t>
            </w:r>
            <w:r>
              <w:rPr>
                <w:rFonts w:hint="default" w:ascii="Times New Roman" w:hAnsi="Times New Roman" w:eastAsia="宋体" w:cs="Times New Roman"/>
                <w:b/>
                <w:bCs/>
                <w:color w:val="auto"/>
                <w:kern w:val="0"/>
                <w:sz w:val="21"/>
                <w:szCs w:val="21"/>
                <w:highlight w:val="none"/>
              </w:rPr>
              <w:t>、公</w:t>
            </w:r>
            <w:r>
              <w:rPr>
                <w:rFonts w:hint="eastAsia" w:cs="Times New Roman"/>
                <w:b/>
                <w:bCs/>
                <w:color w:val="auto"/>
                <w:kern w:val="0"/>
                <w:sz w:val="21"/>
                <w:szCs w:val="21"/>
                <w:highlight w:val="none"/>
                <w:lang w:val="en-US" w:eastAsia="zh-CN"/>
              </w:rPr>
              <w:t>用</w:t>
            </w:r>
            <w:r>
              <w:rPr>
                <w:rFonts w:hint="default" w:ascii="Times New Roman" w:hAnsi="Times New Roman" w:eastAsia="宋体" w:cs="Times New Roman"/>
                <w:b/>
                <w:bCs/>
                <w:color w:val="auto"/>
                <w:kern w:val="0"/>
                <w:sz w:val="21"/>
                <w:szCs w:val="21"/>
                <w:highlight w:val="none"/>
              </w:rPr>
              <w:t>工程</w:t>
            </w:r>
          </w:p>
          <w:p w14:paraId="7D6523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（1）给水</w:t>
            </w:r>
          </w:p>
          <w:p w14:paraId="39F5E26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color w:val="auto"/>
                <w:highlight w:val="none"/>
              </w:rPr>
            </w:pPr>
            <w:r>
              <w:rPr>
                <w:rFonts w:hint="default" w:ascii="Times New Roman" w:hAnsi="Times New Roman" w:eastAsia="宋体" w:cs="Times New Roman"/>
                <w:color w:val="auto"/>
                <w:sz w:val="21"/>
                <w:szCs w:val="21"/>
                <w:highlight w:val="none"/>
              </w:rPr>
              <w:t>本项目</w:t>
            </w:r>
            <w:r>
              <w:rPr>
                <w:rFonts w:hint="eastAsia" w:cs="Times New Roman"/>
                <w:color w:val="auto"/>
                <w:sz w:val="21"/>
                <w:szCs w:val="21"/>
                <w:highlight w:val="none"/>
                <w:lang w:val="en-US" w:eastAsia="zh-CN"/>
              </w:rPr>
              <w:t>用水来源为外购，</w:t>
            </w:r>
            <w:r>
              <w:rPr>
                <w:rFonts w:hint="default" w:ascii="Times New Roman" w:hAnsi="Times New Roman" w:eastAsia="宋体" w:cs="Times New Roman"/>
                <w:color w:val="auto"/>
                <w:sz w:val="21"/>
                <w:szCs w:val="21"/>
                <w:highlight w:val="none"/>
              </w:rPr>
              <w:t>运营期用水主要为生活用水</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灰渣调湿用水，洒水降尘用水</w:t>
            </w:r>
            <w:r>
              <w:rPr>
                <w:rFonts w:hint="default" w:ascii="Times New Roman" w:hAnsi="Times New Roman" w:eastAsia="宋体" w:cs="Times New Roman"/>
                <w:color w:val="auto"/>
                <w:sz w:val="21"/>
                <w:szCs w:val="21"/>
                <w:highlight w:val="none"/>
              </w:rPr>
              <w:t>。</w:t>
            </w:r>
          </w:p>
          <w:p w14:paraId="44D1C3C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①生活用水</w:t>
            </w:r>
          </w:p>
          <w:p w14:paraId="5B647C8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Cs w:val="21"/>
                <w:highlight w:val="none"/>
                <w:lang w:eastAsia="zh-CN"/>
              </w:rPr>
            </w:pPr>
            <w:r>
              <w:rPr>
                <w:rFonts w:hint="default" w:ascii="Times New Roman" w:hAnsi="Times New Roman" w:cs="Times New Roman"/>
                <w:color w:val="auto"/>
                <w:szCs w:val="21"/>
                <w:highlight w:val="none"/>
              </w:rPr>
              <w:t>本项目</w:t>
            </w:r>
            <w:r>
              <w:rPr>
                <w:rFonts w:hint="eastAsia" w:cs="Times New Roman"/>
                <w:color w:val="auto"/>
                <w:szCs w:val="21"/>
                <w:highlight w:val="none"/>
                <w:lang w:val="en-US" w:eastAsia="zh-CN"/>
              </w:rPr>
              <w:t>工作人员10人，</w:t>
            </w:r>
            <w:r>
              <w:rPr>
                <w:rFonts w:hint="default" w:ascii="Times New Roman" w:hAnsi="Times New Roman" w:cs="Times New Roman"/>
                <w:color w:val="auto"/>
                <w:szCs w:val="21"/>
                <w:highlight w:val="none"/>
              </w:rPr>
              <w:t>职工生活用水参照《黑龙江省地方标准 用水定额》（DB23/T727-20</w:t>
            </w:r>
            <w:r>
              <w:rPr>
                <w:rFonts w:hint="eastAsia" w:cs="Times New Roman"/>
                <w:color w:val="auto"/>
                <w:szCs w:val="21"/>
                <w:highlight w:val="none"/>
                <w:lang w:val="en-US" w:eastAsia="zh-CN"/>
              </w:rPr>
              <w:t>21</w:t>
            </w:r>
            <w:r>
              <w:rPr>
                <w:rFonts w:hint="default" w:ascii="Times New Roman" w:hAnsi="Times New Roman" w:cs="Times New Roman"/>
                <w:color w:val="auto"/>
                <w:szCs w:val="21"/>
                <w:highlight w:val="none"/>
              </w:rPr>
              <w:t>），员工生活用水按</w:t>
            </w:r>
            <w:r>
              <w:rPr>
                <w:rFonts w:hint="eastAsia" w:cs="Times New Roman"/>
                <w:color w:val="auto"/>
                <w:szCs w:val="21"/>
                <w:highlight w:val="none"/>
                <w:lang w:val="en-US" w:eastAsia="zh-CN"/>
              </w:rPr>
              <w:t>80</w:t>
            </w:r>
            <w:r>
              <w:rPr>
                <w:rFonts w:hint="default" w:ascii="Times New Roman" w:hAnsi="Times New Roman" w:cs="Times New Roman"/>
                <w:color w:val="auto"/>
                <w:szCs w:val="21"/>
                <w:highlight w:val="none"/>
              </w:rPr>
              <w:t>L/人·d计</w:t>
            </w:r>
            <w:r>
              <w:rPr>
                <w:rFonts w:hint="eastAsia" w:cs="Times New Roman"/>
                <w:color w:val="auto"/>
                <w:szCs w:val="21"/>
                <w:highlight w:val="none"/>
                <w:lang w:eastAsia="zh-CN"/>
              </w:rPr>
              <w:t>，</w:t>
            </w:r>
            <w:r>
              <w:rPr>
                <w:rFonts w:hint="eastAsia" w:cs="Times New Roman"/>
                <w:color w:val="auto"/>
                <w:szCs w:val="21"/>
                <w:highlight w:val="none"/>
                <w:lang w:val="en-US" w:eastAsia="zh-CN"/>
              </w:rPr>
              <w:t>因本项目不设置食宿，员工生活用水按40</w:t>
            </w:r>
            <w:r>
              <w:rPr>
                <w:rFonts w:hint="default" w:ascii="Times New Roman" w:hAnsi="Times New Roman" w:cs="Times New Roman"/>
                <w:color w:val="auto"/>
                <w:szCs w:val="21"/>
                <w:highlight w:val="none"/>
              </w:rPr>
              <w:t>L/人·d计，则生活用水量为</w:t>
            </w:r>
            <w:r>
              <w:rPr>
                <w:rFonts w:hint="eastAsia" w:cs="Times New Roman"/>
                <w:color w:val="auto"/>
                <w:szCs w:val="21"/>
                <w:highlight w:val="none"/>
                <w:lang w:val="en-US" w:eastAsia="zh-CN"/>
              </w:rPr>
              <w:t>0.4</w:t>
            </w:r>
            <w:r>
              <w:rPr>
                <w:rFonts w:hint="default" w:ascii="Times New Roman" w:hAnsi="Times New Roman" w:cs="Times New Roman"/>
                <w:color w:val="auto"/>
                <w:szCs w:val="21"/>
                <w:highlight w:val="none"/>
              </w:rPr>
              <w:t>t/d，</w:t>
            </w:r>
            <w:r>
              <w:rPr>
                <w:rFonts w:hint="eastAsia" w:cs="Times New Roman"/>
                <w:color w:val="auto"/>
                <w:szCs w:val="21"/>
                <w:highlight w:val="none"/>
                <w:lang w:val="en-US" w:eastAsia="zh-CN"/>
              </w:rPr>
              <w:t>1.2</w:t>
            </w:r>
            <w:r>
              <w:rPr>
                <w:rFonts w:hint="default" w:ascii="Times New Roman" w:hAnsi="Times New Roman" w:cs="Times New Roman"/>
                <w:color w:val="auto"/>
                <w:szCs w:val="21"/>
                <w:highlight w:val="none"/>
              </w:rPr>
              <w:t>t/a</w:t>
            </w:r>
            <w:r>
              <w:rPr>
                <w:rFonts w:hint="eastAsia" w:cs="Times New Roman"/>
                <w:color w:val="auto"/>
                <w:szCs w:val="21"/>
                <w:highlight w:val="none"/>
                <w:lang w:eastAsia="zh-CN"/>
              </w:rPr>
              <w:t>。</w:t>
            </w:r>
          </w:p>
          <w:p w14:paraId="67C8B01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②灰渣调湿用水</w:t>
            </w:r>
          </w:p>
          <w:p w14:paraId="4FEA52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Cs w:val="21"/>
                <w:highlight w:val="none"/>
                <w:lang w:val="en-US" w:eastAsia="zh-CN"/>
              </w:rPr>
            </w:pPr>
            <w:r>
              <w:rPr>
                <w:rFonts w:hint="default" w:ascii="Times New Roman" w:hAnsi="Times New Roman" w:eastAsia="宋体" w:cs="Times New Roman"/>
                <w:color w:val="auto"/>
                <w:szCs w:val="21"/>
                <w:highlight w:val="none"/>
                <w:lang w:val="en-US" w:eastAsia="zh-CN"/>
              </w:rPr>
              <w:t>本项目灰渣</w:t>
            </w:r>
            <w:r>
              <w:rPr>
                <w:rFonts w:hint="eastAsia" w:ascii="Times New Roman" w:hAnsi="Times New Roman" w:eastAsia="宋体" w:cs="Times New Roman"/>
                <w:color w:val="auto"/>
                <w:szCs w:val="21"/>
                <w:highlight w:val="none"/>
                <w:lang w:val="en-US" w:eastAsia="zh-CN"/>
              </w:rPr>
              <w:t>、除尘器收尘灰</w:t>
            </w:r>
            <w:r>
              <w:rPr>
                <w:rFonts w:hint="default" w:ascii="Times New Roman" w:hAnsi="Times New Roman" w:eastAsia="宋体" w:cs="Times New Roman"/>
                <w:color w:val="auto"/>
                <w:szCs w:val="21"/>
                <w:highlight w:val="none"/>
                <w:lang w:val="en-US" w:eastAsia="zh-CN"/>
              </w:rPr>
              <w:t>产生量为</w:t>
            </w:r>
            <w:r>
              <w:rPr>
                <w:rFonts w:hint="eastAsia" w:cs="Times New Roman"/>
                <w:color w:val="auto"/>
                <w:szCs w:val="21"/>
                <w:highlight w:val="none"/>
                <w:lang w:val="en-US" w:eastAsia="zh-CN"/>
              </w:rPr>
              <w:t>876.697</w:t>
            </w:r>
            <w:r>
              <w:rPr>
                <w:rFonts w:hint="default" w:ascii="Times New Roman" w:hAnsi="Times New Roman" w:eastAsia="宋体" w:cs="Times New Roman"/>
                <w:color w:val="auto"/>
                <w:szCs w:val="21"/>
                <w:highlight w:val="none"/>
                <w:lang w:val="en-US" w:eastAsia="zh-CN"/>
              </w:rPr>
              <w:t>t/a，参考《火力发电厂干式贮灰场设计规程》（DL/T 5488-2014），项目灰渣调湿水按灰渣量4%计算，则灰渣调湿用水为</w:t>
            </w:r>
            <w:r>
              <w:rPr>
                <w:rFonts w:hint="eastAsia" w:ascii="Times New Roman" w:hAnsi="Times New Roman" w:eastAsia="宋体" w:cs="Times New Roman"/>
                <w:color w:val="auto"/>
                <w:szCs w:val="21"/>
                <w:highlight w:val="none"/>
                <w:lang w:val="en-US" w:eastAsia="zh-CN"/>
              </w:rPr>
              <w:t>0.</w:t>
            </w:r>
            <w:r>
              <w:rPr>
                <w:rFonts w:hint="eastAsia" w:cs="Times New Roman"/>
                <w:color w:val="auto"/>
                <w:szCs w:val="21"/>
                <w:highlight w:val="none"/>
                <w:lang w:val="en-US" w:eastAsia="zh-CN"/>
              </w:rPr>
              <w:t>13t</w:t>
            </w:r>
            <w:r>
              <w:rPr>
                <w:rFonts w:hint="eastAsia" w:ascii="Times New Roman" w:hAnsi="Times New Roman" w:eastAsia="宋体" w:cs="Times New Roman"/>
                <w:color w:val="auto"/>
                <w:szCs w:val="21"/>
                <w:highlight w:val="none"/>
                <w:lang w:val="en-US" w:eastAsia="zh-CN"/>
              </w:rPr>
              <w:t>/d，</w:t>
            </w:r>
            <w:r>
              <w:rPr>
                <w:rFonts w:hint="eastAsia" w:cs="Times New Roman"/>
                <w:color w:val="auto"/>
                <w:szCs w:val="21"/>
                <w:highlight w:val="none"/>
                <w:lang w:val="en-US" w:eastAsia="zh-CN"/>
              </w:rPr>
              <w:t>39</w:t>
            </w:r>
            <w:r>
              <w:rPr>
                <w:rFonts w:hint="default" w:ascii="Times New Roman" w:hAnsi="Times New Roman" w:eastAsia="宋体" w:cs="Times New Roman"/>
                <w:color w:val="auto"/>
                <w:szCs w:val="21"/>
                <w:highlight w:val="none"/>
                <w:lang w:val="en-US" w:eastAsia="zh-CN"/>
              </w:rPr>
              <w:t>t/a。</w:t>
            </w:r>
          </w:p>
          <w:p w14:paraId="70B34C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szCs w:val="21"/>
                <w:highlight w:val="none"/>
                <w:lang w:val="en-US" w:eastAsia="zh-CN"/>
              </w:rPr>
            </w:pPr>
            <w:r>
              <w:rPr>
                <w:rFonts w:hint="eastAsia" w:cs="Times New Roman"/>
                <w:color w:val="auto"/>
                <w:szCs w:val="21"/>
                <w:highlight w:val="none"/>
                <w:lang w:val="en-US" w:eastAsia="zh-CN"/>
              </w:rPr>
              <w:t>③洒水降尘用水</w:t>
            </w:r>
          </w:p>
          <w:p w14:paraId="2A7106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Cs w:val="21"/>
                <w:highlight w:val="none"/>
                <w:lang w:val="en-US" w:eastAsia="zh-CN"/>
              </w:rPr>
              <w:t>本项目</w:t>
            </w:r>
            <w:r>
              <w:rPr>
                <w:rFonts w:hint="eastAsia" w:cs="Times New Roman"/>
                <w:color w:val="auto"/>
                <w:szCs w:val="21"/>
                <w:highlight w:val="none"/>
                <w:lang w:val="en-US" w:eastAsia="zh-CN"/>
              </w:rPr>
              <w:t>生产车间及热风炉</w:t>
            </w:r>
            <w:r>
              <w:rPr>
                <w:rFonts w:hint="eastAsia" w:ascii="Times New Roman" w:hAnsi="Times New Roman" w:eastAsia="宋体" w:cs="Times New Roman"/>
                <w:color w:val="auto"/>
                <w:szCs w:val="21"/>
                <w:highlight w:val="none"/>
                <w:lang w:val="en-US" w:eastAsia="zh-CN"/>
              </w:rPr>
              <w:t>房需定期洒水降尘减少无组织颗粒物排放，参考黑龙江用水定额（DB23/T 727-2021），环境卫生管理，浇洒道路用水量为</w:t>
            </w:r>
            <w:r>
              <w:rPr>
                <w:rFonts w:hint="default" w:ascii="Times New Roman" w:hAnsi="Times New Roman" w:eastAsia="宋体" w:cs="Times New Roman"/>
                <w:color w:val="auto"/>
                <w:szCs w:val="21"/>
                <w:highlight w:val="none"/>
                <w:lang w:val="en-US" w:eastAsia="zh-CN"/>
              </w:rPr>
              <w:t>2L/（m</w:t>
            </w:r>
            <w:r>
              <w:rPr>
                <w:rFonts w:hint="default" w:ascii="Times New Roman" w:hAnsi="Times New Roman" w:eastAsia="宋体" w:cs="Times New Roman"/>
                <w:color w:val="auto"/>
                <w:szCs w:val="21"/>
                <w:highlight w:val="none"/>
                <w:vertAlign w:val="superscript"/>
                <w:lang w:val="en-US" w:eastAsia="zh-CN"/>
              </w:rPr>
              <w:t>2</w:t>
            </w:r>
            <w:r>
              <w:rPr>
                <w:rFonts w:hint="default" w:ascii="Times New Roman" w:hAnsi="Times New Roman" w:eastAsia="宋体" w:cs="Times New Roman"/>
                <w:color w:val="auto"/>
                <w:szCs w:val="21"/>
                <w:highlight w:val="none"/>
                <w:lang w:val="en-US" w:eastAsia="zh-CN"/>
              </w:rPr>
              <w:t>·d）</w:t>
            </w:r>
            <w:r>
              <w:rPr>
                <w:rFonts w:hint="eastAsia" w:ascii="Times New Roman" w:hAnsi="Times New Roman" w:eastAsia="宋体" w:cs="Times New Roman"/>
                <w:color w:val="auto"/>
                <w:szCs w:val="21"/>
                <w:highlight w:val="none"/>
                <w:lang w:val="en-US" w:eastAsia="zh-CN"/>
              </w:rPr>
              <w:t>，</w:t>
            </w:r>
            <w:r>
              <w:rPr>
                <w:rFonts w:hint="eastAsia" w:cs="Times New Roman"/>
                <w:color w:val="auto"/>
                <w:szCs w:val="21"/>
                <w:highlight w:val="none"/>
                <w:lang w:val="en-US" w:eastAsia="zh-CN"/>
              </w:rPr>
              <w:t>洒水降尘面积约为1351m</w:t>
            </w:r>
            <w:r>
              <w:rPr>
                <w:rFonts w:hint="eastAsia" w:cs="Times New Roman"/>
                <w:color w:val="auto"/>
                <w:szCs w:val="21"/>
                <w:highlight w:val="none"/>
                <w:vertAlign w:val="superscript"/>
                <w:lang w:val="en-US" w:eastAsia="zh-CN"/>
              </w:rPr>
              <w:t>2</w:t>
            </w:r>
            <w:r>
              <w:rPr>
                <w:rFonts w:hint="eastAsia" w:ascii="Times New Roman" w:hAnsi="Times New Roman" w:cs="Times New Roman"/>
                <w:color w:val="auto"/>
                <w:kern w:val="21"/>
                <w:sz w:val="21"/>
                <w:szCs w:val="21"/>
                <w:highlight w:val="none"/>
                <w:lang w:val="en-US" w:eastAsia="zh-CN" w:bidi="ar-SA"/>
              </w:rPr>
              <w:t>，</w:t>
            </w:r>
            <w:r>
              <w:rPr>
                <w:rFonts w:hint="eastAsia" w:cs="Times New Roman"/>
                <w:color w:val="auto"/>
                <w:kern w:val="21"/>
                <w:sz w:val="21"/>
                <w:szCs w:val="21"/>
                <w:highlight w:val="none"/>
                <w:lang w:val="en-US" w:eastAsia="zh-CN" w:bidi="ar-SA"/>
              </w:rPr>
              <w:t>可洒水降尘天数约为150天，</w:t>
            </w:r>
            <w:r>
              <w:rPr>
                <w:rFonts w:hint="eastAsia" w:ascii="Times New Roman" w:hAnsi="Times New Roman" w:cs="Times New Roman"/>
                <w:color w:val="auto"/>
                <w:kern w:val="21"/>
                <w:sz w:val="21"/>
                <w:szCs w:val="21"/>
                <w:highlight w:val="none"/>
                <w:lang w:val="en-US" w:eastAsia="zh-CN" w:bidi="ar-SA"/>
              </w:rPr>
              <w:t>则洒水降尘用水量为</w:t>
            </w:r>
            <w:r>
              <w:rPr>
                <w:rFonts w:hint="eastAsia" w:cs="Times New Roman"/>
                <w:color w:val="auto"/>
                <w:kern w:val="21"/>
                <w:sz w:val="21"/>
                <w:szCs w:val="21"/>
                <w:highlight w:val="none"/>
                <w:lang w:val="en-US" w:eastAsia="zh-CN" w:bidi="ar-SA"/>
              </w:rPr>
              <w:t>2.7t</w:t>
            </w:r>
            <w:r>
              <w:rPr>
                <w:rFonts w:hint="eastAsia" w:ascii="Times New Roman" w:hAnsi="Times New Roman" w:cs="Times New Roman"/>
                <w:color w:val="auto"/>
                <w:kern w:val="21"/>
                <w:sz w:val="21"/>
                <w:szCs w:val="21"/>
                <w:highlight w:val="none"/>
                <w:lang w:val="en-US" w:eastAsia="zh-CN" w:bidi="ar-SA"/>
              </w:rPr>
              <w:t>/d，</w:t>
            </w:r>
            <w:r>
              <w:rPr>
                <w:rFonts w:hint="eastAsia" w:cs="Times New Roman"/>
                <w:color w:val="auto"/>
                <w:kern w:val="21"/>
                <w:sz w:val="21"/>
                <w:szCs w:val="21"/>
                <w:highlight w:val="none"/>
                <w:lang w:val="en-US" w:eastAsia="zh-CN" w:bidi="ar-SA"/>
              </w:rPr>
              <w:t>405</w:t>
            </w:r>
            <w:r>
              <w:rPr>
                <w:rFonts w:hint="eastAsia" w:ascii="Times New Roman" w:hAnsi="Times New Roman" w:cs="Times New Roman"/>
                <w:color w:val="auto"/>
                <w:kern w:val="21"/>
                <w:sz w:val="21"/>
                <w:szCs w:val="21"/>
                <w:highlight w:val="none"/>
                <w:lang w:val="en-US" w:eastAsia="zh-CN" w:bidi="ar-SA"/>
              </w:rPr>
              <w:t>t/a。</w:t>
            </w:r>
          </w:p>
          <w:p w14:paraId="6C317354">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（2）排水</w:t>
            </w:r>
          </w:p>
          <w:p w14:paraId="22B20314">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eastAsia" w:ascii="Times New Roman" w:hAnsi="Times New Roman" w:eastAsia="宋体" w:cs="Times New Roman"/>
                <w:bCs/>
                <w:color w:val="auto"/>
                <w:sz w:val="21"/>
                <w:szCs w:val="21"/>
                <w:highlight w:val="none"/>
                <w:lang w:eastAsia="zh-CN"/>
              </w:rPr>
            </w:pPr>
            <w:r>
              <w:rPr>
                <w:rFonts w:hint="eastAsia" w:cs="Times New Roman"/>
                <w:bCs/>
                <w:color w:val="auto"/>
                <w:sz w:val="21"/>
                <w:szCs w:val="21"/>
                <w:highlight w:val="none"/>
                <w:lang w:eastAsia="zh-CN"/>
              </w:rPr>
              <w:t>生活污水按用水的</w:t>
            </w:r>
            <w:r>
              <w:rPr>
                <w:rFonts w:hint="eastAsia" w:cs="Times New Roman"/>
                <w:bCs/>
                <w:color w:val="auto"/>
                <w:sz w:val="21"/>
                <w:szCs w:val="21"/>
                <w:highlight w:val="none"/>
                <w:lang w:val="en-US" w:eastAsia="zh-CN"/>
              </w:rPr>
              <w:t>80%计，则本项目生活污水排水量为0.32</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/d</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96</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/a</w:t>
            </w:r>
            <w:r>
              <w:rPr>
                <w:rFonts w:hint="eastAsia" w:ascii="Times New Roman" w:hAnsi="Times New Roman" w:cs="Times New Roman"/>
                <w:color w:val="auto"/>
                <w:sz w:val="21"/>
                <w:szCs w:val="21"/>
                <w:highlight w:val="none"/>
                <w:lang w:eastAsia="zh-CN"/>
              </w:rPr>
              <w:t>。</w:t>
            </w:r>
          </w:p>
          <w:p w14:paraId="0E257DE4">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eastAsia" w:eastAsia="宋体"/>
                <w:color w:val="auto"/>
                <w:highlight w:val="cyan"/>
                <w:lang w:val="en-US" w:eastAsia="zh-CN"/>
              </w:rPr>
            </w:pPr>
            <w:r>
              <w:rPr>
                <w:rFonts w:hint="default" w:ascii="Times New Roman" w:hAnsi="Times New Roman" w:eastAsia="宋体" w:cs="Times New Roman"/>
                <w:bCs/>
                <w:color w:val="auto"/>
                <w:sz w:val="21"/>
                <w:szCs w:val="21"/>
                <w:highlight w:val="none"/>
                <w:lang w:val="en-US" w:eastAsia="zh-CN"/>
              </w:rPr>
              <w:t>本项目</w:t>
            </w:r>
            <w:r>
              <w:rPr>
                <w:rFonts w:hint="eastAsia" w:cs="Times New Roman"/>
                <w:bCs/>
                <w:color w:val="auto"/>
                <w:sz w:val="21"/>
                <w:szCs w:val="21"/>
                <w:highlight w:val="none"/>
                <w:lang w:val="en-US" w:eastAsia="zh-CN"/>
              </w:rPr>
              <w:t>灰渣调湿用水全部进入物料中，洒水降尘用水自然蒸发，</w:t>
            </w:r>
            <w:r>
              <w:rPr>
                <w:rFonts w:hint="default" w:ascii="Times New Roman" w:hAnsi="Times New Roman" w:eastAsia="宋体" w:cs="Times New Roman"/>
                <w:bCs/>
                <w:color w:val="auto"/>
                <w:sz w:val="21"/>
                <w:szCs w:val="21"/>
                <w:highlight w:val="none"/>
                <w:lang w:val="en-US" w:eastAsia="zh-CN"/>
              </w:rPr>
              <w:t>无生产废水</w:t>
            </w:r>
            <w:r>
              <w:rPr>
                <w:rFonts w:hint="eastAsia" w:ascii="Times New Roman" w:hAnsi="Times New Roman" w:cs="Times New Roman"/>
                <w:bCs/>
                <w:color w:val="auto"/>
                <w:sz w:val="21"/>
                <w:szCs w:val="21"/>
                <w:highlight w:val="none"/>
                <w:lang w:val="en-US" w:eastAsia="zh-CN"/>
              </w:rPr>
              <w:t>产生</w:t>
            </w:r>
            <w:r>
              <w:rPr>
                <w:rFonts w:hint="default" w:ascii="Times New Roman" w:hAnsi="Times New Roman" w:eastAsia="宋体" w:cs="Times New Roman"/>
                <w:bCs/>
                <w:color w:val="auto"/>
                <w:sz w:val="21"/>
                <w:szCs w:val="21"/>
                <w:highlight w:val="none"/>
                <w:lang w:val="en-US" w:eastAsia="zh-CN"/>
              </w:rPr>
              <w:t>，废水主要为生活污水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排入</w:t>
            </w:r>
            <w:r>
              <w:rPr>
                <w:rFonts w:hint="eastAsia" w:cs="Times New Roman"/>
                <w:color w:val="auto"/>
                <w:kern w:val="0"/>
                <w:szCs w:val="21"/>
                <w:highlight w:val="none"/>
                <w:lang w:val="en-US" w:eastAsia="zh-CN"/>
              </w:rPr>
              <w:t>防渗旱厕</w:t>
            </w:r>
            <w:r>
              <w:rPr>
                <w:rFonts w:hint="default" w:ascii="Times New Roman" w:hAnsi="Times New Roman" w:cs="Times New Roman"/>
                <w:color w:val="auto"/>
                <w:sz w:val="21"/>
                <w:szCs w:val="21"/>
                <w:highlight w:val="none"/>
                <w:lang w:eastAsia="zh-CN"/>
              </w:rPr>
              <w:t>，定期清掏，外运堆肥，</w:t>
            </w:r>
            <w:r>
              <w:rPr>
                <w:rFonts w:hint="default" w:ascii="Times New Roman" w:hAnsi="Times New Roman" w:cs="Times New Roman"/>
                <w:color w:val="auto"/>
                <w:sz w:val="21"/>
                <w:szCs w:val="21"/>
                <w:highlight w:val="none"/>
                <w:lang w:val="en-US" w:eastAsia="zh-CN"/>
              </w:rPr>
              <w:t>不外排</w:t>
            </w:r>
            <w:r>
              <w:rPr>
                <w:rFonts w:hint="eastAsia" w:cs="Times New Roman"/>
                <w:color w:val="auto"/>
                <w:spacing w:val="0"/>
                <w:sz w:val="21"/>
                <w:szCs w:val="21"/>
                <w:highlight w:val="none"/>
                <w:lang w:val="en-US" w:eastAsia="zh-CN"/>
              </w:rPr>
              <w:t>。</w:t>
            </w:r>
          </w:p>
          <w:p w14:paraId="73DE8F4E">
            <w:pPr>
              <w:keepNext w:val="0"/>
              <w:keepLines w:val="0"/>
              <w:pageBreakBefore w:val="0"/>
              <w:widowControl/>
              <w:numPr>
                <w:ilvl w:val="-1"/>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20" w:firstLineChars="200"/>
              <w:jc w:val="left"/>
              <w:textAlignment w:val="auto"/>
              <w:rPr>
                <w:rFonts w:hint="default" w:ascii="Times New Roman" w:hAnsi="Times New Roman" w:cs="Times New Roman"/>
                <w:color w:val="auto"/>
                <w:szCs w:val="21"/>
                <w:highlight w:val="none"/>
              </w:rPr>
            </w:pPr>
            <w:r>
              <w:rPr>
                <w:rFonts w:hint="default" w:cs="Times New Roman"/>
                <w:color w:val="auto"/>
                <w:szCs w:val="21"/>
                <w:highlight w:val="none"/>
                <w:lang w:eastAsia="zh-CN"/>
              </w:rPr>
              <w:t>（</w:t>
            </w:r>
            <w:r>
              <w:rPr>
                <w:rFonts w:hint="default" w:cs="Times New Roman"/>
                <w:color w:val="auto"/>
                <w:szCs w:val="21"/>
                <w:highlight w:val="none"/>
                <w:lang w:val="en-US" w:eastAsia="zh-CN"/>
              </w:rPr>
              <w:t>3）</w:t>
            </w:r>
            <w:r>
              <w:rPr>
                <w:rFonts w:hint="default" w:ascii="Times New Roman" w:hAnsi="Times New Roman" w:cs="Times New Roman"/>
                <w:color w:val="auto"/>
                <w:szCs w:val="21"/>
                <w:highlight w:val="none"/>
              </w:rPr>
              <w:t>供热</w:t>
            </w:r>
            <w:r>
              <w:rPr>
                <w:rFonts w:hint="default" w:cs="Times New Roman"/>
                <w:color w:val="auto"/>
                <w:szCs w:val="21"/>
                <w:highlight w:val="none"/>
                <w:lang w:val="en-US" w:eastAsia="zh-CN"/>
              </w:rPr>
              <w:t>供暖</w:t>
            </w:r>
            <w:r>
              <w:rPr>
                <w:rFonts w:hint="default" w:ascii="Times New Roman" w:hAnsi="Times New Roman" w:cs="Times New Roman"/>
                <w:color w:val="auto"/>
                <w:szCs w:val="21"/>
                <w:highlight w:val="none"/>
              </w:rPr>
              <w:t>：</w:t>
            </w:r>
          </w:p>
          <w:p w14:paraId="7C9CDC50">
            <w:pPr>
              <w:pStyle w:val="69"/>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eastAsia="宋体" w:cs="Times New Roman"/>
                <w:b w:val="0"/>
                <w:bCs/>
                <w:color w:val="auto"/>
                <w:sz w:val="21"/>
                <w:szCs w:val="21"/>
                <w:highlight w:val="none"/>
                <w:lang w:eastAsia="zh-CN"/>
              </w:rPr>
              <w:t>本项目</w:t>
            </w:r>
            <w:r>
              <w:rPr>
                <w:rFonts w:hint="default" w:ascii="Times New Roman" w:hAnsi="Times New Roman" w:eastAsia="宋体" w:cs="Times New Roman"/>
                <w:b w:val="0"/>
                <w:bCs w:val="0"/>
                <w:color w:val="auto"/>
                <w:kern w:val="0"/>
                <w:sz w:val="21"/>
                <w:szCs w:val="21"/>
                <w:highlight w:val="none"/>
                <w:lang w:val="en-US" w:eastAsia="zh-CN"/>
              </w:rPr>
              <w:t>新建</w:t>
            </w:r>
            <w:r>
              <w:rPr>
                <w:rFonts w:hint="eastAsia" w:cs="Times New Roman"/>
                <w:b w:val="0"/>
                <w:bCs w:val="0"/>
                <w:color w:val="auto"/>
                <w:kern w:val="0"/>
                <w:sz w:val="21"/>
                <w:szCs w:val="21"/>
                <w:highlight w:val="none"/>
                <w:lang w:val="en-US" w:eastAsia="zh-CN"/>
              </w:rPr>
              <w:t>2</w:t>
            </w:r>
            <w:r>
              <w:rPr>
                <w:rFonts w:hint="default" w:ascii="Times New Roman" w:hAnsi="Times New Roman" w:eastAsia="宋体" w:cs="Times New Roman"/>
                <w:b w:val="0"/>
                <w:bCs w:val="0"/>
                <w:color w:val="auto"/>
                <w:kern w:val="0"/>
                <w:sz w:val="21"/>
                <w:szCs w:val="21"/>
                <w:highlight w:val="none"/>
                <w:lang w:val="en-US" w:eastAsia="zh-CN"/>
              </w:rPr>
              <w:t>台</w:t>
            </w:r>
            <w:r>
              <w:rPr>
                <w:rFonts w:hint="eastAsia" w:cs="Times New Roman"/>
                <w:b w:val="0"/>
                <w:bCs w:val="0"/>
                <w:color w:val="auto"/>
                <w:kern w:val="0"/>
                <w:sz w:val="21"/>
                <w:szCs w:val="21"/>
                <w:highlight w:val="none"/>
                <w:lang w:val="en-US" w:eastAsia="zh-CN"/>
              </w:rPr>
              <w:t>360kcal/h生物质燃烧器</w:t>
            </w:r>
            <w:r>
              <w:rPr>
                <w:rFonts w:hint="default" w:ascii="Times New Roman" w:hAnsi="Times New Roman" w:eastAsia="宋体" w:cs="Times New Roman"/>
                <w:b w:val="0"/>
                <w:bCs w:val="0"/>
                <w:color w:val="auto"/>
                <w:sz w:val="21"/>
                <w:szCs w:val="21"/>
                <w:highlight w:val="none"/>
                <w:lang w:val="en-US" w:eastAsia="zh-CN"/>
              </w:rPr>
              <w:t>，用于生产用热。</w:t>
            </w:r>
            <w:r>
              <w:rPr>
                <w:rFonts w:hint="eastAsia" w:cs="Times New Roman"/>
                <w:b w:val="0"/>
                <w:bCs w:val="0"/>
                <w:color w:val="auto"/>
                <w:sz w:val="21"/>
                <w:szCs w:val="21"/>
                <w:highlight w:val="none"/>
                <w:lang w:val="en-US" w:eastAsia="zh-CN"/>
              </w:rPr>
              <w:t>办公室采用</w:t>
            </w:r>
            <w:r>
              <w:rPr>
                <w:rFonts w:hint="eastAsia" w:cs="Times New Roman"/>
                <w:b w:val="0"/>
                <w:bCs/>
                <w:color w:val="auto"/>
                <w:sz w:val="21"/>
                <w:szCs w:val="21"/>
                <w:highlight w:val="none"/>
                <w:lang w:val="en-US" w:eastAsia="zh-CN"/>
              </w:rPr>
              <w:t>电取暖</w:t>
            </w:r>
            <w:r>
              <w:rPr>
                <w:rFonts w:hint="default" w:ascii="Times New Roman" w:hAnsi="Times New Roman" w:cs="Times New Roman"/>
                <w:b w:val="0"/>
                <w:bCs/>
                <w:color w:val="auto"/>
                <w:sz w:val="21"/>
                <w:szCs w:val="21"/>
                <w:highlight w:val="none"/>
                <w:lang w:val="en-US" w:eastAsia="zh-CN"/>
              </w:rPr>
              <w:t>。</w:t>
            </w:r>
          </w:p>
          <w:p w14:paraId="3139D2B6">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ascii="Times New Roman" w:hAnsi="Times New Roman" w:eastAsia="宋体" w:cs="Times New Roman"/>
                <w:bCs/>
                <w:color w:val="auto"/>
                <w:sz w:val="21"/>
                <w:szCs w:val="21"/>
                <w:highlight w:val="none"/>
              </w:rPr>
            </w:pPr>
            <w:r>
              <w:rPr>
                <w:rFonts w:hint="eastAsia" w:cs="Times New Roman"/>
                <w:bCs/>
                <w:color w:val="auto"/>
                <w:sz w:val="21"/>
                <w:szCs w:val="21"/>
                <w:highlight w:val="none"/>
                <w:lang w:val="en-US" w:eastAsia="zh-CN"/>
              </w:rPr>
              <w:t>生物质燃烧器</w:t>
            </w:r>
            <w:r>
              <w:rPr>
                <w:rFonts w:hint="default" w:ascii="Times New Roman" w:hAnsi="Times New Roman" w:eastAsia="宋体" w:cs="Times New Roman"/>
                <w:bCs/>
                <w:color w:val="auto"/>
                <w:sz w:val="21"/>
                <w:szCs w:val="21"/>
                <w:highlight w:val="none"/>
              </w:rPr>
              <w:t>燃料使用量：</w:t>
            </w:r>
          </w:p>
          <w:p w14:paraId="559503F6">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根据</w:t>
            </w:r>
            <w:r>
              <w:rPr>
                <w:rFonts w:hint="eastAsia" w:ascii="Times New Roman" w:hAnsi="Times New Roman" w:cs="Times New Roman"/>
                <w:color w:val="auto"/>
                <w:sz w:val="21"/>
                <w:szCs w:val="21"/>
                <w:highlight w:val="none"/>
                <w:lang w:val="en-US" w:eastAsia="zh-CN"/>
              </w:rPr>
              <w:t>生物质</w:t>
            </w:r>
            <w:r>
              <w:rPr>
                <w:rFonts w:hint="default" w:ascii="Times New Roman" w:hAnsi="Times New Roman" w:cs="Times New Roman"/>
                <w:color w:val="auto"/>
                <w:sz w:val="21"/>
                <w:szCs w:val="21"/>
                <w:highlight w:val="none"/>
                <w:lang w:val="en-US" w:eastAsia="zh-CN"/>
              </w:rPr>
              <w:t>燃料</w:t>
            </w:r>
            <w:r>
              <w:rPr>
                <w:rFonts w:hint="eastAsia" w:cs="Times New Roman"/>
                <w:color w:val="auto"/>
                <w:sz w:val="21"/>
                <w:szCs w:val="21"/>
                <w:highlight w:val="none"/>
                <w:lang w:val="en-US" w:eastAsia="zh-CN"/>
              </w:rPr>
              <w:t>分析报告，</w:t>
            </w:r>
            <w:r>
              <w:rPr>
                <w:rFonts w:hint="default" w:ascii="Times New Roman" w:hAnsi="Times New Roman" w:cs="Times New Roman"/>
                <w:color w:val="auto"/>
                <w:sz w:val="21"/>
                <w:szCs w:val="21"/>
                <w:highlight w:val="none"/>
                <w:lang w:val="en-US" w:eastAsia="zh-CN"/>
              </w:rPr>
              <w:t>热值取</w:t>
            </w:r>
            <w:r>
              <w:rPr>
                <w:rFonts w:hint="eastAsia" w:cs="Times New Roman"/>
                <w:color w:val="auto"/>
                <w:sz w:val="21"/>
                <w:szCs w:val="21"/>
                <w:highlight w:val="none"/>
                <w:lang w:val="en-US" w:eastAsia="zh-CN"/>
              </w:rPr>
              <w:t>4193</w:t>
            </w:r>
            <w:r>
              <w:rPr>
                <w:rFonts w:hint="default" w:ascii="Times New Roman" w:hAnsi="Times New Roman" w:cs="Times New Roman"/>
                <w:color w:val="auto"/>
                <w:sz w:val="21"/>
                <w:szCs w:val="21"/>
                <w:highlight w:val="none"/>
                <w:lang w:val="en-US" w:eastAsia="zh-CN"/>
              </w:rPr>
              <w:t>kcal/kg（</w:t>
            </w:r>
            <w:r>
              <w:rPr>
                <w:rFonts w:hint="eastAsia" w:cs="Times New Roman"/>
                <w:color w:val="auto"/>
                <w:sz w:val="21"/>
                <w:szCs w:val="21"/>
                <w:highlight w:val="none"/>
                <w:lang w:val="en-US" w:eastAsia="zh-CN"/>
              </w:rPr>
              <w:t>17.52</w:t>
            </w:r>
            <w:r>
              <w:rPr>
                <w:rFonts w:hint="default" w:ascii="Times New Roman" w:hAnsi="Times New Roman" w:cs="Times New Roman"/>
                <w:color w:val="auto"/>
                <w:sz w:val="21"/>
                <w:szCs w:val="21"/>
                <w:highlight w:val="none"/>
                <w:lang w:val="en-US" w:eastAsia="zh-CN"/>
              </w:rPr>
              <w:t>MJ/kg），</w:t>
            </w:r>
            <w:r>
              <w:rPr>
                <w:rFonts w:hint="eastAsia" w:cs="Times New Roman"/>
                <w:color w:val="auto"/>
                <w:sz w:val="21"/>
                <w:szCs w:val="21"/>
                <w:highlight w:val="none"/>
                <w:lang w:val="en-US" w:eastAsia="zh-CN"/>
              </w:rPr>
              <w:t>燃烧器</w:t>
            </w:r>
            <w:r>
              <w:rPr>
                <w:rFonts w:hint="default" w:ascii="Times New Roman" w:hAnsi="Times New Roman" w:cs="Times New Roman"/>
                <w:color w:val="auto"/>
                <w:sz w:val="21"/>
                <w:szCs w:val="21"/>
                <w:highlight w:val="none"/>
                <w:lang w:val="en-US" w:eastAsia="zh-CN"/>
              </w:rPr>
              <w:t>热效率为</w:t>
            </w:r>
            <w:r>
              <w:rPr>
                <w:rFonts w:hint="eastAsia" w:ascii="Times New Roman" w:hAnsi="Times New Roman" w:cs="Times New Roman"/>
                <w:color w:val="auto"/>
                <w:sz w:val="21"/>
                <w:szCs w:val="21"/>
                <w:highlight w:val="none"/>
                <w:lang w:val="en-US" w:eastAsia="zh-CN"/>
              </w:rPr>
              <w:t>80</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本项目</w:t>
            </w:r>
            <w:r>
              <w:rPr>
                <w:rFonts w:hint="default" w:ascii="Times New Roman" w:hAnsi="Times New Roman" w:cs="Times New Roman"/>
                <w:color w:val="auto"/>
                <w:sz w:val="21"/>
                <w:szCs w:val="21"/>
                <w:highlight w:val="none"/>
                <w:lang w:val="en-US" w:eastAsia="zh-CN"/>
              </w:rPr>
              <w:t>参考尹协镇《粮食烘干过程中不同外部条件对烘干能耗的影响》，每烘干1kg水能耗取5400kJ/kg。</w:t>
            </w:r>
          </w:p>
          <w:p w14:paraId="67D9794E">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本项目水分蒸发量依据W=G（ω1-ω2）/（100-ω2）进行计算。</w:t>
            </w:r>
          </w:p>
          <w:p w14:paraId="63BD9097">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W：水分蒸发量</w:t>
            </w:r>
          </w:p>
          <w:p w14:paraId="41BF353A">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G：处理量（</w:t>
            </w:r>
            <w:r>
              <w:rPr>
                <w:rFonts w:hint="eastAsia" w:cs="Times New Roman"/>
                <w:color w:val="auto"/>
                <w:sz w:val="21"/>
                <w:szCs w:val="21"/>
                <w:highlight w:val="none"/>
                <w:lang w:val="en-US" w:eastAsia="zh-CN"/>
              </w:rPr>
              <w:t>玉米芯为23000t，秸秆为7360</w:t>
            </w:r>
            <w:r>
              <w:rPr>
                <w:rFonts w:hint="eastAsia" w:ascii="Times New Roman" w:hAnsi="Times New Roman" w:cs="Times New Roman"/>
                <w:color w:val="auto"/>
                <w:sz w:val="21"/>
                <w:szCs w:val="21"/>
                <w:highlight w:val="none"/>
                <w:lang w:val="en-US" w:eastAsia="zh-CN"/>
              </w:rPr>
              <w:t>t</w:t>
            </w:r>
            <w:r>
              <w:rPr>
                <w:rFonts w:hint="eastAsia" w:cs="Times New Roman"/>
                <w:color w:val="auto"/>
                <w:sz w:val="21"/>
                <w:szCs w:val="21"/>
                <w:highlight w:val="none"/>
                <w:lang w:val="en-US" w:eastAsia="zh-CN"/>
              </w:rPr>
              <w:t>；菌渣为9200t，木头</w:t>
            </w:r>
            <w:r>
              <w:rPr>
                <w:rFonts w:hint="eastAsia" w:ascii="Times New Roman" w:hAnsi="Times New Roman" w:cs="Times New Roman"/>
                <w:color w:val="auto"/>
                <w:sz w:val="21"/>
                <w:szCs w:val="21"/>
                <w:highlight w:val="none"/>
                <w:lang w:val="en-US" w:eastAsia="zh-CN"/>
              </w:rPr>
              <w:t>为</w:t>
            </w:r>
            <w:r>
              <w:rPr>
                <w:rFonts w:hint="eastAsia" w:cs="Times New Roman"/>
                <w:color w:val="auto"/>
                <w:sz w:val="21"/>
                <w:szCs w:val="21"/>
                <w:highlight w:val="none"/>
                <w:lang w:val="en-US" w:eastAsia="zh-CN"/>
              </w:rPr>
              <w:t>3066</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lang w:val="en-US" w:eastAsia="zh-CN"/>
              </w:rPr>
              <w:t>）</w:t>
            </w:r>
          </w:p>
          <w:p w14:paraId="01EFECF7">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ω1：进料含水量百分数（</w:t>
            </w:r>
            <w:r>
              <w:rPr>
                <w:rFonts w:hint="eastAsia" w:cs="Times New Roman"/>
                <w:color w:val="auto"/>
                <w:sz w:val="21"/>
                <w:szCs w:val="21"/>
                <w:highlight w:val="none"/>
                <w:lang w:val="en-US" w:eastAsia="zh-CN"/>
              </w:rPr>
              <w:t>玉米芯</w:t>
            </w:r>
            <w:r>
              <w:rPr>
                <w:rFonts w:hint="eastAsia" w:ascii="Times New Roman" w:hAnsi="Times New Roman" w:cs="Times New Roman"/>
                <w:color w:val="auto"/>
                <w:sz w:val="21"/>
                <w:szCs w:val="21"/>
                <w:highlight w:val="none"/>
                <w:lang w:val="en-US" w:eastAsia="zh-CN"/>
              </w:rPr>
              <w:t>取60%</w:t>
            </w:r>
            <w:r>
              <w:rPr>
                <w:rFonts w:hint="eastAsia" w:cs="Times New Roman"/>
                <w:color w:val="auto"/>
                <w:sz w:val="21"/>
                <w:szCs w:val="21"/>
                <w:highlight w:val="none"/>
                <w:lang w:val="en-US" w:eastAsia="zh-CN"/>
              </w:rPr>
              <w:t>；秸秆取50%；菌渣取60%；木头</w:t>
            </w:r>
            <w:r>
              <w:rPr>
                <w:rFonts w:hint="eastAsia" w:ascii="Times New Roman" w:hAnsi="Times New Roman" w:cs="Times New Roman"/>
                <w:color w:val="auto"/>
                <w:sz w:val="21"/>
                <w:szCs w:val="21"/>
                <w:highlight w:val="none"/>
                <w:lang w:val="en-US" w:eastAsia="zh-CN"/>
              </w:rPr>
              <w:t>取40%</w:t>
            </w:r>
            <w:r>
              <w:rPr>
                <w:rFonts w:hint="default" w:ascii="Times New Roman" w:hAnsi="Times New Roman" w:cs="Times New Roman"/>
                <w:color w:val="auto"/>
                <w:sz w:val="21"/>
                <w:szCs w:val="21"/>
                <w:highlight w:val="none"/>
                <w:lang w:val="en-US" w:eastAsia="zh-CN"/>
              </w:rPr>
              <w:t>）</w:t>
            </w:r>
          </w:p>
          <w:p w14:paraId="4469D96B">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ω2：出料含水量百分数（</w:t>
            </w:r>
            <w:r>
              <w:rPr>
                <w:rFonts w:hint="eastAsia" w:cs="Times New Roman"/>
                <w:color w:val="auto"/>
                <w:sz w:val="21"/>
                <w:szCs w:val="21"/>
                <w:highlight w:val="none"/>
                <w:lang w:val="en-US" w:eastAsia="zh-CN"/>
              </w:rPr>
              <w:t>15%</w:t>
            </w:r>
            <w:r>
              <w:rPr>
                <w:rFonts w:hint="default" w:ascii="Times New Roman" w:hAnsi="Times New Roman" w:cs="Times New Roman"/>
                <w:color w:val="auto"/>
                <w:sz w:val="21"/>
                <w:szCs w:val="21"/>
                <w:highlight w:val="none"/>
                <w:lang w:val="en-US" w:eastAsia="zh-CN"/>
              </w:rPr>
              <w:t>）</w:t>
            </w:r>
          </w:p>
          <w:p w14:paraId="1A4383D7">
            <w:pPr>
              <w:pStyle w:val="3"/>
              <w:keepNext w:val="0"/>
              <w:keepLines w:val="0"/>
              <w:suppressLineNumbers w:val="0"/>
              <w:spacing w:before="0" w:beforeAutospacing="0" w:after="0" w:afterAutospacing="0"/>
              <w:ind w:left="0" w:leftChars="0" w:right="0" w:firstLine="420" w:firstLineChars="200"/>
              <w:rPr>
                <w:rFonts w:hint="default"/>
                <w:color w:val="auto"/>
                <w:highlight w:val="none"/>
                <w:lang w:val="en-US" w:eastAsia="zh-CN"/>
              </w:rPr>
            </w:pPr>
            <w:r>
              <w:rPr>
                <w:rFonts w:hint="eastAsia" w:ascii="Times New Roman" w:hAnsi="Times New Roman" w:cs="Times New Roman"/>
                <w:color w:val="auto"/>
                <w:sz w:val="21"/>
                <w:szCs w:val="21"/>
                <w:highlight w:val="none"/>
                <w:lang w:val="en-US" w:eastAsia="zh-CN"/>
              </w:rPr>
              <w:t>本项目水分蒸发总量为</w:t>
            </w:r>
            <w:r>
              <w:rPr>
                <w:rFonts w:hint="default" w:ascii="Times New Roman" w:hAnsi="Times New Roman" w:cs="Times New Roman"/>
                <w:color w:val="auto"/>
                <w:sz w:val="21"/>
                <w:szCs w:val="21"/>
                <w:highlight w:val="none"/>
                <w:lang w:val="en-US" w:eastAsia="zh-CN"/>
              </w:rPr>
              <w:t>W=</w:t>
            </w:r>
            <w:r>
              <w:rPr>
                <w:rFonts w:hint="eastAsia" w:cs="Times New Roman"/>
                <w:color w:val="auto"/>
                <w:sz w:val="21"/>
                <w:szCs w:val="21"/>
                <w:highlight w:val="none"/>
                <w:lang w:val="en-US" w:eastAsia="zh-CN"/>
              </w:rPr>
              <w:t>20979.4</w:t>
            </w:r>
            <w:r>
              <w:rPr>
                <w:rFonts w:hint="default" w:ascii="Times New Roman" w:hAnsi="Times New Roman" w:cs="Times New Roman"/>
                <w:color w:val="auto"/>
                <w:sz w:val="21"/>
                <w:szCs w:val="21"/>
                <w:highlight w:val="none"/>
                <w:lang w:val="en-US" w:eastAsia="zh-CN"/>
              </w:rPr>
              <w:t>t/a</w:t>
            </w:r>
            <w:r>
              <w:rPr>
                <w:rFonts w:hint="eastAsia" w:ascii="Times New Roman" w:hAnsi="Times New Roman" w:cs="Times New Roman"/>
                <w:color w:val="auto"/>
                <w:sz w:val="21"/>
                <w:szCs w:val="21"/>
                <w:highlight w:val="none"/>
                <w:lang w:val="en-US" w:eastAsia="zh-CN"/>
              </w:rPr>
              <w:t>。</w:t>
            </w:r>
          </w:p>
          <w:p w14:paraId="5EFCE17C">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烘干能耗为E=</w:t>
            </w:r>
            <w:r>
              <w:rPr>
                <w:rFonts w:hint="eastAsia" w:ascii="Times New Roman" w:hAnsi="Times New Roman" w:cs="Times New Roman"/>
                <w:color w:val="auto"/>
                <w:sz w:val="21"/>
                <w:szCs w:val="21"/>
                <w:highlight w:val="none"/>
                <w:lang w:val="en-US" w:eastAsia="zh-CN"/>
              </w:rPr>
              <w:t>W</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能耗</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1.1329</w:t>
            </w:r>
            <w:r>
              <w:rPr>
                <w:rFonts w:hint="default" w:ascii="Times New Roman" w:hAnsi="Times New Roman" w:cs="Times New Roman"/>
                <w:color w:val="auto"/>
                <w:sz w:val="21"/>
                <w:szCs w:val="21"/>
                <w:highlight w:val="none"/>
                <w:lang w:val="en-US" w:eastAsia="zh-CN"/>
              </w:rPr>
              <w:t>×10</w:t>
            </w:r>
            <w:r>
              <w:rPr>
                <w:rFonts w:hint="eastAsia" w:cs="Times New Roman"/>
                <w:color w:val="auto"/>
                <w:sz w:val="21"/>
                <w:szCs w:val="21"/>
                <w:highlight w:val="none"/>
                <w:vertAlign w:val="superscript"/>
                <w:lang w:val="en-US" w:eastAsia="zh-CN"/>
              </w:rPr>
              <w:t>11</w:t>
            </w:r>
            <w:r>
              <w:rPr>
                <w:rFonts w:hint="eastAsia" w:ascii="Times New Roman" w:hAnsi="Times New Roman" w:cs="Times New Roman"/>
                <w:color w:val="auto"/>
                <w:sz w:val="21"/>
                <w:szCs w:val="21"/>
                <w:highlight w:val="none"/>
                <w:lang w:val="en-US" w:eastAsia="zh-CN"/>
              </w:rPr>
              <w:t>k</w:t>
            </w:r>
            <w:r>
              <w:rPr>
                <w:rFonts w:hint="default" w:ascii="Times New Roman" w:hAnsi="Times New Roman" w:cs="Times New Roman"/>
                <w:color w:val="auto"/>
                <w:sz w:val="21"/>
                <w:szCs w:val="21"/>
                <w:highlight w:val="none"/>
                <w:lang w:val="en-US" w:eastAsia="zh-CN"/>
              </w:rPr>
              <w:t>J</w:t>
            </w:r>
          </w:p>
          <w:p w14:paraId="0C6B1319">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燃料消耗量=</w:t>
            </w:r>
            <w:r>
              <w:rPr>
                <w:rFonts w:hint="eastAsia" w:ascii="Times New Roman" w:hAnsi="Times New Roman" w:cs="Times New Roman"/>
                <w:color w:val="auto"/>
                <w:sz w:val="21"/>
                <w:szCs w:val="21"/>
                <w:highlight w:val="none"/>
                <w:lang w:val="en-US" w:eastAsia="zh-CN"/>
              </w:rPr>
              <w:t>E</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热值</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热效率</w:t>
            </w: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8082</w:t>
            </w:r>
            <w:r>
              <w:rPr>
                <w:rFonts w:hint="default" w:ascii="Times New Roman" w:hAnsi="Times New Roman" w:cs="Times New Roman"/>
                <w:color w:val="auto"/>
                <w:sz w:val="21"/>
                <w:szCs w:val="21"/>
                <w:highlight w:val="none"/>
                <w:lang w:val="en-US" w:eastAsia="zh-CN"/>
              </w:rPr>
              <w:t>t/a</w:t>
            </w:r>
          </w:p>
          <w:p w14:paraId="26B28936">
            <w:pPr>
              <w:keepNext w:val="0"/>
              <w:keepLines w:val="0"/>
              <w:pageBreakBefore w:val="0"/>
              <w:widowControl/>
              <w:numPr>
                <w:ilvl w:val="-1"/>
                <w:numId w:val="0"/>
              </w:numPr>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left"/>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综上，本项目</w:t>
            </w:r>
            <w:r>
              <w:rPr>
                <w:rFonts w:hint="eastAsia" w:cs="Times New Roman"/>
                <w:color w:val="auto"/>
                <w:sz w:val="21"/>
                <w:szCs w:val="21"/>
                <w:highlight w:val="none"/>
                <w:lang w:val="en-US" w:eastAsia="zh-CN"/>
              </w:rPr>
              <w:t>生物质</w:t>
            </w:r>
            <w:r>
              <w:rPr>
                <w:rFonts w:hint="default" w:ascii="Times New Roman" w:hAnsi="Times New Roman" w:eastAsia="宋体" w:cs="Times New Roman"/>
                <w:color w:val="auto"/>
                <w:sz w:val="21"/>
                <w:szCs w:val="21"/>
                <w:highlight w:val="none"/>
              </w:rPr>
              <w:t>燃料</w:t>
            </w:r>
            <w:r>
              <w:rPr>
                <w:rFonts w:hint="default" w:ascii="Times New Roman" w:hAnsi="Times New Roman" w:cs="Times New Roman"/>
                <w:color w:val="auto"/>
                <w:sz w:val="21"/>
                <w:szCs w:val="21"/>
                <w:highlight w:val="none"/>
                <w:lang w:val="en-US" w:eastAsia="zh-CN"/>
              </w:rPr>
              <w:t>总</w:t>
            </w:r>
            <w:r>
              <w:rPr>
                <w:rFonts w:hint="default" w:ascii="Times New Roman" w:hAnsi="Times New Roman" w:eastAsia="宋体" w:cs="Times New Roman"/>
                <w:color w:val="auto"/>
                <w:sz w:val="21"/>
                <w:szCs w:val="21"/>
                <w:highlight w:val="none"/>
              </w:rPr>
              <w:t>量为</w:t>
            </w:r>
            <w:r>
              <w:rPr>
                <w:rFonts w:hint="eastAsia" w:cs="Times New Roman"/>
                <w:color w:val="auto"/>
                <w:sz w:val="21"/>
                <w:szCs w:val="21"/>
                <w:highlight w:val="none"/>
                <w:lang w:val="en-US" w:eastAsia="zh-CN"/>
              </w:rPr>
              <w:t>8082</w:t>
            </w:r>
            <w:r>
              <w:rPr>
                <w:rFonts w:hint="eastAsia" w:ascii="Times New Roman" w:hAnsi="Times New Roman"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/a</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本项目2条生产线产能各为10000t，则1号生物质燃烧器燃料量为4041t/a，2号生物质燃烧器燃料量为4041t/a</w:t>
            </w:r>
            <w:r>
              <w:rPr>
                <w:rFonts w:hint="eastAsia" w:cs="Times New Roman"/>
                <w:color w:val="auto"/>
                <w:sz w:val="21"/>
                <w:szCs w:val="21"/>
                <w:highlight w:val="none"/>
                <w:lang w:eastAsia="zh-CN"/>
              </w:rPr>
              <w:t>。</w:t>
            </w:r>
          </w:p>
          <w:p w14:paraId="7BB07BE9">
            <w:pPr>
              <w:keepNext w:val="0"/>
              <w:keepLines w:val="0"/>
              <w:pageBreakBefore w:val="0"/>
              <w:widowControl/>
              <w:numPr>
                <w:ilvl w:val="-1"/>
                <w:numId w:val="0"/>
              </w:numPr>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left"/>
              <w:textAlignment w:val="auto"/>
              <w:rPr>
                <w:rFonts w:hint="default" w:ascii="Times New Roman" w:hAnsi="Times New Roman" w:cs="Times New Roman"/>
                <w:color w:val="auto"/>
                <w:szCs w:val="21"/>
                <w:highlight w:val="none"/>
                <w:lang w:val="en-US" w:eastAsia="zh-CN"/>
              </w:rPr>
            </w:pPr>
            <w:r>
              <w:rPr>
                <w:rFonts w:hint="eastAsia" w:cs="Times New Roman"/>
                <w:color w:val="auto"/>
                <w:szCs w:val="21"/>
                <w:highlight w:val="none"/>
                <w:lang w:eastAsia="zh-CN"/>
              </w:rPr>
              <w:t>（</w:t>
            </w:r>
            <w:r>
              <w:rPr>
                <w:rFonts w:hint="eastAsia" w:cs="Times New Roman"/>
                <w:color w:val="auto"/>
                <w:szCs w:val="21"/>
                <w:highlight w:val="none"/>
                <w:lang w:val="en-US" w:eastAsia="zh-CN"/>
              </w:rPr>
              <w:t>4</w:t>
            </w:r>
            <w:r>
              <w:rPr>
                <w:rFonts w:hint="eastAsia" w:cs="Times New Roman"/>
                <w:color w:val="auto"/>
                <w:szCs w:val="21"/>
                <w:highlight w:val="none"/>
                <w:lang w:eastAsia="zh-CN"/>
              </w:rPr>
              <w:t>）</w:t>
            </w:r>
            <w:r>
              <w:rPr>
                <w:rFonts w:hint="default" w:ascii="Times New Roman" w:hAnsi="Times New Roman" w:cs="Times New Roman"/>
                <w:color w:val="auto"/>
                <w:szCs w:val="21"/>
                <w:highlight w:val="none"/>
              </w:rPr>
              <w:t>供电：本项目供电由</w:t>
            </w:r>
            <w:r>
              <w:rPr>
                <w:rFonts w:hint="default" w:ascii="Times New Roman" w:hAnsi="Times New Roman" w:cs="Times New Roman"/>
                <w:color w:val="auto"/>
                <w:kern w:val="2"/>
                <w:szCs w:val="21"/>
                <w:highlight w:val="none"/>
              </w:rPr>
              <w:t>当地电业局提供</w:t>
            </w:r>
            <w:r>
              <w:rPr>
                <w:rFonts w:hint="default" w:ascii="Times New Roman" w:hAnsi="Times New Roman" w:cs="Times New Roman"/>
                <w:color w:val="auto"/>
                <w:szCs w:val="21"/>
                <w:highlight w:val="none"/>
                <w:lang w:val="en-US" w:eastAsia="zh-CN"/>
              </w:rPr>
              <w:t>。</w:t>
            </w:r>
          </w:p>
          <w:p w14:paraId="2795932B">
            <w:pPr>
              <w:pStyle w:val="15"/>
              <w:keepNext w:val="0"/>
              <w:keepLines w:val="0"/>
              <w:pageBreakBefore w:val="0"/>
              <w:widowControl/>
              <w:suppressLineNumbers w:val="0"/>
              <w:kinsoku/>
              <w:wordWrap/>
              <w:overflowPunct/>
              <w:topLinePunct w:val="0"/>
              <w:autoSpaceDE/>
              <w:autoSpaceDN/>
              <w:bidi w:val="0"/>
              <w:snapToGrid/>
              <w:spacing w:before="0" w:beforeAutospacing="0" w:after="0" w:afterAutospacing="0" w:line="360" w:lineRule="auto"/>
              <w:ind w:left="0" w:right="0" w:firstLine="422" w:firstLineChars="200"/>
              <w:jc w:val="both"/>
              <w:textAlignment w:val="auto"/>
              <w:rPr>
                <w:rFonts w:hint="default" w:ascii="Times New Roman" w:hAnsi="Times New Roman" w:cs="Times New Roman"/>
                <w:b/>
                <w:bCs/>
                <w:color w:val="auto"/>
                <w:kern w:val="21"/>
                <w:sz w:val="21"/>
                <w:szCs w:val="21"/>
                <w:highlight w:val="none"/>
              </w:rPr>
            </w:pPr>
            <w:r>
              <w:rPr>
                <w:rFonts w:hint="default" w:ascii="Times New Roman" w:hAnsi="Times New Roman" w:cs="Times New Roman"/>
                <w:b/>
                <w:bCs/>
                <w:color w:val="auto"/>
                <w:kern w:val="21"/>
                <w:sz w:val="21"/>
                <w:szCs w:val="21"/>
                <w:highlight w:val="none"/>
                <w:lang w:val="en-US" w:eastAsia="zh-CN"/>
              </w:rPr>
              <w:t>7</w:t>
            </w:r>
            <w:r>
              <w:rPr>
                <w:rFonts w:hint="default" w:ascii="Times New Roman" w:hAnsi="Times New Roman" w:cs="Times New Roman"/>
                <w:b/>
                <w:bCs/>
                <w:color w:val="auto"/>
                <w:kern w:val="21"/>
                <w:sz w:val="21"/>
                <w:szCs w:val="21"/>
                <w:highlight w:val="none"/>
              </w:rPr>
              <w:t>、本项目平面布置</w:t>
            </w:r>
          </w:p>
          <w:p w14:paraId="0D9E3122">
            <w:pPr>
              <w:keepNext w:val="0"/>
              <w:keepLines w:val="0"/>
              <w:widowControl/>
              <w:suppressLineNumbers w:val="0"/>
              <w:spacing w:before="0" w:beforeAutospacing="0" w:after="0" w:afterAutospacing="0" w:line="360" w:lineRule="auto"/>
              <w:ind w:left="0" w:right="0" w:firstLine="420" w:firstLineChars="200"/>
              <w:jc w:val="left"/>
              <w:rPr>
                <w:rFonts w:hint="default" w:ascii="Times New Roman" w:hAnsi="Times New Roman" w:cs="Times New Roman"/>
                <w:b/>
                <w:color w:val="auto"/>
                <w:kern w:val="0"/>
                <w:sz w:val="21"/>
                <w:szCs w:val="21"/>
                <w:highlight w:val="none"/>
                <w:lang w:val="en-US" w:eastAsia="zh-CN" w:bidi="ar"/>
              </w:rPr>
            </w:pPr>
            <w:r>
              <w:rPr>
                <w:rFonts w:hint="default" w:ascii="Times New Roman" w:hAnsi="Times New Roman" w:cs="Times New Roman"/>
                <w:color w:val="auto"/>
                <w:kern w:val="0"/>
                <w:szCs w:val="21"/>
                <w:highlight w:val="none"/>
              </w:rPr>
              <w:t>本项目</w:t>
            </w:r>
            <w:r>
              <w:rPr>
                <w:rFonts w:hint="eastAsia" w:cs="Times New Roman"/>
                <w:color w:val="auto"/>
                <w:kern w:val="0"/>
                <w:szCs w:val="21"/>
                <w:highlight w:val="none"/>
                <w:lang w:val="en-US" w:eastAsia="zh-CN"/>
              </w:rPr>
              <w:t>生产车间位于厂区南侧、东侧，热风炉房位于厂区东南角，办公室位于厂区北侧，原料堆场位于厂区西南侧空地，</w:t>
            </w:r>
            <w:r>
              <w:rPr>
                <w:rFonts w:hint="default" w:ascii="Times New Roman" w:hAnsi="Times New Roman" w:cs="Times New Roman"/>
                <w:color w:val="auto"/>
                <w:kern w:val="0"/>
                <w:szCs w:val="21"/>
                <w:highlight w:val="none"/>
              </w:rPr>
              <w:t>厂区</w:t>
            </w:r>
            <w:r>
              <w:rPr>
                <w:rFonts w:hint="default" w:ascii="Times New Roman" w:hAnsi="Times New Roman" w:cs="Times New Roman"/>
                <w:color w:val="auto"/>
                <w:kern w:val="21"/>
                <w:sz w:val="21"/>
                <w:szCs w:val="21"/>
                <w:highlight w:val="none"/>
                <w:lang w:eastAsia="zh-CN"/>
              </w:rPr>
              <w:t>功能区分明确，交通便利，总体布局合理</w:t>
            </w:r>
            <w:r>
              <w:rPr>
                <w:rFonts w:hint="default" w:ascii="Times New Roman" w:hAnsi="Times New Roman" w:cs="Times New Roman"/>
                <w:color w:val="auto"/>
                <w:kern w:val="0"/>
                <w:szCs w:val="21"/>
                <w:highlight w:val="none"/>
              </w:rPr>
              <w:t>。</w:t>
            </w:r>
          </w:p>
          <w:p w14:paraId="0CCC4FA3">
            <w:pPr>
              <w:keepNext w:val="0"/>
              <w:keepLines w:val="0"/>
              <w:widowControl/>
              <w:suppressLineNumbers w:val="0"/>
              <w:spacing w:before="0" w:beforeAutospacing="0" w:after="0" w:afterAutospacing="0" w:line="360" w:lineRule="auto"/>
              <w:ind w:left="0" w:right="0" w:firstLine="422" w:firstLineChars="200"/>
              <w:rPr>
                <w:rFonts w:hint="default" w:ascii="Times New Roman" w:hAnsi="Times New Roman" w:cs="Times New Roman"/>
                <w:color w:val="auto"/>
                <w:sz w:val="21"/>
                <w:szCs w:val="21"/>
                <w:highlight w:val="none"/>
              </w:rPr>
            </w:pPr>
            <w:r>
              <w:rPr>
                <w:rFonts w:hint="eastAsia" w:cs="Times New Roman"/>
                <w:b/>
                <w:color w:val="auto"/>
                <w:kern w:val="0"/>
                <w:sz w:val="21"/>
                <w:szCs w:val="21"/>
                <w:highlight w:val="none"/>
                <w:lang w:val="en-US" w:eastAsia="zh-CN" w:bidi="ar"/>
              </w:rPr>
              <w:t>8</w:t>
            </w:r>
            <w:r>
              <w:rPr>
                <w:rFonts w:hint="default" w:ascii="Times New Roman" w:hAnsi="Times New Roman" w:cs="Times New Roman"/>
                <w:b/>
                <w:color w:val="auto"/>
                <w:kern w:val="0"/>
                <w:sz w:val="21"/>
                <w:szCs w:val="21"/>
                <w:highlight w:val="none"/>
                <w:lang w:bidi="ar"/>
              </w:rPr>
              <w:t>、环保投资</w:t>
            </w:r>
          </w:p>
          <w:p w14:paraId="689B41DC">
            <w:pPr>
              <w:keepNext w:val="0"/>
              <w:keepLines w:val="0"/>
              <w:widowControl/>
              <w:suppressLineNumbers w:val="0"/>
              <w:spacing w:before="0" w:beforeAutospacing="0" w:after="0" w:afterAutospacing="0" w:line="360" w:lineRule="auto"/>
              <w:ind w:left="0" w:right="0" w:firstLine="420" w:firstLineChars="200"/>
              <w:rPr>
                <w:rFonts w:hint="default"/>
                <w:b/>
                <w:color w:val="auto"/>
                <w:sz w:val="21"/>
                <w:szCs w:val="21"/>
                <w:highlight w:val="none"/>
              </w:rPr>
            </w:pPr>
            <w:r>
              <w:rPr>
                <w:rFonts w:hint="default"/>
                <w:color w:val="auto"/>
                <w:sz w:val="21"/>
                <w:szCs w:val="21"/>
                <w:highlight w:val="none"/>
              </w:rPr>
              <w:t>本项目总投资</w:t>
            </w:r>
            <w:r>
              <w:rPr>
                <w:rFonts w:hint="eastAsia"/>
                <w:color w:val="auto"/>
                <w:szCs w:val="21"/>
                <w:highlight w:val="none"/>
                <w:lang w:val="en-US" w:eastAsia="zh-CN"/>
              </w:rPr>
              <w:t>200</w:t>
            </w:r>
            <w:r>
              <w:rPr>
                <w:rFonts w:hint="default"/>
                <w:color w:val="auto"/>
                <w:sz w:val="21"/>
                <w:szCs w:val="21"/>
                <w:highlight w:val="none"/>
              </w:rPr>
              <w:t>万元，其中环保投资</w:t>
            </w:r>
            <w:r>
              <w:rPr>
                <w:rFonts w:hint="eastAsia"/>
                <w:color w:val="auto"/>
                <w:sz w:val="21"/>
                <w:szCs w:val="21"/>
                <w:highlight w:val="none"/>
                <w:lang w:val="en-US" w:eastAsia="zh-CN"/>
              </w:rPr>
              <w:t>36</w:t>
            </w:r>
            <w:r>
              <w:rPr>
                <w:rFonts w:hint="default"/>
                <w:color w:val="auto"/>
                <w:sz w:val="21"/>
                <w:szCs w:val="21"/>
                <w:highlight w:val="none"/>
              </w:rPr>
              <w:t>万元，占总投资的</w:t>
            </w:r>
            <w:r>
              <w:rPr>
                <w:rFonts w:hint="eastAsia"/>
                <w:color w:val="auto"/>
                <w:sz w:val="21"/>
                <w:szCs w:val="21"/>
                <w:highlight w:val="none"/>
                <w:lang w:val="en-US" w:eastAsia="zh-CN"/>
              </w:rPr>
              <w:t>18</w:t>
            </w:r>
            <w:r>
              <w:rPr>
                <w:rFonts w:hint="default"/>
                <w:color w:val="auto"/>
                <w:sz w:val="21"/>
                <w:szCs w:val="21"/>
                <w:highlight w:val="none"/>
              </w:rPr>
              <w:t>%，详见表2-</w:t>
            </w:r>
            <w:r>
              <w:rPr>
                <w:rFonts w:hint="eastAsia"/>
                <w:color w:val="auto"/>
                <w:sz w:val="21"/>
                <w:szCs w:val="21"/>
                <w:highlight w:val="none"/>
                <w:lang w:val="en-US" w:eastAsia="zh-CN"/>
              </w:rPr>
              <w:t>9</w:t>
            </w:r>
            <w:r>
              <w:rPr>
                <w:rFonts w:hint="default"/>
                <w:color w:val="auto"/>
                <w:sz w:val="21"/>
                <w:szCs w:val="21"/>
                <w:highlight w:val="none"/>
              </w:rPr>
              <w:t>。</w:t>
            </w:r>
          </w:p>
          <w:p w14:paraId="410B9B6F">
            <w:pPr>
              <w:keepNext w:val="0"/>
              <w:keepLines w:val="0"/>
              <w:widowControl/>
              <w:suppressLineNumbers w:val="0"/>
              <w:spacing w:before="0" w:beforeAutospacing="0" w:after="0" w:afterAutospacing="0"/>
              <w:ind w:left="0" w:right="0" w:firstLine="422" w:firstLineChars="200"/>
              <w:jc w:val="center"/>
              <w:rPr>
                <w:rFonts w:hint="default"/>
                <w:b/>
                <w:color w:val="auto"/>
                <w:sz w:val="24"/>
                <w:szCs w:val="28"/>
                <w:highlight w:val="none"/>
              </w:rPr>
            </w:pPr>
            <w:r>
              <w:rPr>
                <w:rFonts w:hint="default"/>
                <w:b/>
                <w:color w:val="auto"/>
                <w:szCs w:val="21"/>
                <w:highlight w:val="none"/>
              </w:rPr>
              <w:t>表2-</w:t>
            </w:r>
            <w:r>
              <w:rPr>
                <w:rFonts w:hint="eastAsia"/>
                <w:b/>
                <w:color w:val="auto"/>
                <w:szCs w:val="21"/>
                <w:highlight w:val="none"/>
                <w:lang w:val="en-US" w:eastAsia="zh-CN"/>
              </w:rPr>
              <w:t>9</w:t>
            </w:r>
            <w:r>
              <w:rPr>
                <w:rFonts w:hint="default"/>
                <w:b/>
                <w:color w:val="auto"/>
                <w:szCs w:val="21"/>
                <w:highlight w:val="none"/>
              </w:rPr>
              <w:t>环保投资一览表</w:t>
            </w:r>
          </w:p>
          <w:tbl>
            <w:tblPr>
              <w:tblStyle w:val="34"/>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4"/>
              <w:gridCol w:w="1329"/>
              <w:gridCol w:w="4745"/>
              <w:gridCol w:w="1296"/>
            </w:tblGrid>
            <w:tr w14:paraId="5FB6370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884" w:type="dxa"/>
                  <w:tcBorders>
                    <w:tl2br w:val="nil"/>
                    <w:tr2bl w:val="nil"/>
                  </w:tcBorders>
                  <w:noWrap w:val="0"/>
                  <w:vAlign w:val="center"/>
                </w:tcPr>
                <w:p w14:paraId="1EE8EAB6">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lang w:eastAsia="zh-CN"/>
                    </w:rPr>
                    <w:t>序号</w:t>
                  </w:r>
                </w:p>
              </w:tc>
              <w:tc>
                <w:tcPr>
                  <w:tcW w:w="1329" w:type="dxa"/>
                  <w:tcBorders>
                    <w:tl2br w:val="nil"/>
                    <w:tr2bl w:val="nil"/>
                  </w:tcBorders>
                  <w:noWrap w:val="0"/>
                  <w:vAlign w:val="center"/>
                </w:tcPr>
                <w:p w14:paraId="3B55C88D">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处理项目</w:t>
                  </w:r>
                </w:p>
              </w:tc>
              <w:tc>
                <w:tcPr>
                  <w:tcW w:w="4745" w:type="dxa"/>
                  <w:tcBorders>
                    <w:tl2br w:val="nil"/>
                    <w:tr2bl w:val="nil"/>
                  </w:tcBorders>
                  <w:noWrap w:val="0"/>
                  <w:vAlign w:val="center"/>
                </w:tcPr>
                <w:p w14:paraId="2DDEEBAF">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处理措施</w:t>
                  </w:r>
                </w:p>
              </w:tc>
              <w:tc>
                <w:tcPr>
                  <w:tcW w:w="1296" w:type="dxa"/>
                  <w:tcBorders>
                    <w:tl2br w:val="nil"/>
                    <w:tr2bl w:val="nil"/>
                  </w:tcBorders>
                  <w:noWrap w:val="0"/>
                  <w:vAlign w:val="center"/>
                </w:tcPr>
                <w:p w14:paraId="0F74C7C2">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投资（万元）</w:t>
                  </w:r>
                </w:p>
              </w:tc>
            </w:tr>
            <w:tr w14:paraId="3639323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dxa"/>
                  <w:tcBorders>
                    <w:tl2br w:val="nil"/>
                    <w:tr2bl w:val="nil"/>
                  </w:tcBorders>
                  <w:noWrap w:val="0"/>
                  <w:vAlign w:val="center"/>
                </w:tcPr>
                <w:p w14:paraId="58E7AF31">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w:t>
                  </w:r>
                </w:p>
              </w:tc>
              <w:tc>
                <w:tcPr>
                  <w:tcW w:w="1329" w:type="dxa"/>
                  <w:vMerge w:val="restart"/>
                  <w:tcBorders>
                    <w:tl2br w:val="nil"/>
                    <w:tr2bl w:val="nil"/>
                  </w:tcBorders>
                  <w:noWrap w:val="0"/>
                  <w:vAlign w:val="center"/>
                </w:tcPr>
                <w:p w14:paraId="6CD62882">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废气治理</w:t>
                  </w:r>
                </w:p>
              </w:tc>
              <w:tc>
                <w:tcPr>
                  <w:tcW w:w="4745" w:type="dxa"/>
                  <w:tcBorders>
                    <w:tl2br w:val="nil"/>
                    <w:tr2bl w:val="nil"/>
                  </w:tcBorders>
                  <w:noWrap w:val="0"/>
                  <w:vAlign w:val="center"/>
                </w:tcPr>
                <w:p w14:paraId="6C456FFA">
                  <w:pPr>
                    <w:keepNext w:val="0"/>
                    <w:keepLines w:val="0"/>
                    <w:suppressLineNumbers w:val="0"/>
                    <w:snapToGrid w:val="0"/>
                    <w:spacing w:before="0" w:beforeAutospacing="0" w:after="0" w:afterAutospacing="0"/>
                    <w:ind w:left="0" w:right="0"/>
                    <w:jc w:val="center"/>
                    <w:rPr>
                      <w:rFonts w:hint="default"/>
                      <w:color w:val="auto"/>
                      <w:highlight w:val="none"/>
                      <w:lang w:val="en-US" w:eastAsia="zh-CN"/>
                    </w:rPr>
                  </w:pPr>
                  <w:r>
                    <w:rPr>
                      <w:rFonts w:hint="eastAsia" w:cs="Times New Roman"/>
                      <w:color w:val="auto"/>
                      <w:sz w:val="18"/>
                      <w:szCs w:val="18"/>
                      <w:highlight w:val="none"/>
                      <w:lang w:val="en-US" w:eastAsia="zh-CN"/>
                    </w:rPr>
                    <w:t>4台布袋除尘器</w:t>
                  </w:r>
                </w:p>
              </w:tc>
              <w:tc>
                <w:tcPr>
                  <w:tcW w:w="1296" w:type="dxa"/>
                  <w:tcBorders>
                    <w:tl2br w:val="nil"/>
                    <w:tr2bl w:val="nil"/>
                  </w:tcBorders>
                  <w:noWrap w:val="0"/>
                  <w:vAlign w:val="center"/>
                </w:tcPr>
                <w:p w14:paraId="1A252B2D">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24</w:t>
                  </w:r>
                </w:p>
              </w:tc>
            </w:tr>
            <w:tr w14:paraId="3E1E9A0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dxa"/>
                  <w:tcBorders>
                    <w:tl2br w:val="nil"/>
                    <w:tr2bl w:val="nil"/>
                  </w:tcBorders>
                  <w:shd w:val="clear" w:color="auto" w:fill="auto"/>
                  <w:noWrap w:val="0"/>
                  <w:vAlign w:val="center"/>
                </w:tcPr>
                <w:p w14:paraId="1D06C8E1">
                  <w:pPr>
                    <w:pStyle w:val="100"/>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2</w:t>
                  </w:r>
                </w:p>
              </w:tc>
              <w:tc>
                <w:tcPr>
                  <w:tcW w:w="1329" w:type="dxa"/>
                  <w:vMerge w:val="continue"/>
                  <w:tcBorders>
                    <w:tl2br w:val="nil"/>
                    <w:tr2bl w:val="nil"/>
                  </w:tcBorders>
                  <w:noWrap w:val="0"/>
                  <w:vAlign w:val="center"/>
                </w:tcPr>
                <w:p w14:paraId="4679515A">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rPr>
                  </w:pPr>
                </w:p>
              </w:tc>
              <w:tc>
                <w:tcPr>
                  <w:tcW w:w="4745" w:type="dxa"/>
                  <w:tcBorders>
                    <w:tl2br w:val="nil"/>
                    <w:tr2bl w:val="nil"/>
                  </w:tcBorders>
                  <w:noWrap w:val="0"/>
                  <w:vAlign w:val="center"/>
                </w:tcPr>
                <w:p w14:paraId="28CAFB8A">
                  <w:pPr>
                    <w:keepNext w:val="0"/>
                    <w:keepLines w:val="0"/>
                    <w:suppressLineNumbers w:val="0"/>
                    <w:snapToGrid w:val="0"/>
                    <w:spacing w:before="0" w:beforeAutospacing="0" w:after="0" w:afterAutospacing="0"/>
                    <w:ind w:left="0" w:right="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4个15米排气筒</w:t>
                  </w:r>
                </w:p>
              </w:tc>
              <w:tc>
                <w:tcPr>
                  <w:tcW w:w="1296" w:type="dxa"/>
                  <w:tcBorders>
                    <w:tl2br w:val="nil"/>
                    <w:tr2bl w:val="nil"/>
                  </w:tcBorders>
                  <w:noWrap w:val="0"/>
                  <w:vAlign w:val="center"/>
                </w:tcPr>
                <w:p w14:paraId="7C323FA3">
                  <w:pPr>
                    <w:pStyle w:val="100"/>
                    <w:keepNext w:val="0"/>
                    <w:keepLines w:val="0"/>
                    <w:widowControl/>
                    <w:suppressLineNumbers w:val="0"/>
                    <w:spacing w:before="0" w:beforeAutospacing="0" w:after="0" w:afterAutospacing="0" w:line="240" w:lineRule="auto"/>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r>
            <w:tr w14:paraId="2BC165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dxa"/>
                  <w:tcBorders>
                    <w:tl2br w:val="nil"/>
                    <w:tr2bl w:val="nil"/>
                  </w:tcBorders>
                  <w:shd w:val="clear" w:color="auto" w:fill="auto"/>
                  <w:noWrap w:val="0"/>
                  <w:vAlign w:val="center"/>
                </w:tcPr>
                <w:p w14:paraId="24CA4564">
                  <w:pPr>
                    <w:pStyle w:val="100"/>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3</w:t>
                  </w:r>
                </w:p>
              </w:tc>
              <w:tc>
                <w:tcPr>
                  <w:tcW w:w="1329" w:type="dxa"/>
                  <w:vMerge w:val="continue"/>
                  <w:tcBorders>
                    <w:tl2br w:val="nil"/>
                    <w:tr2bl w:val="nil"/>
                  </w:tcBorders>
                  <w:noWrap w:val="0"/>
                  <w:vAlign w:val="center"/>
                </w:tcPr>
                <w:p w14:paraId="6BAE6D64">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rPr>
                  </w:pPr>
                </w:p>
              </w:tc>
              <w:tc>
                <w:tcPr>
                  <w:tcW w:w="4745" w:type="dxa"/>
                  <w:tcBorders>
                    <w:tl2br w:val="nil"/>
                    <w:tr2bl w:val="nil"/>
                  </w:tcBorders>
                  <w:noWrap w:val="0"/>
                  <w:vAlign w:val="center"/>
                </w:tcPr>
                <w:p w14:paraId="785689D8">
                  <w:pPr>
                    <w:keepNext w:val="0"/>
                    <w:keepLines w:val="0"/>
                    <w:suppressLineNumbers w:val="0"/>
                    <w:snapToGrid w:val="0"/>
                    <w:spacing w:before="0" w:beforeAutospacing="0" w:after="0" w:afterAutospacing="0"/>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原料堆场苫盖、围挡</w:t>
                  </w:r>
                </w:p>
              </w:tc>
              <w:tc>
                <w:tcPr>
                  <w:tcW w:w="1296" w:type="dxa"/>
                  <w:tcBorders>
                    <w:tl2br w:val="nil"/>
                    <w:tr2bl w:val="nil"/>
                  </w:tcBorders>
                  <w:noWrap w:val="0"/>
                  <w:vAlign w:val="center"/>
                </w:tcPr>
                <w:p w14:paraId="7753E104">
                  <w:pPr>
                    <w:pStyle w:val="100"/>
                    <w:keepNext w:val="0"/>
                    <w:keepLines w:val="0"/>
                    <w:widowControl/>
                    <w:suppressLineNumbers w:val="0"/>
                    <w:spacing w:before="0" w:beforeAutospacing="0" w:after="0" w:afterAutospacing="0" w:line="240" w:lineRule="auto"/>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r>
            <w:tr w14:paraId="6B264B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dxa"/>
                  <w:tcBorders>
                    <w:tl2br w:val="nil"/>
                    <w:tr2bl w:val="nil"/>
                  </w:tcBorders>
                  <w:shd w:val="clear" w:color="auto" w:fill="auto"/>
                  <w:noWrap w:val="0"/>
                  <w:vAlign w:val="center"/>
                </w:tcPr>
                <w:p w14:paraId="510B8BFD">
                  <w:pPr>
                    <w:pStyle w:val="100"/>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4</w:t>
                  </w:r>
                </w:p>
              </w:tc>
              <w:tc>
                <w:tcPr>
                  <w:tcW w:w="1329" w:type="dxa"/>
                  <w:tcBorders>
                    <w:tl2br w:val="nil"/>
                    <w:tr2bl w:val="nil"/>
                  </w:tcBorders>
                  <w:noWrap w:val="0"/>
                  <w:vAlign w:val="center"/>
                </w:tcPr>
                <w:p w14:paraId="178498F6">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rPr>
                    <w:t>噪声治理</w:t>
                  </w:r>
                </w:p>
              </w:tc>
              <w:tc>
                <w:tcPr>
                  <w:tcW w:w="4745" w:type="dxa"/>
                  <w:tcBorders>
                    <w:tl2br w:val="nil"/>
                    <w:tr2bl w:val="nil"/>
                  </w:tcBorders>
                  <w:noWrap w:val="0"/>
                  <w:vAlign w:val="center"/>
                </w:tcPr>
                <w:p w14:paraId="2F226B5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新增设备</w:t>
                  </w:r>
                  <w:r>
                    <w:rPr>
                      <w:rFonts w:hint="default" w:ascii="Times New Roman" w:hAnsi="Times New Roman" w:eastAsia="宋体" w:cs="Times New Roman"/>
                      <w:color w:val="auto"/>
                      <w:sz w:val="18"/>
                      <w:szCs w:val="18"/>
                      <w:highlight w:val="none"/>
                    </w:rPr>
                    <w:t>选用低噪声设备、基础减振</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安装消声器措施</w:t>
                  </w:r>
                  <w:r>
                    <w:rPr>
                      <w:rFonts w:hint="default" w:ascii="Times New Roman" w:hAnsi="Times New Roman" w:cs="Times New Roman"/>
                      <w:color w:val="auto"/>
                      <w:sz w:val="18"/>
                      <w:szCs w:val="18"/>
                      <w:highlight w:val="none"/>
                      <w:lang w:val="en-US" w:eastAsia="zh-CN"/>
                    </w:rPr>
                    <w:t>等</w:t>
                  </w:r>
                </w:p>
              </w:tc>
              <w:tc>
                <w:tcPr>
                  <w:tcW w:w="1296" w:type="dxa"/>
                  <w:tcBorders>
                    <w:tl2br w:val="nil"/>
                    <w:tr2bl w:val="nil"/>
                  </w:tcBorders>
                  <w:noWrap w:val="0"/>
                  <w:vAlign w:val="center"/>
                </w:tcPr>
                <w:p w14:paraId="5EEC21AE">
                  <w:pPr>
                    <w:keepNext w:val="0"/>
                    <w:keepLines w:val="0"/>
                    <w:suppressLineNumbers w:val="0"/>
                    <w:adjustRightInd w:val="0"/>
                    <w:snapToGri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r>
            <w:tr w14:paraId="327339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dxa"/>
                  <w:tcBorders>
                    <w:tl2br w:val="nil"/>
                    <w:tr2bl w:val="nil"/>
                  </w:tcBorders>
                  <w:shd w:val="clear" w:color="auto" w:fill="auto"/>
                  <w:noWrap w:val="0"/>
                  <w:vAlign w:val="center"/>
                </w:tcPr>
                <w:p w14:paraId="77B1A1ED">
                  <w:pPr>
                    <w:pStyle w:val="100"/>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5</w:t>
                  </w:r>
                </w:p>
              </w:tc>
              <w:tc>
                <w:tcPr>
                  <w:tcW w:w="1329" w:type="dxa"/>
                  <w:tcBorders>
                    <w:tl2br w:val="nil"/>
                    <w:tr2bl w:val="nil"/>
                  </w:tcBorders>
                  <w:noWrap w:val="0"/>
                  <w:vAlign w:val="center"/>
                </w:tcPr>
                <w:p w14:paraId="394009B3">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废水处理</w:t>
                  </w:r>
                </w:p>
              </w:tc>
              <w:tc>
                <w:tcPr>
                  <w:tcW w:w="4745" w:type="dxa"/>
                  <w:tcBorders>
                    <w:tl2br w:val="nil"/>
                    <w:tr2bl w:val="nil"/>
                  </w:tcBorders>
                  <w:noWrap w:val="0"/>
                  <w:vAlign w:val="center"/>
                </w:tcPr>
                <w:p w14:paraId="5268A0F7">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防渗旱厕</w:t>
                  </w:r>
                </w:p>
              </w:tc>
              <w:tc>
                <w:tcPr>
                  <w:tcW w:w="1296" w:type="dxa"/>
                  <w:tcBorders>
                    <w:tl2br w:val="nil"/>
                    <w:tr2bl w:val="nil"/>
                  </w:tcBorders>
                  <w:noWrap w:val="0"/>
                  <w:vAlign w:val="center"/>
                </w:tcPr>
                <w:p w14:paraId="35A728C3">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0.5</w:t>
                  </w:r>
                </w:p>
              </w:tc>
            </w:tr>
            <w:tr w14:paraId="4DF945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dxa"/>
                  <w:tcBorders>
                    <w:tl2br w:val="nil"/>
                    <w:tr2bl w:val="nil"/>
                  </w:tcBorders>
                  <w:shd w:val="clear" w:color="auto" w:fill="auto"/>
                  <w:noWrap w:val="0"/>
                  <w:vAlign w:val="center"/>
                </w:tcPr>
                <w:p w14:paraId="6CA2525B">
                  <w:pPr>
                    <w:pStyle w:val="100"/>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lang w:val="en-US" w:eastAsia="zh-CN"/>
                    </w:rPr>
                    <w:t>6</w:t>
                  </w:r>
                </w:p>
              </w:tc>
              <w:tc>
                <w:tcPr>
                  <w:tcW w:w="1329" w:type="dxa"/>
                  <w:tcBorders>
                    <w:tl2br w:val="nil"/>
                    <w:tr2bl w:val="nil"/>
                  </w:tcBorders>
                  <w:noWrap w:val="0"/>
                  <w:vAlign w:val="center"/>
                </w:tcPr>
                <w:p w14:paraId="76EDBB6F">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固废处理</w:t>
                  </w:r>
                </w:p>
              </w:tc>
              <w:tc>
                <w:tcPr>
                  <w:tcW w:w="4745" w:type="dxa"/>
                  <w:tcBorders>
                    <w:tl2br w:val="nil"/>
                    <w:tr2bl w:val="nil"/>
                  </w:tcBorders>
                  <w:noWrap w:val="0"/>
                  <w:vAlign w:val="center"/>
                </w:tcPr>
                <w:p w14:paraId="37D71DC1">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收集箱</w:t>
                  </w:r>
                </w:p>
              </w:tc>
              <w:tc>
                <w:tcPr>
                  <w:tcW w:w="1296" w:type="dxa"/>
                  <w:tcBorders>
                    <w:tl2br w:val="nil"/>
                    <w:tr2bl w:val="nil"/>
                  </w:tcBorders>
                  <w:noWrap w:val="0"/>
                  <w:vAlign w:val="center"/>
                </w:tcPr>
                <w:p w14:paraId="305D4811">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0.5</w:t>
                  </w:r>
                </w:p>
              </w:tc>
            </w:tr>
            <w:tr w14:paraId="2F88D33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dxa"/>
                  <w:tcBorders>
                    <w:tl2br w:val="nil"/>
                    <w:tr2bl w:val="nil"/>
                  </w:tcBorders>
                  <w:shd w:val="clear" w:color="auto" w:fill="auto"/>
                  <w:noWrap w:val="0"/>
                  <w:vAlign w:val="center"/>
                </w:tcPr>
                <w:p w14:paraId="7166634B">
                  <w:pPr>
                    <w:pStyle w:val="100"/>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7</w:t>
                  </w:r>
                </w:p>
              </w:tc>
              <w:tc>
                <w:tcPr>
                  <w:tcW w:w="1329" w:type="dxa"/>
                  <w:tcBorders>
                    <w:tl2br w:val="nil"/>
                    <w:tr2bl w:val="nil"/>
                  </w:tcBorders>
                  <w:noWrap w:val="0"/>
                  <w:vAlign w:val="center"/>
                </w:tcPr>
                <w:p w14:paraId="2A01430D">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环境管理</w:t>
                  </w:r>
                </w:p>
              </w:tc>
              <w:tc>
                <w:tcPr>
                  <w:tcW w:w="4745" w:type="dxa"/>
                  <w:tcBorders>
                    <w:tl2br w:val="nil"/>
                    <w:tr2bl w:val="nil"/>
                  </w:tcBorders>
                  <w:noWrap w:val="0"/>
                  <w:vAlign w:val="center"/>
                </w:tcPr>
                <w:p w14:paraId="1FB69A4B">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厂区环境管理</w:t>
                  </w:r>
                </w:p>
              </w:tc>
              <w:tc>
                <w:tcPr>
                  <w:tcW w:w="1296" w:type="dxa"/>
                  <w:tcBorders>
                    <w:tl2br w:val="nil"/>
                    <w:tr2bl w:val="nil"/>
                  </w:tcBorders>
                  <w:noWrap w:val="0"/>
                  <w:vAlign w:val="center"/>
                </w:tcPr>
                <w:p w14:paraId="2A5C39B3">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r>
            <w:tr w14:paraId="41EB502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dxa"/>
                  <w:tcBorders>
                    <w:tl2br w:val="nil"/>
                    <w:tr2bl w:val="nil"/>
                  </w:tcBorders>
                  <w:shd w:val="clear" w:color="auto" w:fill="auto"/>
                  <w:noWrap w:val="0"/>
                  <w:vAlign w:val="center"/>
                </w:tcPr>
                <w:p w14:paraId="53F6A225">
                  <w:pPr>
                    <w:pStyle w:val="100"/>
                    <w:keepNext w:val="0"/>
                    <w:keepLines w:val="0"/>
                    <w:widowControl/>
                    <w:suppressLineNumbers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8</w:t>
                  </w:r>
                </w:p>
              </w:tc>
              <w:tc>
                <w:tcPr>
                  <w:tcW w:w="1329" w:type="dxa"/>
                  <w:tcBorders>
                    <w:tl2br w:val="nil"/>
                    <w:tr2bl w:val="nil"/>
                  </w:tcBorders>
                  <w:noWrap w:val="0"/>
                  <w:vAlign w:val="center"/>
                </w:tcPr>
                <w:p w14:paraId="4465BF62">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监测费用</w:t>
                  </w:r>
                </w:p>
              </w:tc>
              <w:tc>
                <w:tcPr>
                  <w:tcW w:w="4745" w:type="dxa"/>
                  <w:tcBorders>
                    <w:tl2br w:val="nil"/>
                    <w:tr2bl w:val="nil"/>
                  </w:tcBorders>
                  <w:noWrap w:val="0"/>
                  <w:vAlign w:val="center"/>
                </w:tcPr>
                <w:p w14:paraId="48DB874F">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厂区废气噪声自行监测</w:t>
                  </w:r>
                </w:p>
              </w:tc>
              <w:tc>
                <w:tcPr>
                  <w:tcW w:w="1296" w:type="dxa"/>
                  <w:tcBorders>
                    <w:tl2br w:val="nil"/>
                    <w:tr2bl w:val="nil"/>
                  </w:tcBorders>
                  <w:noWrap w:val="0"/>
                  <w:vAlign w:val="center"/>
                </w:tcPr>
                <w:p w14:paraId="279D2F4F">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2</w:t>
                  </w:r>
                </w:p>
              </w:tc>
            </w:tr>
            <w:tr w14:paraId="1A95E32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84" w:type="dxa"/>
                  <w:tcBorders>
                    <w:tl2br w:val="nil"/>
                    <w:tr2bl w:val="nil"/>
                  </w:tcBorders>
                  <w:noWrap w:val="0"/>
                  <w:vAlign w:val="center"/>
                </w:tcPr>
                <w:p w14:paraId="52811509">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9</w:t>
                  </w:r>
                </w:p>
              </w:tc>
              <w:tc>
                <w:tcPr>
                  <w:tcW w:w="6074" w:type="dxa"/>
                  <w:gridSpan w:val="2"/>
                  <w:tcBorders>
                    <w:tl2br w:val="nil"/>
                    <w:tr2bl w:val="nil"/>
                  </w:tcBorders>
                  <w:noWrap w:val="0"/>
                  <w:vAlign w:val="center"/>
                </w:tcPr>
                <w:p w14:paraId="222E6FB0">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环保设施运营及维护</w:t>
                  </w:r>
                </w:p>
              </w:tc>
              <w:tc>
                <w:tcPr>
                  <w:tcW w:w="1296" w:type="dxa"/>
                  <w:tcBorders>
                    <w:tl2br w:val="nil"/>
                    <w:tr2bl w:val="nil"/>
                  </w:tcBorders>
                  <w:noWrap w:val="0"/>
                  <w:vAlign w:val="center"/>
                </w:tcPr>
                <w:p w14:paraId="14B5A557">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w:t>
                  </w:r>
                </w:p>
              </w:tc>
            </w:tr>
            <w:tr w14:paraId="40219DB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58" w:type="dxa"/>
                  <w:gridSpan w:val="3"/>
                  <w:tcBorders>
                    <w:tl2br w:val="nil"/>
                    <w:tr2bl w:val="nil"/>
                  </w:tcBorders>
                  <w:noWrap w:val="0"/>
                  <w:vAlign w:val="center"/>
                </w:tcPr>
                <w:p w14:paraId="1962FB2D">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rPr>
                  </w:pPr>
                  <w:r>
                    <w:rPr>
                      <w:rFonts w:hint="default" w:ascii="Times New Roman" w:hAnsi="Times New Roman" w:eastAsia="宋体" w:cs="Times New Roman"/>
                      <w:color w:val="auto"/>
                      <w:sz w:val="18"/>
                      <w:szCs w:val="18"/>
                      <w:highlight w:val="none"/>
                      <w:lang w:val="en-US" w:eastAsia="zh-CN"/>
                    </w:rPr>
                    <w:t>环保投资（万元）</w:t>
                  </w:r>
                </w:p>
              </w:tc>
              <w:tc>
                <w:tcPr>
                  <w:tcW w:w="1296" w:type="dxa"/>
                  <w:tcBorders>
                    <w:tl2br w:val="nil"/>
                    <w:tr2bl w:val="nil"/>
                  </w:tcBorders>
                  <w:noWrap w:val="0"/>
                  <w:vAlign w:val="center"/>
                </w:tcPr>
                <w:p w14:paraId="1B39D1CD">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39</w:t>
                  </w:r>
                </w:p>
              </w:tc>
            </w:tr>
            <w:tr w14:paraId="39BE74C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58" w:type="dxa"/>
                  <w:gridSpan w:val="3"/>
                  <w:tcBorders>
                    <w:tl2br w:val="nil"/>
                    <w:tr2bl w:val="nil"/>
                  </w:tcBorders>
                  <w:noWrap w:val="0"/>
                  <w:vAlign w:val="center"/>
                </w:tcPr>
                <w:p w14:paraId="7BADAD20">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总投资（万元）</w:t>
                  </w:r>
                </w:p>
              </w:tc>
              <w:tc>
                <w:tcPr>
                  <w:tcW w:w="1296" w:type="dxa"/>
                  <w:tcBorders>
                    <w:tl2br w:val="nil"/>
                    <w:tr2bl w:val="nil"/>
                  </w:tcBorders>
                  <w:noWrap w:val="0"/>
                  <w:vAlign w:val="center"/>
                </w:tcPr>
                <w:p w14:paraId="319DE476">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lang w:val="en-US" w:eastAsia="zh-CN"/>
                    </w:rPr>
                    <w:t>200</w:t>
                  </w:r>
                </w:p>
              </w:tc>
            </w:tr>
            <w:tr w14:paraId="2826430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958" w:type="dxa"/>
                  <w:gridSpan w:val="3"/>
                  <w:tcBorders>
                    <w:tl2br w:val="nil"/>
                    <w:tr2bl w:val="nil"/>
                  </w:tcBorders>
                  <w:noWrap w:val="0"/>
                  <w:vAlign w:val="center"/>
                </w:tcPr>
                <w:p w14:paraId="53D25753">
                  <w:pPr>
                    <w:pStyle w:val="84"/>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right="0" w:rightChars="0" w:firstLine="0" w:firstLineChars="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sz w:val="18"/>
                      <w:szCs w:val="18"/>
                      <w:highlight w:val="none"/>
                      <w:lang w:val="en-US" w:eastAsia="zh-CN"/>
                    </w:rPr>
                    <w:t>占总投资比例（%）</w:t>
                  </w:r>
                </w:p>
              </w:tc>
              <w:tc>
                <w:tcPr>
                  <w:tcW w:w="1296" w:type="dxa"/>
                  <w:tcBorders>
                    <w:tl2br w:val="nil"/>
                    <w:tr2bl w:val="nil"/>
                  </w:tcBorders>
                  <w:noWrap w:val="0"/>
                  <w:vAlign w:val="center"/>
                </w:tcPr>
                <w:p w14:paraId="081318FD">
                  <w:pPr>
                    <w:pStyle w:val="100"/>
                    <w:keepNext w:val="0"/>
                    <w:keepLines w:val="0"/>
                    <w:widowControl/>
                    <w:suppressLineNumbers w:val="0"/>
                    <w:spacing w:before="0" w:beforeAutospacing="0" w:after="0" w:afterAutospacing="0" w:line="240" w:lineRule="auto"/>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19.5</w:t>
                  </w:r>
                </w:p>
              </w:tc>
            </w:tr>
          </w:tbl>
          <w:p w14:paraId="69ACB9B5">
            <w:pPr>
              <w:pStyle w:val="15"/>
              <w:keepNext w:val="0"/>
              <w:keepLines w:val="0"/>
              <w:widowControl w:val="0"/>
              <w:suppressLineNumbers w:val="0"/>
              <w:snapToGrid/>
              <w:spacing w:before="0" w:beforeAutospacing="0" w:after="0" w:afterAutospacing="0" w:line="360" w:lineRule="auto"/>
              <w:ind w:left="0" w:right="0"/>
              <w:rPr>
                <w:rFonts w:hint="default" w:ascii="Times New Roman" w:hAnsi="Times New Roman" w:eastAsia="宋体" w:cs="Times New Roman"/>
                <w:color w:val="auto"/>
                <w:kern w:val="21"/>
                <w:sz w:val="24"/>
                <w:szCs w:val="21"/>
                <w:highlight w:val="none"/>
                <w:lang w:val="en-US" w:eastAsia="zh-CN"/>
              </w:rPr>
            </w:pPr>
          </w:p>
        </w:tc>
      </w:tr>
      <w:tr w14:paraId="70459A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4" w:hRule="atLeast"/>
          <w:jc w:val="center"/>
        </w:trPr>
        <w:tc>
          <w:tcPr>
            <w:tcW w:w="748" w:type="dxa"/>
            <w:vAlign w:val="center"/>
          </w:tcPr>
          <w:p w14:paraId="1B38339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工艺流程和产排污环节</w:t>
            </w:r>
          </w:p>
        </w:tc>
        <w:tc>
          <w:tcPr>
            <w:tcW w:w="8473" w:type="dxa"/>
            <w:vAlign w:val="center"/>
          </w:tcPr>
          <w:p w14:paraId="0ACEDB41">
            <w:pPr>
              <w:keepNext w:val="0"/>
              <w:keepLines w:val="0"/>
              <w:widowControl/>
              <w:numPr>
                <w:ilvl w:val="0"/>
                <w:numId w:val="3"/>
              </w:numPr>
              <w:suppressLineNumbers w:val="0"/>
              <w:spacing w:before="0" w:beforeAutospacing="0" w:after="0" w:afterAutospacing="0" w:line="360" w:lineRule="auto"/>
              <w:ind w:right="0"/>
              <w:rPr>
                <w:rFonts w:hint="default"/>
                <w:b/>
                <w:bCs/>
                <w:color w:val="auto"/>
                <w:szCs w:val="21"/>
                <w:highlight w:val="none"/>
              </w:rPr>
            </w:pPr>
            <w:r>
              <w:rPr>
                <w:rFonts w:hint="default"/>
                <w:b/>
                <w:bCs/>
                <w:color w:val="auto"/>
                <w:szCs w:val="21"/>
                <w:highlight w:val="none"/>
              </w:rPr>
              <w:t>施工期工艺流程分析</w:t>
            </w:r>
          </w:p>
          <w:p w14:paraId="4980F04C">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color w:val="auto"/>
                <w:sz w:val="21"/>
                <w:szCs w:val="24"/>
                <w:highlight w:val="none"/>
              </w:rPr>
            </w:pPr>
            <w:r>
              <w:rPr>
                <w:rFonts w:hint="eastAsia" w:ascii="Times New Roman" w:hAnsi="Times New Roman" w:eastAsia="宋体" w:cs="Times New Roman"/>
                <w:b w:val="0"/>
                <w:bCs w:val="0"/>
                <w:color w:val="auto"/>
                <w:sz w:val="21"/>
                <w:szCs w:val="21"/>
                <w:highlight w:val="none"/>
                <w:lang w:val="en-US" w:eastAsia="zh-CN"/>
              </w:rPr>
              <w:t>本项目</w:t>
            </w:r>
            <w:r>
              <w:rPr>
                <w:rFonts w:hint="eastAsia" w:cs="Times New Roman"/>
                <w:b w:val="0"/>
                <w:bCs w:val="0"/>
                <w:color w:val="auto"/>
                <w:sz w:val="21"/>
                <w:szCs w:val="21"/>
                <w:highlight w:val="none"/>
                <w:lang w:val="en-US" w:eastAsia="zh-CN"/>
              </w:rPr>
              <w:t>租赁现有厂房进行建设</w:t>
            </w:r>
            <w:r>
              <w:rPr>
                <w:rFonts w:hint="eastAsia" w:ascii="Times New Roman" w:hAnsi="Times New Roman" w:eastAsia="宋体" w:cs="Times New Roman"/>
                <w:b w:val="0"/>
                <w:bCs/>
                <w:color w:val="auto"/>
                <w:sz w:val="21"/>
                <w:szCs w:val="21"/>
                <w:highlight w:val="none"/>
                <w:lang w:val="en-US" w:eastAsia="zh-CN"/>
              </w:rPr>
              <w:t>，</w:t>
            </w:r>
            <w:r>
              <w:rPr>
                <w:rFonts w:hint="default"/>
                <w:color w:val="auto"/>
                <w:sz w:val="21"/>
                <w:szCs w:val="24"/>
                <w:highlight w:val="none"/>
              </w:rPr>
              <w:t>施工期主要为场地平整、主体工程、装饰工程、安装工程等，其建设过程中产生的噪声、扬尘、施工废气、固体废物、施工废水等污染物，其污染物排放量随工序的施工强度变化而变化，施工期结束后环境影响也随之消除。</w:t>
            </w:r>
          </w:p>
          <w:p w14:paraId="151CA3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4"/>
                <w:highlight w:val="none"/>
              </w:rPr>
            </w:pPr>
            <w:r>
              <w:rPr>
                <w:rFonts w:hint="default"/>
                <w:color w:val="auto"/>
                <w:sz w:val="21"/>
                <w:szCs w:val="24"/>
                <w:highlight w:val="none"/>
              </w:rPr>
              <w:t>施工期的具体工艺流程及产污环节见下图。</w:t>
            </w:r>
          </w:p>
          <w:p w14:paraId="2C5E0320">
            <w:pPr>
              <w:pStyle w:val="47"/>
              <w:keepNext w:val="0"/>
              <w:keepLines w:val="0"/>
              <w:suppressLineNumbers w:val="0"/>
              <w:spacing w:before="0" w:beforeAutospacing="0" w:after="0" w:afterAutospacing="0"/>
              <w:ind w:left="0" w:right="0"/>
              <w:jc w:val="center"/>
              <w:rPr>
                <w:rFonts w:hint="default"/>
                <w:color w:val="auto"/>
                <w:highlight w:val="none"/>
              </w:rPr>
            </w:pPr>
            <w:r>
              <w:rPr>
                <w:rFonts w:hint="default"/>
                <w:color w:val="auto"/>
              </w:rPr>
              <w:drawing>
                <wp:inline distT="0" distB="0" distL="114300" distR="114300">
                  <wp:extent cx="4564380" cy="1924050"/>
                  <wp:effectExtent l="0" t="0" r="7620" b="0"/>
                  <wp:docPr id="3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5"/>
                          <pic:cNvPicPr>
                            <a:picLocks noChangeAspect="1"/>
                          </pic:cNvPicPr>
                        </pic:nvPicPr>
                        <pic:blipFill>
                          <a:blip r:embed="rId10"/>
                          <a:stretch>
                            <a:fillRect/>
                          </a:stretch>
                        </pic:blipFill>
                        <pic:spPr>
                          <a:xfrm>
                            <a:off x="0" y="0"/>
                            <a:ext cx="4564380" cy="1924050"/>
                          </a:xfrm>
                          <a:prstGeom prst="rect">
                            <a:avLst/>
                          </a:prstGeom>
                          <a:noFill/>
                          <a:ln>
                            <a:noFill/>
                          </a:ln>
                        </pic:spPr>
                      </pic:pic>
                    </a:graphicData>
                  </a:graphic>
                </wp:inline>
              </w:drawing>
            </w:r>
          </w:p>
          <w:p w14:paraId="7EB65E24">
            <w:pPr>
              <w:keepNext w:val="0"/>
              <w:keepLines w:val="0"/>
              <w:suppressLineNumbers w:val="0"/>
              <w:spacing w:before="0" w:beforeAutospacing="0" w:after="0" w:afterAutospacing="0" w:line="240" w:lineRule="auto"/>
              <w:ind w:left="0" w:right="0"/>
              <w:jc w:val="center"/>
              <w:rPr>
                <w:rFonts w:hint="default" w:cs="Times New Roman"/>
                <w:b/>
                <w:bCs/>
                <w:snapToGrid w:val="0"/>
                <w:color w:val="auto"/>
                <w:szCs w:val="21"/>
                <w:highlight w:val="none"/>
                <w:lang w:val="en-US" w:eastAsia="zh-CN"/>
              </w:rPr>
            </w:pPr>
            <w:r>
              <w:rPr>
                <w:rFonts w:hint="eastAsia" w:cs="Times New Roman"/>
                <w:b/>
                <w:bCs/>
                <w:snapToGrid w:val="0"/>
                <w:color w:val="auto"/>
                <w:szCs w:val="21"/>
                <w:highlight w:val="none"/>
                <w:lang w:val="en-US" w:eastAsia="zh-CN"/>
              </w:rPr>
              <w:t>图2-1 施工期工艺流程及产污环节图</w:t>
            </w:r>
          </w:p>
          <w:p w14:paraId="0606B9D4">
            <w:pPr>
              <w:pStyle w:val="20"/>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2" w:firstLineChars="200"/>
              <w:textAlignment w:val="auto"/>
              <w:rPr>
                <w:rFonts w:hint="default"/>
                <w:color w:val="auto"/>
                <w:szCs w:val="21"/>
                <w:highlight w:val="none"/>
              </w:rPr>
            </w:pPr>
            <w:r>
              <w:rPr>
                <w:rFonts w:hint="default"/>
                <w:b/>
                <w:bCs/>
                <w:color w:val="auto"/>
                <w:szCs w:val="21"/>
                <w:highlight w:val="none"/>
              </w:rPr>
              <w:t>施工期主要污染工序：</w:t>
            </w:r>
          </w:p>
          <w:p w14:paraId="2D5F015E">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Cs w:val="24"/>
                <w:highlight w:val="none"/>
              </w:rPr>
            </w:pPr>
            <w:r>
              <w:rPr>
                <w:rFonts w:hint="default"/>
                <w:color w:val="auto"/>
                <w:szCs w:val="24"/>
                <w:highlight w:val="none"/>
              </w:rPr>
              <w:t>（1）废气</w:t>
            </w:r>
          </w:p>
          <w:p w14:paraId="780D15D1">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Cs w:val="24"/>
                <w:highlight w:val="none"/>
              </w:rPr>
            </w:pPr>
            <w:r>
              <w:rPr>
                <w:rFonts w:hint="default"/>
                <w:color w:val="auto"/>
                <w:szCs w:val="24"/>
                <w:highlight w:val="none"/>
              </w:rPr>
              <w:t>主要为场地平整、基础开挖、建筑材料运输及装卸、堆存等过程产生的扬尘，施工机械和施工运输车辆产生的机动车尾气。</w:t>
            </w:r>
          </w:p>
          <w:p w14:paraId="5E8DAB5C">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Cs w:val="24"/>
                <w:highlight w:val="none"/>
              </w:rPr>
            </w:pPr>
            <w:r>
              <w:rPr>
                <w:rFonts w:hint="default"/>
                <w:color w:val="auto"/>
                <w:szCs w:val="24"/>
                <w:highlight w:val="none"/>
              </w:rPr>
              <w:t>（2）废水</w:t>
            </w:r>
          </w:p>
          <w:p w14:paraId="3D22AB68">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Cs w:val="24"/>
                <w:highlight w:val="none"/>
              </w:rPr>
            </w:pPr>
            <w:r>
              <w:rPr>
                <w:rFonts w:hint="default"/>
                <w:color w:val="auto"/>
                <w:szCs w:val="24"/>
                <w:highlight w:val="none"/>
              </w:rPr>
              <w:t>主要是在建设施工过程中产生的泥浆废水、混凝土养护废水、各种车辆冲洗废水，施工人员产生的生活污水。</w:t>
            </w:r>
          </w:p>
          <w:p w14:paraId="2AE5448C">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Cs w:val="24"/>
                <w:highlight w:val="none"/>
              </w:rPr>
            </w:pPr>
            <w:r>
              <w:rPr>
                <w:rFonts w:hint="default"/>
                <w:color w:val="auto"/>
                <w:szCs w:val="24"/>
                <w:highlight w:val="none"/>
              </w:rPr>
              <w:t>（3）噪声</w:t>
            </w:r>
          </w:p>
          <w:p w14:paraId="3F189053">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both"/>
              <w:textAlignment w:val="auto"/>
              <w:rPr>
                <w:rFonts w:hint="default"/>
                <w:color w:val="auto"/>
                <w:szCs w:val="24"/>
                <w:highlight w:val="none"/>
              </w:rPr>
            </w:pPr>
            <w:r>
              <w:rPr>
                <w:rFonts w:hint="default"/>
                <w:color w:val="auto"/>
                <w:szCs w:val="24"/>
                <w:highlight w:val="none"/>
              </w:rPr>
              <w:t>主要是施工过程中装载机、推土机、挖掘机、轮式机、起重机、钻机、搅拌机、运输车辆等运行时产生的噪声。</w:t>
            </w:r>
          </w:p>
          <w:p w14:paraId="0A42DA44">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textAlignment w:val="auto"/>
              <w:rPr>
                <w:rFonts w:hint="default"/>
                <w:color w:val="auto"/>
                <w:szCs w:val="24"/>
                <w:highlight w:val="none"/>
              </w:rPr>
            </w:pPr>
            <w:r>
              <w:rPr>
                <w:rFonts w:hint="default"/>
                <w:color w:val="auto"/>
                <w:szCs w:val="24"/>
                <w:highlight w:val="none"/>
              </w:rPr>
              <w:t>（4）固体废物</w:t>
            </w:r>
          </w:p>
          <w:p w14:paraId="64BEC18F">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default"/>
                <w:color w:val="auto"/>
                <w:szCs w:val="24"/>
                <w:highlight w:val="none"/>
              </w:rPr>
            </w:pPr>
            <w:r>
              <w:rPr>
                <w:rFonts w:hint="eastAsia"/>
                <w:color w:val="auto"/>
                <w:szCs w:val="24"/>
                <w:highlight w:val="none"/>
                <w:lang w:eastAsia="zh-CN"/>
              </w:rPr>
              <w:t>本项目区域地势平坦，无弃土外运，</w:t>
            </w:r>
            <w:r>
              <w:rPr>
                <w:rFonts w:hint="default"/>
                <w:color w:val="auto"/>
                <w:szCs w:val="24"/>
                <w:highlight w:val="none"/>
              </w:rPr>
              <w:t>主要为建筑废弃材料和施工人员生活垃圾。</w:t>
            </w:r>
          </w:p>
          <w:p w14:paraId="046B26A9">
            <w:pPr>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0" w:firstLineChars="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 w:val="0"/>
                <w:bCs/>
                <w:color w:val="auto"/>
                <w:sz w:val="21"/>
                <w:szCs w:val="21"/>
                <w:highlight w:val="none"/>
                <w:lang w:eastAsia="zh-CN"/>
              </w:rPr>
              <w:t>二、</w:t>
            </w:r>
            <w:r>
              <w:rPr>
                <w:rFonts w:hint="default" w:ascii="Times New Roman" w:hAnsi="Times New Roman" w:eastAsia="宋体" w:cs="Times New Roman"/>
                <w:b/>
                <w:color w:val="auto"/>
                <w:kern w:val="21"/>
                <w:sz w:val="21"/>
                <w:szCs w:val="21"/>
                <w:highlight w:val="none"/>
              </w:rPr>
              <w:t>运营期工艺流程</w:t>
            </w:r>
            <w:r>
              <w:rPr>
                <w:rFonts w:hint="eastAsia" w:cs="Times New Roman"/>
                <w:b/>
                <w:color w:val="auto"/>
                <w:kern w:val="21"/>
                <w:sz w:val="21"/>
                <w:szCs w:val="21"/>
                <w:highlight w:val="none"/>
                <w:lang w:val="en-US" w:eastAsia="zh-CN"/>
              </w:rPr>
              <w:t>分析</w:t>
            </w:r>
          </w:p>
          <w:p w14:paraId="387D940F">
            <w:pPr>
              <w:pStyle w:val="15"/>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2" w:firstLineChars="200"/>
              <w:textAlignment w:val="auto"/>
              <w:rPr>
                <w:rFonts w:hint="default" w:ascii="Times New Roman" w:hAnsi="Times New Roman" w:eastAsia="宋体" w:cs="Times New Roman"/>
                <w:b/>
                <w:bCs/>
                <w:color w:val="auto"/>
                <w:sz w:val="21"/>
                <w:szCs w:val="21"/>
                <w:highlight w:val="none"/>
                <w:lang w:val="en-US" w:eastAsia="zh-CN"/>
              </w:rPr>
            </w:pPr>
            <w:r>
              <w:rPr>
                <w:rFonts w:hint="eastAsia" w:ascii="宋体" w:hAnsi="宋体" w:cs="宋体"/>
                <w:b/>
                <w:bCs/>
                <w:color w:val="auto"/>
                <w:sz w:val="21"/>
                <w:szCs w:val="21"/>
                <w:highlight w:val="none"/>
                <w:lang w:val="en-US" w:eastAsia="zh-CN"/>
              </w:rPr>
              <w:t>1、生物质颗粒</w:t>
            </w:r>
            <w:r>
              <w:rPr>
                <w:rFonts w:hint="eastAsia" w:ascii="宋体" w:hAnsi="宋体" w:cs="宋体"/>
                <w:b/>
                <w:bCs/>
                <w:color w:val="auto"/>
                <w:sz w:val="21"/>
                <w:szCs w:val="21"/>
                <w:highlight w:val="none"/>
              </w:rPr>
              <w:t>加工</w:t>
            </w:r>
            <w:r>
              <w:rPr>
                <w:rFonts w:hint="default" w:ascii="Times New Roman" w:hAnsi="Times New Roman" w:eastAsia="宋体" w:cs="Times New Roman"/>
                <w:b/>
                <w:bCs/>
                <w:color w:val="auto"/>
                <w:sz w:val="21"/>
                <w:szCs w:val="21"/>
                <w:highlight w:val="none"/>
                <w:lang w:val="en-US" w:eastAsia="zh-CN"/>
              </w:rPr>
              <w:t>工艺流程</w:t>
            </w:r>
          </w:p>
          <w:p w14:paraId="5F200684">
            <w:pPr>
              <w:keepNext w:val="0"/>
              <w:keepLines w:val="0"/>
              <w:suppressLineNumbers w:val="0"/>
              <w:spacing w:before="0" w:beforeAutospacing="0" w:after="0" w:afterAutospacing="0" w:line="360" w:lineRule="auto"/>
              <w:ind w:left="0" w:right="0"/>
              <w:jc w:val="center"/>
              <w:rPr>
                <w:rFonts w:hint="eastAsia" w:ascii="Times New Roman" w:hAnsi="Times New Roman" w:eastAsia="宋体" w:cs="Times New Roman"/>
                <w:color w:val="auto"/>
                <w:kern w:val="21"/>
                <w:szCs w:val="21"/>
                <w:highlight w:val="none"/>
                <w:lang w:eastAsia="zh-CN"/>
              </w:rPr>
            </w:pPr>
            <w:r>
              <w:rPr>
                <w:rFonts w:hint="default"/>
                <w:color w:val="auto"/>
              </w:rPr>
              <w:drawing>
                <wp:inline distT="0" distB="0" distL="114300" distR="114300">
                  <wp:extent cx="5236845" cy="2268220"/>
                  <wp:effectExtent l="0" t="0" r="1905" b="17780"/>
                  <wp:docPr id="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
                          <pic:cNvPicPr>
                            <a:picLocks noChangeAspect="1"/>
                          </pic:cNvPicPr>
                        </pic:nvPicPr>
                        <pic:blipFill>
                          <a:blip r:embed="rId11"/>
                          <a:stretch>
                            <a:fillRect/>
                          </a:stretch>
                        </pic:blipFill>
                        <pic:spPr>
                          <a:xfrm>
                            <a:off x="0" y="0"/>
                            <a:ext cx="5236845" cy="2268220"/>
                          </a:xfrm>
                          <a:prstGeom prst="rect">
                            <a:avLst/>
                          </a:prstGeom>
                          <a:noFill/>
                          <a:ln>
                            <a:noFill/>
                          </a:ln>
                        </pic:spPr>
                      </pic:pic>
                    </a:graphicData>
                  </a:graphic>
                </wp:inline>
              </w:drawing>
            </w:r>
          </w:p>
          <w:p w14:paraId="268D4EEE">
            <w:pPr>
              <w:keepNext w:val="0"/>
              <w:keepLines w:val="0"/>
              <w:suppressLineNumbers w:val="0"/>
              <w:spacing w:before="0" w:beforeAutospacing="0" w:after="0" w:afterAutospacing="0" w:line="240" w:lineRule="auto"/>
              <w:ind w:left="0" w:right="0"/>
              <w:jc w:val="center"/>
              <w:rPr>
                <w:rFonts w:hint="default" w:ascii="Times New Roman" w:hAnsi="Times New Roman" w:eastAsia="黑体" w:cs="Times New Roman"/>
                <w:snapToGrid w:val="0"/>
                <w:color w:val="auto"/>
                <w:szCs w:val="21"/>
                <w:highlight w:val="none"/>
              </w:rPr>
            </w:pPr>
            <w:r>
              <w:rPr>
                <w:rFonts w:hint="default" w:ascii="Times New Roman" w:hAnsi="Times New Roman" w:eastAsia="宋体" w:cs="Times New Roman"/>
                <w:b/>
                <w:bCs/>
                <w:snapToGrid w:val="0"/>
                <w:color w:val="auto"/>
                <w:szCs w:val="21"/>
                <w:highlight w:val="none"/>
              </w:rPr>
              <w:t>图2</w:t>
            </w:r>
            <w:r>
              <w:rPr>
                <w:rFonts w:hint="eastAsia" w:cs="Times New Roman"/>
                <w:b/>
                <w:bCs/>
                <w:snapToGrid w:val="0"/>
                <w:color w:val="auto"/>
                <w:szCs w:val="21"/>
                <w:highlight w:val="none"/>
                <w:lang w:val="en-US" w:eastAsia="zh-CN"/>
              </w:rPr>
              <w:t>-1生物质颗粒加工工艺</w:t>
            </w:r>
            <w:r>
              <w:rPr>
                <w:rFonts w:hint="default" w:ascii="Times New Roman" w:hAnsi="Times New Roman" w:eastAsia="宋体" w:cs="Times New Roman"/>
                <w:b/>
                <w:bCs/>
                <w:snapToGrid w:val="0"/>
                <w:color w:val="auto"/>
                <w:szCs w:val="21"/>
                <w:highlight w:val="none"/>
              </w:rPr>
              <w:t>流程及产污环节图</w:t>
            </w:r>
          </w:p>
          <w:p w14:paraId="71FA9A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 w:val="0"/>
                <w:bCs w:val="0"/>
                <w:color w:val="auto"/>
                <w:spacing w:val="0"/>
                <w:w w:val="100"/>
                <w:kern w:val="21"/>
                <w:sz w:val="21"/>
                <w:szCs w:val="21"/>
                <w:highlight w:val="none"/>
                <w:lang w:eastAsia="zh-CN"/>
              </w:rPr>
            </w:pPr>
            <w:r>
              <w:rPr>
                <w:rFonts w:hint="default" w:ascii="Times New Roman" w:hAnsi="Times New Roman" w:eastAsia="宋体" w:cs="Times New Roman"/>
                <w:b w:val="0"/>
                <w:bCs w:val="0"/>
                <w:color w:val="auto"/>
                <w:spacing w:val="0"/>
                <w:w w:val="100"/>
                <w:kern w:val="21"/>
                <w:sz w:val="21"/>
                <w:szCs w:val="21"/>
                <w:highlight w:val="none"/>
                <w:lang w:eastAsia="zh-CN"/>
              </w:rPr>
              <w:t>工艺流程简述：</w:t>
            </w:r>
          </w:p>
          <w:p w14:paraId="24EF06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color w:val="auto"/>
                <w:spacing w:val="0"/>
                <w:w w:val="100"/>
                <w:sz w:val="21"/>
                <w:szCs w:val="21"/>
                <w:highlight w:val="none"/>
                <w:lang w:eastAsia="zh-CN"/>
              </w:rPr>
            </w:pPr>
            <w:r>
              <w:rPr>
                <w:rFonts w:hint="default" w:ascii="Times New Roman" w:hAnsi="Times New Roman" w:eastAsia="宋体" w:cs="Times New Roman"/>
                <w:b w:val="0"/>
                <w:bCs w:val="0"/>
                <w:color w:val="auto"/>
                <w:spacing w:val="0"/>
                <w:w w:val="100"/>
                <w:sz w:val="21"/>
                <w:szCs w:val="21"/>
                <w:highlight w:val="none"/>
              </w:rPr>
              <w:t>1</w:t>
            </w:r>
            <w:r>
              <w:rPr>
                <w:rFonts w:hint="eastAsia" w:cs="Times New Roman"/>
                <w:b w:val="0"/>
                <w:bCs w:val="0"/>
                <w:color w:val="auto"/>
                <w:spacing w:val="0"/>
                <w:w w:val="100"/>
                <w:sz w:val="21"/>
                <w:szCs w:val="21"/>
                <w:highlight w:val="none"/>
                <w:lang w:eastAsia="zh-CN"/>
              </w:rPr>
              <w:t>）</w:t>
            </w:r>
            <w:r>
              <w:rPr>
                <w:rFonts w:hint="default" w:ascii="Times New Roman" w:hAnsi="Times New Roman" w:eastAsia="宋体" w:cs="Times New Roman"/>
                <w:b w:val="0"/>
                <w:bCs w:val="0"/>
                <w:color w:val="auto"/>
                <w:spacing w:val="0"/>
                <w:w w:val="100"/>
                <w:sz w:val="21"/>
                <w:szCs w:val="21"/>
                <w:highlight w:val="none"/>
              </w:rPr>
              <w:t>原料</w:t>
            </w:r>
            <w:r>
              <w:rPr>
                <w:rFonts w:hint="eastAsia" w:cs="Times New Roman"/>
                <w:b w:val="0"/>
                <w:bCs w:val="0"/>
                <w:color w:val="auto"/>
                <w:spacing w:val="0"/>
                <w:w w:val="100"/>
                <w:sz w:val="21"/>
                <w:szCs w:val="21"/>
                <w:highlight w:val="none"/>
                <w:lang w:val="en-US" w:eastAsia="zh-CN"/>
              </w:rPr>
              <w:t>厂</w:t>
            </w:r>
          </w:p>
          <w:p w14:paraId="0F577F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pacing w:val="0"/>
                <w:w w:val="100"/>
                <w:sz w:val="21"/>
                <w:szCs w:val="21"/>
                <w:highlight w:val="none"/>
              </w:rPr>
            </w:pPr>
            <w:r>
              <w:rPr>
                <w:rFonts w:hint="eastAsia" w:cs="Times New Roman"/>
                <w:b w:val="0"/>
                <w:bCs w:val="0"/>
                <w:color w:val="auto"/>
                <w:spacing w:val="0"/>
                <w:w w:val="100"/>
                <w:sz w:val="21"/>
                <w:szCs w:val="21"/>
                <w:highlight w:val="none"/>
                <w:lang w:val="en-US" w:eastAsia="zh-CN"/>
              </w:rPr>
              <w:t>外购的原料通过汽车运输运至厂区原料堆场</w:t>
            </w:r>
            <w:r>
              <w:rPr>
                <w:rFonts w:hint="default" w:ascii="Times New Roman" w:hAnsi="Times New Roman" w:eastAsia="宋体" w:cs="Times New Roman"/>
                <w:b w:val="0"/>
                <w:bCs w:val="0"/>
                <w:color w:val="auto"/>
                <w:spacing w:val="0"/>
                <w:w w:val="100"/>
                <w:sz w:val="21"/>
                <w:szCs w:val="21"/>
                <w:highlight w:val="none"/>
              </w:rPr>
              <w:t>。</w:t>
            </w:r>
          </w:p>
          <w:p w14:paraId="42A38BE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pacing w:val="0"/>
                <w:w w:val="100"/>
                <w:sz w:val="21"/>
                <w:szCs w:val="21"/>
                <w:highlight w:val="none"/>
                <w:lang w:val="en-US" w:eastAsia="zh-CN"/>
              </w:rPr>
            </w:pPr>
            <w:r>
              <w:rPr>
                <w:rFonts w:hint="default" w:ascii="Times New Roman" w:hAnsi="Times New Roman" w:eastAsia="宋体" w:cs="Times New Roman"/>
                <w:b w:val="0"/>
                <w:bCs w:val="0"/>
                <w:color w:val="auto"/>
                <w:spacing w:val="0"/>
                <w:w w:val="100"/>
                <w:sz w:val="21"/>
                <w:szCs w:val="21"/>
                <w:highlight w:val="none"/>
              </w:rPr>
              <w:t>2</w:t>
            </w:r>
            <w:r>
              <w:rPr>
                <w:rFonts w:hint="eastAsia" w:cs="Times New Roman"/>
                <w:b w:val="0"/>
                <w:bCs w:val="0"/>
                <w:color w:val="auto"/>
                <w:spacing w:val="0"/>
                <w:w w:val="100"/>
                <w:sz w:val="21"/>
                <w:szCs w:val="21"/>
                <w:highlight w:val="none"/>
                <w:lang w:eastAsia="zh-CN"/>
              </w:rPr>
              <w:t>）</w:t>
            </w:r>
            <w:r>
              <w:rPr>
                <w:rFonts w:hint="eastAsia" w:cs="Times New Roman"/>
                <w:b w:val="0"/>
                <w:bCs w:val="0"/>
                <w:color w:val="auto"/>
                <w:spacing w:val="0"/>
                <w:w w:val="100"/>
                <w:sz w:val="21"/>
                <w:szCs w:val="21"/>
                <w:highlight w:val="none"/>
                <w:lang w:val="en-US" w:eastAsia="zh-CN"/>
              </w:rPr>
              <w:t>上料、破碎粉碎</w:t>
            </w:r>
          </w:p>
          <w:p w14:paraId="224106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 w:val="0"/>
                <w:bCs w:val="0"/>
                <w:color w:val="auto"/>
                <w:spacing w:val="0"/>
                <w:w w:val="100"/>
                <w:sz w:val="21"/>
                <w:szCs w:val="21"/>
                <w:highlight w:val="none"/>
                <w:lang w:val="en-US"/>
              </w:rPr>
            </w:pPr>
            <w:r>
              <w:rPr>
                <w:rFonts w:hint="eastAsia" w:cs="Times New Roman"/>
                <w:b w:val="0"/>
                <w:bCs w:val="0"/>
                <w:color w:val="auto"/>
                <w:spacing w:val="0"/>
                <w:w w:val="100"/>
                <w:sz w:val="21"/>
                <w:szCs w:val="21"/>
                <w:highlight w:val="none"/>
                <w:lang w:val="en-US" w:eastAsia="zh-CN"/>
              </w:rPr>
              <w:t>将原料投入上料口，然后进入粗破机，粗破后的原料由输送机进入粉碎机。</w:t>
            </w:r>
          </w:p>
          <w:p w14:paraId="52B9A5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eastAsia" w:ascii="Times New Roman" w:hAnsi="Times New Roman" w:eastAsia="宋体" w:cs="Times New Roman"/>
                <w:b w:val="0"/>
                <w:bCs w:val="0"/>
                <w:color w:val="auto"/>
                <w:spacing w:val="0"/>
                <w:w w:val="100"/>
                <w:sz w:val="21"/>
                <w:szCs w:val="21"/>
                <w:highlight w:val="none"/>
                <w:lang w:val="en-US" w:eastAsia="zh-CN"/>
              </w:rPr>
            </w:pPr>
            <w:r>
              <w:rPr>
                <w:rFonts w:hint="eastAsia" w:cs="Times New Roman"/>
                <w:b w:val="0"/>
                <w:bCs w:val="0"/>
                <w:color w:val="auto"/>
                <w:spacing w:val="0"/>
                <w:w w:val="100"/>
                <w:sz w:val="21"/>
                <w:szCs w:val="21"/>
                <w:highlight w:val="none"/>
                <w:lang w:val="en-US" w:eastAsia="zh-CN"/>
              </w:rPr>
              <w:t>3）烘干</w:t>
            </w:r>
          </w:p>
          <w:p w14:paraId="52A4A54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b w:val="0"/>
                <w:bCs w:val="0"/>
                <w:color w:val="auto"/>
                <w:spacing w:val="0"/>
                <w:w w:val="100"/>
                <w:sz w:val="21"/>
                <w:szCs w:val="21"/>
                <w:highlight w:val="none"/>
              </w:rPr>
            </w:pPr>
            <w:r>
              <w:rPr>
                <w:rFonts w:hint="eastAsia"/>
                <w:color w:val="auto"/>
                <w:highlight w:val="none"/>
                <w:lang w:val="en-US" w:eastAsia="zh-CN"/>
              </w:rPr>
              <w:t>粉碎后的原料通过输送带进入</w:t>
            </w:r>
            <w:r>
              <w:rPr>
                <w:rFonts w:hint="eastAsia" w:ascii="Times New Roman" w:hAnsi="Times New Roman"/>
                <w:color w:val="auto"/>
                <w:highlight w:val="none"/>
              </w:rPr>
              <w:t>，</w:t>
            </w:r>
            <w:r>
              <w:rPr>
                <w:rFonts w:hint="eastAsia"/>
                <w:color w:val="auto"/>
                <w:highlight w:val="none"/>
                <w:lang w:eastAsia="zh-CN"/>
              </w:rPr>
              <w:t>烘干滚筒</w:t>
            </w:r>
            <w:r>
              <w:rPr>
                <w:rFonts w:hint="default" w:ascii="Times New Roman" w:hAnsi="Times New Roman"/>
                <w:color w:val="auto"/>
                <w:highlight w:val="none"/>
              </w:rPr>
              <w:t>进行干燥，在</w:t>
            </w:r>
            <w:r>
              <w:rPr>
                <w:rFonts w:hint="eastAsia"/>
                <w:color w:val="auto"/>
                <w:highlight w:val="none"/>
                <w:lang w:eastAsia="zh-CN"/>
              </w:rPr>
              <w:t>烘干滚筒</w:t>
            </w:r>
            <w:r>
              <w:rPr>
                <w:rFonts w:hint="default" w:ascii="Times New Roman" w:hAnsi="Times New Roman"/>
                <w:color w:val="auto"/>
                <w:highlight w:val="none"/>
              </w:rPr>
              <w:t>中将物料的水分从</w:t>
            </w:r>
            <w:r>
              <w:rPr>
                <w:rStyle w:val="42"/>
                <w:rFonts w:hint="eastAsia" w:ascii="Times New Roman" w:hAnsi="Times New Roman"/>
                <w:color w:val="auto"/>
                <w:kern w:val="0"/>
                <w:szCs w:val="20"/>
                <w:highlight w:val="none"/>
                <w:lang w:val="en-US" w:eastAsia="zh-CN"/>
              </w:rPr>
              <w:t>60</w:t>
            </w:r>
            <w:r>
              <w:rPr>
                <w:rStyle w:val="42"/>
                <w:rFonts w:hint="default" w:ascii="Times New Roman" w:hAnsi="Times New Roman"/>
                <w:color w:val="auto"/>
                <w:kern w:val="0"/>
                <w:szCs w:val="20"/>
                <w:highlight w:val="none"/>
              </w:rPr>
              <w:t>%</w:t>
            </w:r>
            <w:r>
              <w:rPr>
                <w:rFonts w:hint="default" w:ascii="Times New Roman" w:hAnsi="Times New Roman"/>
                <w:color w:val="auto"/>
                <w:highlight w:val="none"/>
              </w:rPr>
              <w:t>降低至</w:t>
            </w:r>
            <w:r>
              <w:rPr>
                <w:rFonts w:hint="eastAsia"/>
                <w:color w:val="auto"/>
                <w:highlight w:val="none"/>
                <w:lang w:val="en-US" w:eastAsia="zh-CN"/>
              </w:rPr>
              <w:t>15</w:t>
            </w:r>
            <w:r>
              <w:rPr>
                <w:rFonts w:hint="default" w:ascii="Times New Roman" w:hAnsi="Times New Roman"/>
                <w:color w:val="auto"/>
                <w:highlight w:val="none"/>
              </w:rPr>
              <w:t>%，以满足成型的需要。</w:t>
            </w:r>
            <w:r>
              <w:rPr>
                <w:rFonts w:hint="eastAsia"/>
                <w:color w:val="auto"/>
                <w:highlight w:val="none"/>
                <w:lang w:eastAsia="zh-CN"/>
              </w:rPr>
              <w:t>烘干滚筒</w:t>
            </w:r>
            <w:r>
              <w:rPr>
                <w:rFonts w:hint="default" w:ascii="Times New Roman" w:hAnsi="Times New Roman"/>
                <w:color w:val="auto"/>
                <w:highlight w:val="none"/>
              </w:rPr>
              <w:t>由生物质</w:t>
            </w:r>
            <w:r>
              <w:rPr>
                <w:rFonts w:hint="eastAsia"/>
                <w:color w:val="auto"/>
                <w:highlight w:val="none"/>
                <w:lang w:val="en-US" w:eastAsia="zh-CN"/>
              </w:rPr>
              <w:t>燃烧器</w:t>
            </w:r>
            <w:r>
              <w:rPr>
                <w:rFonts w:hint="default" w:ascii="Times New Roman" w:hAnsi="Times New Roman"/>
                <w:color w:val="auto"/>
                <w:highlight w:val="none"/>
              </w:rPr>
              <w:t>提供热源，燃料为本项目自产的生物质颗粒，烘干温度为200℃~300℃，</w:t>
            </w:r>
            <w:r>
              <w:rPr>
                <w:rFonts w:hint="eastAsia"/>
                <w:color w:val="auto"/>
                <w:highlight w:val="none"/>
                <w:lang w:val="en-US" w:eastAsia="zh-CN"/>
              </w:rPr>
              <w:t>燃烧器烟气通过</w:t>
            </w:r>
            <w:r>
              <w:rPr>
                <w:rFonts w:hint="default" w:ascii="Times New Roman" w:hAnsi="Times New Roman"/>
                <w:color w:val="auto"/>
                <w:highlight w:val="none"/>
              </w:rPr>
              <w:t>引风机直接引入</w:t>
            </w:r>
            <w:r>
              <w:rPr>
                <w:rFonts w:hint="eastAsia"/>
                <w:color w:val="auto"/>
                <w:highlight w:val="none"/>
                <w:lang w:eastAsia="zh-CN"/>
              </w:rPr>
              <w:t>烘干滚筒</w:t>
            </w:r>
            <w:r>
              <w:rPr>
                <w:rFonts w:hint="default" w:ascii="Times New Roman" w:hAnsi="Times New Roman"/>
                <w:color w:val="auto"/>
                <w:highlight w:val="none"/>
              </w:rPr>
              <w:t>内对物料进行烘干</w:t>
            </w:r>
            <w:r>
              <w:rPr>
                <w:rFonts w:hint="eastAsia"/>
                <w:color w:val="auto"/>
                <w:highlight w:val="none"/>
                <w:lang w:eastAsia="zh-CN"/>
              </w:rPr>
              <w:t>。</w:t>
            </w:r>
          </w:p>
          <w:p w14:paraId="736929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color w:val="auto"/>
                <w:spacing w:val="0"/>
                <w:w w:val="100"/>
                <w:sz w:val="21"/>
                <w:szCs w:val="21"/>
                <w:highlight w:val="none"/>
                <w:lang w:val="en-US" w:eastAsia="zh-CN"/>
              </w:rPr>
            </w:pPr>
            <w:r>
              <w:rPr>
                <w:rFonts w:hint="eastAsia" w:cs="Times New Roman"/>
                <w:b w:val="0"/>
                <w:bCs w:val="0"/>
                <w:color w:val="auto"/>
                <w:spacing w:val="0"/>
                <w:w w:val="100"/>
                <w:sz w:val="21"/>
                <w:szCs w:val="21"/>
                <w:highlight w:val="none"/>
                <w:lang w:val="en-US" w:eastAsia="zh-CN"/>
              </w:rPr>
              <w:t>4）造粒</w:t>
            </w:r>
          </w:p>
          <w:p w14:paraId="3E26A7AE">
            <w:pPr>
              <w:pStyle w:val="47"/>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olor w:val="auto"/>
                <w:highlight w:val="none"/>
                <w:lang w:val="en-US" w:eastAsia="zh-CN"/>
              </w:rPr>
            </w:pPr>
            <w:r>
              <w:rPr>
                <w:rFonts w:hint="eastAsia" w:ascii="Times New Roman" w:hAnsi="Times New Roman"/>
                <w:color w:val="auto"/>
                <w:highlight w:val="none"/>
                <w:lang w:val="en-US" w:eastAsia="zh-CN"/>
              </w:rPr>
              <w:t>烘干后的</w:t>
            </w:r>
            <w:r>
              <w:rPr>
                <w:rFonts w:hint="default" w:ascii="Times New Roman" w:hAnsi="Times New Roman"/>
                <w:color w:val="auto"/>
                <w:highlight w:val="none"/>
              </w:rPr>
              <w:t>物料输送至</w:t>
            </w:r>
            <w:r>
              <w:rPr>
                <w:rFonts w:hint="eastAsia" w:ascii="Times New Roman" w:hAnsi="Times New Roman"/>
                <w:color w:val="auto"/>
                <w:kern w:val="0"/>
                <w:szCs w:val="21"/>
                <w:highlight w:val="none"/>
                <w:lang w:val="en-US" w:eastAsia="zh-CN" w:bidi="ar"/>
              </w:rPr>
              <w:t>造粒机</w:t>
            </w:r>
            <w:r>
              <w:rPr>
                <w:rFonts w:hint="default" w:ascii="Times New Roman" w:hAnsi="Times New Roman"/>
                <w:color w:val="auto"/>
                <w:highlight w:val="none"/>
              </w:rPr>
              <w:t>，颗粒机主要部件是压模和压辊，压模壁均布模孔，机械与生物质原料之间及生物质原料之间相互摩擦产生热量，物料温度可达70~110℃左右，使木质素软化，从模孔中挤压成型出来而得到具有一定形状和规格的固体成型燃料。压缩过程不使用添加剂</w:t>
            </w:r>
            <w:r>
              <w:rPr>
                <w:rFonts w:hint="eastAsia" w:ascii="Times New Roman" w:hAnsi="Times New Roman"/>
                <w:color w:val="auto"/>
                <w:highlight w:val="none"/>
                <w:lang w:eastAsia="zh-CN"/>
              </w:rPr>
              <w:t>。</w:t>
            </w:r>
          </w:p>
          <w:p w14:paraId="5CC3386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pacing w:val="0"/>
                <w:w w:val="100"/>
                <w:sz w:val="21"/>
                <w:szCs w:val="21"/>
                <w:highlight w:val="none"/>
                <w:lang w:val="en-US" w:eastAsia="zh-CN"/>
              </w:rPr>
            </w:pPr>
            <w:r>
              <w:rPr>
                <w:rFonts w:hint="eastAsia" w:cs="Times New Roman"/>
                <w:b w:val="0"/>
                <w:bCs w:val="0"/>
                <w:color w:val="auto"/>
                <w:spacing w:val="0"/>
                <w:w w:val="100"/>
                <w:sz w:val="21"/>
                <w:szCs w:val="21"/>
                <w:highlight w:val="none"/>
                <w:lang w:val="en-US" w:eastAsia="zh-CN"/>
              </w:rPr>
              <w:t>5）成品入仓</w:t>
            </w:r>
          </w:p>
          <w:p w14:paraId="7D8C5A65">
            <w:pPr>
              <w:pStyle w:val="15"/>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auto"/>
              <w:rPr>
                <w:rFonts w:hint="default" w:cs="Times New Roman"/>
                <w:b w:val="0"/>
                <w:bCs w:val="0"/>
                <w:color w:val="auto"/>
                <w:spacing w:val="0"/>
                <w:w w:val="100"/>
                <w:sz w:val="21"/>
                <w:szCs w:val="21"/>
                <w:highlight w:val="none"/>
                <w:lang w:val="en-US" w:eastAsia="zh-CN"/>
              </w:rPr>
            </w:pPr>
            <w:r>
              <w:rPr>
                <w:rFonts w:hint="eastAsia" w:cs="Times New Roman"/>
                <w:b w:val="0"/>
                <w:bCs w:val="0"/>
                <w:color w:val="auto"/>
                <w:spacing w:val="0"/>
                <w:w w:val="100"/>
                <w:sz w:val="21"/>
                <w:szCs w:val="21"/>
                <w:highlight w:val="none"/>
                <w:lang w:val="en-US" w:eastAsia="zh-CN"/>
              </w:rPr>
              <w:t>造粒机产出的成品直接通过输送机进入成品仓储存，成品仓下方设置出料口，可直接装入汽车外运出厂。</w:t>
            </w:r>
          </w:p>
          <w:p w14:paraId="0AE8632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b/>
                <w:bCs/>
                <w:color w:val="auto"/>
                <w:highlight w:val="none"/>
                <w:lang w:val="en-US" w:eastAsia="zh-CN"/>
              </w:rPr>
            </w:pPr>
            <w:r>
              <w:rPr>
                <w:rFonts w:hint="default"/>
                <w:b/>
                <w:bCs/>
                <w:color w:val="auto"/>
                <w:highlight w:val="none"/>
                <w:lang w:val="en-US" w:eastAsia="zh-CN"/>
              </w:rPr>
              <w:t>本项目生产过程中产污如下：</w:t>
            </w:r>
          </w:p>
          <w:p w14:paraId="07B14E0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宋体" w:hAnsi="宋体" w:eastAsia="宋体" w:cs="宋体"/>
                <w:bCs/>
                <w:color w:val="auto"/>
                <w:szCs w:val="21"/>
                <w:highlight w:val="none"/>
                <w:lang w:eastAsia="zh-CN"/>
              </w:rPr>
            </w:pPr>
            <w:r>
              <w:rPr>
                <w:rFonts w:hint="default"/>
                <w:color w:val="auto"/>
                <w:highlight w:val="none"/>
              </w:rPr>
              <w:t>废气：本项目废气为</w:t>
            </w:r>
            <w:r>
              <w:rPr>
                <w:rFonts w:hint="eastAsia" w:ascii="宋体" w:hAnsi="宋体" w:cs="宋体"/>
                <w:bCs/>
                <w:color w:val="auto"/>
                <w:szCs w:val="21"/>
                <w:highlight w:val="none"/>
                <w:lang w:val="en-US" w:eastAsia="zh-CN"/>
              </w:rPr>
              <w:t>燃烧器</w:t>
            </w:r>
            <w:r>
              <w:rPr>
                <w:rFonts w:hint="eastAsia" w:ascii="宋体" w:hAnsi="宋体" w:cs="宋体"/>
                <w:bCs/>
                <w:color w:val="auto"/>
                <w:szCs w:val="21"/>
                <w:highlight w:val="none"/>
              </w:rPr>
              <w:t>烟气（颗粒物、二氧化硫、氮氧化物、烟气黑度），</w:t>
            </w:r>
            <w:r>
              <w:rPr>
                <w:rFonts w:hint="eastAsia" w:ascii="宋体" w:hAnsi="宋体" w:cs="宋体"/>
                <w:bCs/>
                <w:color w:val="auto"/>
                <w:szCs w:val="21"/>
                <w:highlight w:val="none"/>
                <w:lang w:val="en-US" w:eastAsia="zh-CN"/>
              </w:rPr>
              <w:t>生产工序（</w:t>
            </w:r>
            <w:r>
              <w:rPr>
                <w:rFonts w:hint="eastAsia" w:cs="Times New Roman"/>
                <w:bCs/>
                <w:color w:val="auto"/>
                <w:kern w:val="0"/>
                <w:sz w:val="21"/>
                <w:szCs w:val="21"/>
                <w:highlight w:val="none"/>
                <w:lang w:val="en-US" w:eastAsia="zh-CN"/>
              </w:rPr>
              <w:t>破碎（</w:t>
            </w:r>
            <w:r>
              <w:rPr>
                <w:rFonts w:hint="eastAsia" w:ascii="Times New Roman" w:hAnsi="Times New Roman" w:eastAsia="宋体" w:cs="Times New Roman"/>
                <w:bCs/>
                <w:color w:val="auto"/>
                <w:kern w:val="0"/>
                <w:sz w:val="21"/>
                <w:szCs w:val="21"/>
                <w:highlight w:val="none"/>
                <w:lang w:val="en-US" w:eastAsia="zh-CN"/>
              </w:rPr>
              <w:t>粉碎</w:t>
            </w:r>
            <w:r>
              <w:rPr>
                <w:rFonts w:hint="eastAsia" w:cs="Times New Roman"/>
                <w:bCs/>
                <w:color w:val="auto"/>
                <w:kern w:val="0"/>
                <w:sz w:val="21"/>
                <w:szCs w:val="21"/>
                <w:highlight w:val="none"/>
                <w:lang w:val="en-US" w:eastAsia="zh-CN"/>
              </w:rPr>
              <w:t>）</w:t>
            </w:r>
            <w:r>
              <w:rPr>
                <w:rFonts w:hint="eastAsia" w:ascii="宋体" w:hAnsi="宋体" w:cs="宋体"/>
                <w:bCs/>
                <w:color w:val="auto"/>
                <w:szCs w:val="21"/>
                <w:highlight w:val="none"/>
                <w:lang w:val="en-US" w:eastAsia="zh-CN"/>
              </w:rPr>
              <w:t>、烘干）产生的颗粒物</w:t>
            </w:r>
            <w:r>
              <w:rPr>
                <w:rFonts w:hint="eastAsia" w:ascii="宋体" w:hAnsi="宋体" w:cs="宋体"/>
                <w:bCs/>
                <w:color w:val="auto"/>
                <w:szCs w:val="21"/>
                <w:highlight w:val="none"/>
                <w:lang w:eastAsia="zh-CN"/>
              </w:rPr>
              <w:t>。</w:t>
            </w:r>
          </w:p>
          <w:p w14:paraId="45B8E254">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color w:val="auto"/>
                <w:highlight w:val="none"/>
                <w:lang w:val="en-US" w:eastAsia="zh-CN"/>
              </w:rPr>
              <w:t>废水：</w:t>
            </w:r>
            <w:r>
              <w:rPr>
                <w:rFonts w:hint="eastAsia"/>
                <w:bCs/>
                <w:color w:val="auto"/>
                <w:szCs w:val="21"/>
                <w:highlight w:val="none"/>
              </w:rPr>
              <w:t>本项目生产过程中无废水产生，</w:t>
            </w:r>
            <w:r>
              <w:rPr>
                <w:rFonts w:hint="eastAsia"/>
                <w:bCs/>
                <w:color w:val="auto"/>
                <w:szCs w:val="21"/>
                <w:highlight w:val="none"/>
                <w:lang w:val="en-US" w:eastAsia="zh-CN"/>
              </w:rPr>
              <w:t>主要为生活污水，排入防渗旱厕，定期清掏外运堆肥</w:t>
            </w:r>
            <w:r>
              <w:rPr>
                <w:rFonts w:hint="default" w:ascii="Times New Roman" w:hAnsi="Times New Roman" w:cs="Times New Roman"/>
                <w:bCs/>
                <w:color w:val="auto"/>
                <w:szCs w:val="21"/>
                <w:highlight w:val="none"/>
              </w:rPr>
              <w:t>。</w:t>
            </w:r>
          </w:p>
          <w:p w14:paraId="18CC388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eastAsia="宋体"/>
                <w:color w:val="auto"/>
                <w:highlight w:val="none"/>
                <w:lang w:eastAsia="zh-CN"/>
              </w:rPr>
            </w:pPr>
            <w:r>
              <w:rPr>
                <w:rFonts w:hint="default"/>
                <w:color w:val="auto"/>
                <w:highlight w:val="none"/>
              </w:rPr>
              <w:t>噪声：本项目噪声主要来自生产设备运行时产生的噪声</w:t>
            </w:r>
            <w:r>
              <w:rPr>
                <w:rFonts w:hint="eastAsia"/>
                <w:color w:val="auto"/>
                <w:highlight w:val="none"/>
                <w:lang w:eastAsia="zh-CN"/>
              </w:rPr>
              <w:t>。</w:t>
            </w:r>
          </w:p>
          <w:p w14:paraId="441F30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宋体" w:hAnsi="宋体" w:cs="宋体"/>
                <w:color w:val="auto"/>
                <w:sz w:val="21"/>
                <w:szCs w:val="21"/>
                <w:highlight w:val="none"/>
              </w:rPr>
            </w:pPr>
            <w:r>
              <w:rPr>
                <w:rFonts w:hint="default"/>
                <w:color w:val="auto"/>
                <w:highlight w:val="none"/>
              </w:rPr>
              <w:t>固废：本项目固废主</w:t>
            </w:r>
            <w:r>
              <w:rPr>
                <w:rFonts w:hint="default"/>
                <w:color w:val="auto"/>
                <w:sz w:val="21"/>
                <w:szCs w:val="21"/>
                <w:highlight w:val="none"/>
              </w:rPr>
              <w:t>要为</w:t>
            </w:r>
            <w:r>
              <w:rPr>
                <w:rFonts w:hint="eastAsia"/>
                <w:color w:val="auto"/>
                <w:sz w:val="21"/>
                <w:szCs w:val="21"/>
                <w:highlight w:val="none"/>
                <w:lang w:val="en-US" w:eastAsia="zh-CN"/>
              </w:rPr>
              <w:t>燃烧器灰渣，生产工序布袋除尘器收尘，不合格产品，杂质砂石、废布袋</w:t>
            </w:r>
            <w:r>
              <w:rPr>
                <w:rFonts w:hint="eastAsia" w:ascii="宋体" w:hAnsi="宋体" w:cs="宋体"/>
                <w:color w:val="auto"/>
                <w:sz w:val="21"/>
                <w:szCs w:val="21"/>
                <w:highlight w:val="none"/>
                <w:lang w:eastAsia="zh-CN"/>
              </w:rPr>
              <w:t>。</w:t>
            </w:r>
          </w:p>
          <w:p w14:paraId="51E1E76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本项目运营期工程主要排污节点见表</w:t>
            </w:r>
            <w:r>
              <w:rPr>
                <w:rFonts w:hint="eastAsia" w:ascii="Times New Roman" w:hAnsi="Times New Roman" w:eastAsia="宋体" w:cs="Times New Roman"/>
                <w:color w:val="auto"/>
                <w:spacing w:val="0"/>
                <w:sz w:val="21"/>
                <w:szCs w:val="21"/>
                <w:highlight w:val="none"/>
                <w:lang w:val="en-US" w:eastAsia="zh-CN"/>
              </w:rPr>
              <w:t>2</w:t>
            </w:r>
            <w:r>
              <w:rPr>
                <w:rFonts w:hint="default" w:ascii="Times New Roman" w:hAnsi="Times New Roman" w:eastAsia="宋体" w:cs="Times New Roman"/>
                <w:color w:val="auto"/>
                <w:spacing w:val="0"/>
                <w:sz w:val="21"/>
                <w:szCs w:val="21"/>
                <w:highlight w:val="none"/>
                <w:lang w:val="en-US" w:eastAsia="zh-CN"/>
              </w:rPr>
              <w:t>-</w:t>
            </w:r>
            <w:r>
              <w:rPr>
                <w:rFonts w:hint="eastAsia" w:cs="Times New Roman"/>
                <w:color w:val="auto"/>
                <w:spacing w:val="0"/>
                <w:sz w:val="21"/>
                <w:szCs w:val="21"/>
                <w:highlight w:val="none"/>
                <w:lang w:val="en-US" w:eastAsia="zh-CN"/>
              </w:rPr>
              <w:t>10</w:t>
            </w:r>
            <w:r>
              <w:rPr>
                <w:rFonts w:hint="default" w:ascii="Times New Roman" w:hAnsi="Times New Roman" w:eastAsia="宋体" w:cs="Times New Roman"/>
                <w:color w:val="auto"/>
                <w:spacing w:val="0"/>
                <w:sz w:val="21"/>
                <w:szCs w:val="21"/>
                <w:highlight w:val="none"/>
                <w:lang w:val="en-US" w:eastAsia="zh-CN"/>
              </w:rPr>
              <w:t>。</w:t>
            </w:r>
          </w:p>
          <w:p w14:paraId="541FD89F">
            <w:pPr>
              <w:keepNext w:val="0"/>
              <w:keepLines w:val="0"/>
              <w:widowControl w:val="0"/>
              <w:suppressLineNumbers w:val="0"/>
              <w:adjustRightInd w:val="0"/>
              <w:snapToGrid w:val="0"/>
              <w:spacing w:before="0" w:beforeAutospacing="0" w:after="0" w:afterAutospacing="0" w:line="240" w:lineRule="auto"/>
              <w:ind w:left="0" w:right="0"/>
              <w:jc w:val="center"/>
              <w:rPr>
                <w:rFonts w:hint="default" w:ascii="Times New Roman" w:hAnsi="Times New Roman" w:eastAsia="宋体" w:cs="Times New Roman"/>
                <w:b/>
                <w:bCs/>
                <w:color w:val="auto"/>
                <w:spacing w:val="0"/>
                <w:kern w:val="0"/>
                <w:sz w:val="21"/>
                <w:szCs w:val="21"/>
                <w:highlight w:val="none"/>
                <w:lang w:val="en-US" w:eastAsia="zh-CN" w:bidi="ar-SA"/>
              </w:rPr>
            </w:pPr>
            <w:r>
              <w:rPr>
                <w:rFonts w:hint="default" w:ascii="Times New Roman" w:hAnsi="Times New Roman" w:eastAsia="宋体" w:cs="Times New Roman"/>
                <w:b/>
                <w:bCs/>
                <w:color w:val="auto"/>
                <w:spacing w:val="0"/>
                <w:kern w:val="0"/>
                <w:sz w:val="21"/>
                <w:szCs w:val="21"/>
                <w:highlight w:val="none"/>
                <w:lang w:val="en-US" w:eastAsia="zh-CN" w:bidi="ar-SA"/>
              </w:rPr>
              <w:t>表</w:t>
            </w:r>
            <w:r>
              <w:rPr>
                <w:rFonts w:hint="eastAsia" w:ascii="Times New Roman" w:hAnsi="Times New Roman" w:eastAsia="宋体" w:cs="Times New Roman"/>
                <w:b/>
                <w:bCs/>
                <w:color w:val="auto"/>
                <w:spacing w:val="0"/>
                <w:kern w:val="0"/>
                <w:sz w:val="21"/>
                <w:szCs w:val="21"/>
                <w:highlight w:val="none"/>
                <w:lang w:val="en-US" w:eastAsia="zh-CN" w:bidi="ar-SA"/>
              </w:rPr>
              <w:t>2</w:t>
            </w:r>
            <w:r>
              <w:rPr>
                <w:rFonts w:hint="default" w:ascii="Times New Roman" w:hAnsi="Times New Roman" w:eastAsia="宋体" w:cs="Times New Roman"/>
                <w:b/>
                <w:bCs/>
                <w:color w:val="auto"/>
                <w:spacing w:val="0"/>
                <w:kern w:val="0"/>
                <w:sz w:val="21"/>
                <w:szCs w:val="21"/>
                <w:highlight w:val="none"/>
                <w:lang w:val="en-US" w:eastAsia="zh-CN" w:bidi="ar-SA"/>
              </w:rPr>
              <w:t>-</w:t>
            </w:r>
            <w:r>
              <w:rPr>
                <w:rFonts w:hint="eastAsia" w:cs="Times New Roman"/>
                <w:b/>
                <w:bCs/>
                <w:color w:val="auto"/>
                <w:spacing w:val="0"/>
                <w:kern w:val="0"/>
                <w:sz w:val="21"/>
                <w:szCs w:val="21"/>
                <w:highlight w:val="none"/>
                <w:lang w:val="en-US" w:eastAsia="zh-CN" w:bidi="ar-SA"/>
              </w:rPr>
              <w:t>10</w:t>
            </w:r>
            <w:r>
              <w:rPr>
                <w:rFonts w:hint="default" w:ascii="Times New Roman" w:hAnsi="Times New Roman" w:eastAsia="宋体" w:cs="Times New Roman"/>
                <w:b/>
                <w:bCs/>
                <w:color w:val="auto"/>
                <w:spacing w:val="0"/>
                <w:kern w:val="0"/>
                <w:sz w:val="21"/>
                <w:szCs w:val="21"/>
                <w:highlight w:val="none"/>
                <w:lang w:val="en-US" w:eastAsia="zh-CN" w:bidi="ar-SA"/>
              </w:rPr>
              <w:t>本项目运营期工程主要排污节点一览表</w:t>
            </w:r>
          </w:p>
          <w:tbl>
            <w:tblPr>
              <w:tblStyle w:val="34"/>
              <w:tblW w:w="4999"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2"/>
              <w:gridCol w:w="615"/>
              <w:gridCol w:w="1170"/>
              <w:gridCol w:w="1380"/>
              <w:gridCol w:w="1062"/>
              <w:gridCol w:w="3327"/>
            </w:tblGrid>
            <w:tr w14:paraId="076782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tcBorders>
                    <w:tl2br w:val="nil"/>
                    <w:tr2bl w:val="nil"/>
                  </w:tcBorders>
                  <w:noWrap w:val="0"/>
                  <w:vAlign w:val="center"/>
                </w:tcPr>
                <w:p w14:paraId="2A4CFC4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项目</w:t>
                  </w:r>
                </w:p>
              </w:tc>
              <w:tc>
                <w:tcPr>
                  <w:tcW w:w="1785" w:type="dxa"/>
                  <w:gridSpan w:val="2"/>
                  <w:tcBorders>
                    <w:tl2br w:val="nil"/>
                    <w:tr2bl w:val="nil"/>
                  </w:tcBorders>
                  <w:noWrap w:val="0"/>
                  <w:vAlign w:val="center"/>
                </w:tcPr>
                <w:p w14:paraId="7EFE58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污染源</w:t>
                  </w:r>
                </w:p>
              </w:tc>
              <w:tc>
                <w:tcPr>
                  <w:tcW w:w="1380" w:type="dxa"/>
                  <w:tcBorders>
                    <w:tl2br w:val="nil"/>
                    <w:tr2bl w:val="nil"/>
                  </w:tcBorders>
                  <w:noWrap w:val="0"/>
                  <w:vAlign w:val="center"/>
                </w:tcPr>
                <w:p w14:paraId="7BABB5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污染物</w:t>
                  </w:r>
                </w:p>
              </w:tc>
              <w:tc>
                <w:tcPr>
                  <w:tcW w:w="1062" w:type="dxa"/>
                  <w:tcBorders>
                    <w:tl2br w:val="nil"/>
                    <w:tr2bl w:val="nil"/>
                  </w:tcBorders>
                  <w:noWrap w:val="0"/>
                  <w:vAlign w:val="center"/>
                </w:tcPr>
                <w:p w14:paraId="411FE8D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排放特点</w:t>
                  </w:r>
                </w:p>
              </w:tc>
              <w:tc>
                <w:tcPr>
                  <w:tcW w:w="3327" w:type="dxa"/>
                  <w:tcBorders>
                    <w:tl2br w:val="nil"/>
                    <w:tr2bl w:val="nil"/>
                  </w:tcBorders>
                  <w:noWrap w:val="0"/>
                  <w:vAlign w:val="center"/>
                </w:tcPr>
                <w:p w14:paraId="5738378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治理措施</w:t>
                  </w:r>
                </w:p>
              </w:tc>
            </w:tr>
            <w:tr w14:paraId="1407A47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vMerge w:val="restart"/>
                  <w:tcBorders>
                    <w:tl2br w:val="nil"/>
                    <w:tr2bl w:val="nil"/>
                  </w:tcBorders>
                  <w:noWrap w:val="0"/>
                  <w:vAlign w:val="center"/>
                </w:tcPr>
                <w:p w14:paraId="0827CA3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废气</w:t>
                  </w:r>
                </w:p>
              </w:tc>
              <w:tc>
                <w:tcPr>
                  <w:tcW w:w="615" w:type="dxa"/>
                  <w:vMerge w:val="restart"/>
                  <w:tcBorders>
                    <w:tl2br w:val="nil"/>
                    <w:tr2bl w:val="nil"/>
                  </w:tcBorders>
                  <w:noWrap w:val="0"/>
                  <w:vAlign w:val="center"/>
                </w:tcPr>
                <w:p w14:paraId="59731BB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1号生产车间</w:t>
                  </w:r>
                </w:p>
              </w:tc>
              <w:tc>
                <w:tcPr>
                  <w:tcW w:w="1170" w:type="dxa"/>
                  <w:tcBorders>
                    <w:tl2br w:val="nil"/>
                    <w:tr2bl w:val="nil"/>
                  </w:tcBorders>
                  <w:shd w:val="clear" w:color="auto" w:fill="auto"/>
                  <w:noWrap w:val="0"/>
                  <w:vAlign w:val="center"/>
                </w:tcPr>
                <w:p w14:paraId="0499655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z w:val="18"/>
                      <w:szCs w:val="18"/>
                      <w:highlight w:val="none"/>
                      <w:lang w:val="en-US" w:eastAsia="zh-CN"/>
                    </w:rPr>
                    <w:t>1号生物质燃烧器、烘干滚筒排气筒</w:t>
                  </w:r>
                  <w:r>
                    <w:rPr>
                      <w:rFonts w:hint="eastAsia"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val="en-US" w:eastAsia="zh-CN"/>
                    </w:rPr>
                    <w:t>DA001</w:t>
                  </w:r>
                  <w:r>
                    <w:rPr>
                      <w:rFonts w:hint="eastAsia" w:ascii="Times New Roman" w:hAnsi="Times New Roman" w:cs="Times New Roman"/>
                      <w:color w:val="auto"/>
                      <w:sz w:val="18"/>
                      <w:szCs w:val="18"/>
                      <w:highlight w:val="none"/>
                      <w:lang w:eastAsia="zh-CN"/>
                    </w:rPr>
                    <w:t>）</w:t>
                  </w:r>
                </w:p>
              </w:tc>
              <w:tc>
                <w:tcPr>
                  <w:tcW w:w="1380" w:type="dxa"/>
                  <w:tcBorders>
                    <w:tl2br w:val="nil"/>
                    <w:tr2bl w:val="nil"/>
                  </w:tcBorders>
                  <w:noWrap w:val="0"/>
                  <w:vAlign w:val="center"/>
                </w:tcPr>
                <w:p w14:paraId="687FE857">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z w:val="18"/>
                      <w:szCs w:val="18"/>
                      <w:highlight w:val="none"/>
                      <w:lang w:val="en-US" w:eastAsia="zh-CN"/>
                    </w:rPr>
                    <w:t>颗粒物、</w:t>
                  </w:r>
                  <w:r>
                    <w:rPr>
                      <w:rFonts w:hint="eastAsia" w:ascii="Times New Roman" w:hAnsi="Times New Roman" w:cs="Times New Roman"/>
                      <w:color w:val="auto"/>
                      <w:sz w:val="18"/>
                      <w:szCs w:val="18"/>
                      <w:highlight w:val="none"/>
                      <w:lang w:val="en-US" w:eastAsia="zh-CN"/>
                    </w:rPr>
                    <w:t>NO</w:t>
                  </w:r>
                  <w:r>
                    <w:rPr>
                      <w:rFonts w:hint="eastAsia" w:ascii="Times New Roman" w:hAnsi="Times New Roman" w:cs="Times New Roman"/>
                      <w:color w:val="auto"/>
                      <w:sz w:val="18"/>
                      <w:szCs w:val="18"/>
                      <w:highlight w:val="none"/>
                      <w:vertAlign w:val="subscript"/>
                      <w:lang w:val="en-US" w:eastAsia="zh-CN"/>
                    </w:rPr>
                    <w:t>X</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SO</w:t>
                  </w:r>
                  <w:r>
                    <w:rPr>
                      <w:rFonts w:hint="default" w:ascii="Times New Roman" w:hAnsi="Times New Roman" w:cs="Times New Roman"/>
                      <w:color w:val="auto"/>
                      <w:sz w:val="18"/>
                      <w:szCs w:val="18"/>
                      <w:highlight w:val="none"/>
                      <w:vertAlign w:val="subscript"/>
                    </w:rPr>
                    <w:t>2</w:t>
                  </w:r>
                  <w:r>
                    <w:rPr>
                      <w:rFonts w:hint="default"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eastAsia="zh-CN"/>
                    </w:rPr>
                    <w:t>烟气黑度</w:t>
                  </w:r>
                </w:p>
              </w:tc>
              <w:tc>
                <w:tcPr>
                  <w:tcW w:w="1062" w:type="dxa"/>
                  <w:vMerge w:val="restart"/>
                  <w:tcBorders>
                    <w:tl2br w:val="nil"/>
                    <w:tr2bl w:val="nil"/>
                  </w:tcBorders>
                  <w:noWrap w:val="0"/>
                  <w:vAlign w:val="center"/>
                </w:tcPr>
                <w:p w14:paraId="79D3CCAD">
                  <w:pPr>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连续</w:t>
                  </w:r>
                </w:p>
              </w:tc>
              <w:tc>
                <w:tcPr>
                  <w:tcW w:w="3327" w:type="dxa"/>
                  <w:tcBorders>
                    <w:tl2br w:val="nil"/>
                    <w:tr2bl w:val="nil"/>
                  </w:tcBorders>
                  <w:noWrap w:val="0"/>
                  <w:vAlign w:val="center"/>
                </w:tcPr>
                <w:p w14:paraId="1C3689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布袋除尘器处理（除尘效率99%）后，由1根</w:t>
                  </w:r>
                  <w:r>
                    <w:rPr>
                      <w:rFonts w:hint="eastAsia" w:cs="Times New Roman"/>
                      <w:color w:val="auto"/>
                      <w:sz w:val="18"/>
                      <w:szCs w:val="18"/>
                      <w:highlight w:val="none"/>
                      <w:lang w:val="en-US" w:eastAsia="zh-CN"/>
                    </w:rPr>
                    <w:t>15</w:t>
                  </w:r>
                  <w:r>
                    <w:rPr>
                      <w:rFonts w:hint="default" w:ascii="Times New Roman" w:hAnsi="Times New Roman" w:eastAsia="宋体" w:cs="Times New Roman"/>
                      <w:color w:val="auto"/>
                      <w:sz w:val="18"/>
                      <w:szCs w:val="18"/>
                      <w:highlight w:val="none"/>
                    </w:rPr>
                    <w:t>m高</w:t>
                  </w:r>
                  <w:r>
                    <w:rPr>
                      <w:rFonts w:hint="eastAsia" w:cs="Times New Roman"/>
                      <w:color w:val="auto"/>
                      <w:sz w:val="18"/>
                      <w:szCs w:val="18"/>
                      <w:highlight w:val="none"/>
                      <w:lang w:val="en-US" w:eastAsia="zh-CN"/>
                    </w:rPr>
                    <w:t>烟囱（DA001）</w:t>
                  </w:r>
                  <w:r>
                    <w:rPr>
                      <w:rFonts w:hint="default" w:ascii="Times New Roman" w:hAnsi="Times New Roman" w:eastAsia="宋体" w:cs="Times New Roman"/>
                      <w:color w:val="auto"/>
                      <w:sz w:val="18"/>
                      <w:szCs w:val="18"/>
                      <w:highlight w:val="none"/>
                    </w:rPr>
                    <w:t>排放</w:t>
                  </w:r>
                </w:p>
              </w:tc>
            </w:tr>
            <w:tr w14:paraId="2C92652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vMerge w:val="continue"/>
                  <w:tcBorders>
                    <w:tl2br w:val="nil"/>
                    <w:tr2bl w:val="nil"/>
                  </w:tcBorders>
                  <w:noWrap w:val="0"/>
                  <w:vAlign w:val="center"/>
                </w:tcPr>
                <w:p w14:paraId="6D47447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615" w:type="dxa"/>
                  <w:vMerge w:val="continue"/>
                  <w:tcBorders>
                    <w:tl2br w:val="nil"/>
                    <w:tr2bl w:val="nil"/>
                  </w:tcBorders>
                  <w:shd w:val="clear" w:color="auto" w:fill="auto"/>
                  <w:noWrap w:val="0"/>
                  <w:vAlign w:val="center"/>
                </w:tcPr>
                <w:p w14:paraId="70F313C7">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spacing w:val="0"/>
                      <w:kern w:val="2"/>
                      <w:sz w:val="18"/>
                      <w:szCs w:val="18"/>
                      <w:highlight w:val="none"/>
                      <w:lang w:val="en-US" w:eastAsia="zh-CN" w:bidi="ar-SA"/>
                    </w:rPr>
                  </w:pPr>
                </w:p>
              </w:tc>
              <w:tc>
                <w:tcPr>
                  <w:tcW w:w="1170" w:type="dxa"/>
                  <w:tcBorders>
                    <w:tl2br w:val="nil"/>
                    <w:tr2bl w:val="nil"/>
                  </w:tcBorders>
                  <w:shd w:val="clear" w:color="auto" w:fill="auto"/>
                  <w:noWrap w:val="0"/>
                  <w:vAlign w:val="center"/>
                </w:tcPr>
                <w:p w14:paraId="58F07D9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bCs/>
                      <w:color w:val="auto"/>
                      <w:kern w:val="0"/>
                      <w:sz w:val="18"/>
                      <w:szCs w:val="18"/>
                      <w:highlight w:val="none"/>
                      <w:lang w:val="en-US" w:eastAsia="zh-CN"/>
                    </w:rPr>
                    <w:t>破碎（</w:t>
                  </w:r>
                  <w:r>
                    <w:rPr>
                      <w:rFonts w:hint="eastAsia" w:ascii="Times New Roman" w:hAnsi="Times New Roman" w:eastAsia="宋体" w:cs="Times New Roman"/>
                      <w:bCs/>
                      <w:color w:val="auto"/>
                      <w:kern w:val="0"/>
                      <w:sz w:val="18"/>
                      <w:szCs w:val="18"/>
                      <w:highlight w:val="none"/>
                      <w:lang w:val="en-US" w:eastAsia="zh-CN"/>
                    </w:rPr>
                    <w:t>粉碎</w:t>
                  </w:r>
                  <w:r>
                    <w:rPr>
                      <w:rFonts w:hint="eastAsia" w:cs="Times New Roman"/>
                      <w:bCs/>
                      <w:color w:val="auto"/>
                      <w:kern w:val="0"/>
                      <w:sz w:val="18"/>
                      <w:szCs w:val="18"/>
                      <w:highlight w:val="none"/>
                      <w:lang w:val="en-US" w:eastAsia="zh-CN"/>
                    </w:rPr>
                    <w:t>）</w:t>
                  </w:r>
                  <w:r>
                    <w:rPr>
                      <w:rFonts w:hint="eastAsia" w:ascii="Times New Roman" w:hAnsi="Times New Roman" w:cs="Times New Roman"/>
                      <w:color w:val="auto"/>
                      <w:sz w:val="18"/>
                      <w:szCs w:val="18"/>
                      <w:highlight w:val="none"/>
                      <w:lang w:val="en-US" w:eastAsia="zh-CN"/>
                    </w:rPr>
                    <w:t>排气筒（DA002）</w:t>
                  </w:r>
                </w:p>
              </w:tc>
              <w:tc>
                <w:tcPr>
                  <w:tcW w:w="1380" w:type="dxa"/>
                  <w:tcBorders>
                    <w:tl2br w:val="nil"/>
                    <w:tr2bl w:val="nil"/>
                  </w:tcBorders>
                  <w:shd w:val="clear" w:color="auto" w:fill="auto"/>
                  <w:noWrap w:val="0"/>
                  <w:vAlign w:val="center"/>
                </w:tcPr>
                <w:p w14:paraId="0856FE79">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z w:val="18"/>
                      <w:szCs w:val="18"/>
                      <w:highlight w:val="none"/>
                      <w:lang w:val="en-US" w:eastAsia="zh-CN"/>
                    </w:rPr>
                    <w:t>颗粒物</w:t>
                  </w:r>
                </w:p>
              </w:tc>
              <w:tc>
                <w:tcPr>
                  <w:tcW w:w="1062" w:type="dxa"/>
                  <w:vMerge w:val="continue"/>
                  <w:tcBorders>
                    <w:tl2br w:val="nil"/>
                    <w:tr2bl w:val="nil"/>
                  </w:tcBorders>
                  <w:shd w:val="clear" w:color="auto" w:fill="auto"/>
                  <w:noWrap w:val="0"/>
                  <w:vAlign w:val="center"/>
                </w:tcPr>
                <w:p w14:paraId="39456BE5">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p>
              </w:tc>
              <w:tc>
                <w:tcPr>
                  <w:tcW w:w="3327" w:type="dxa"/>
                  <w:tcBorders>
                    <w:tl2br w:val="nil"/>
                    <w:tr2bl w:val="nil"/>
                  </w:tcBorders>
                  <w:shd w:val="clear" w:color="auto" w:fill="auto"/>
                  <w:noWrap w:val="0"/>
                  <w:vAlign w:val="center"/>
                </w:tcPr>
                <w:p w14:paraId="6EB7A0A9">
                  <w:pPr>
                    <w:keepNext w:val="0"/>
                    <w:keepLines w:val="0"/>
                    <w:pageBreakBefore w:val="0"/>
                    <w:widowControl/>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kern w:val="0"/>
                      <w:sz w:val="18"/>
                      <w:szCs w:val="18"/>
                      <w:highlight w:val="none"/>
                      <w:lang w:val="en-US" w:eastAsia="zh-CN"/>
                    </w:rPr>
                    <w:t>集气罩+布袋除尘器（</w:t>
                  </w:r>
                  <w:r>
                    <w:rPr>
                      <w:rFonts w:hint="default" w:ascii="Times New Roman" w:hAnsi="Times New Roman" w:eastAsia="宋体" w:cs="Times New Roman"/>
                      <w:color w:val="auto"/>
                      <w:sz w:val="18"/>
                      <w:szCs w:val="18"/>
                      <w:highlight w:val="none"/>
                    </w:rPr>
                    <w:t>除尘效率9</w:t>
                  </w:r>
                  <w:r>
                    <w:rPr>
                      <w:rFonts w:hint="eastAsia" w:ascii="Times New Roman" w:hAnsi="Times New Roman" w:eastAsia="宋体" w:cs="Times New Roman"/>
                      <w:color w:val="auto"/>
                      <w:sz w:val="18"/>
                      <w:szCs w:val="18"/>
                      <w:highlight w:val="none"/>
                      <w:lang w:val="en-US" w:eastAsia="zh-CN"/>
                    </w:rPr>
                    <w:t>2</w:t>
                  </w:r>
                  <w:r>
                    <w:rPr>
                      <w:rFonts w:hint="default" w:ascii="Times New Roman" w:hAnsi="Times New Roman" w:eastAsia="宋体" w:cs="Times New Roman"/>
                      <w:color w:val="auto"/>
                      <w:sz w:val="18"/>
                      <w:szCs w:val="18"/>
                      <w:highlight w:val="none"/>
                    </w:rPr>
                    <w:t>%</w:t>
                  </w:r>
                  <w:r>
                    <w:rPr>
                      <w:rFonts w:hint="eastAsia" w:ascii="Times New Roman" w:hAnsi="Times New Roman" w:eastAsia="宋体" w:cs="Times New Roman"/>
                      <w:color w:val="auto"/>
                      <w:sz w:val="18"/>
                      <w:szCs w:val="18"/>
                      <w:highlight w:val="none"/>
                      <w:lang w:eastAsia="zh-CN"/>
                    </w:rPr>
                    <w:t>）</w:t>
                  </w:r>
                  <w:r>
                    <w:rPr>
                      <w:rFonts w:hint="eastAsia" w:ascii="Times New Roman" w:hAnsi="Times New Roman" w:eastAsia="宋体" w:cs="Times New Roman"/>
                      <w:color w:val="auto"/>
                      <w:sz w:val="18"/>
                      <w:szCs w:val="18"/>
                      <w:highlight w:val="none"/>
                      <w:lang w:val="en-US" w:eastAsia="zh-CN"/>
                    </w:rPr>
                    <w:t>+</w:t>
                  </w:r>
                  <w:r>
                    <w:rPr>
                      <w:rFonts w:hint="eastAsia" w:cs="Times New Roman"/>
                      <w:color w:val="auto"/>
                      <w:sz w:val="18"/>
                      <w:szCs w:val="18"/>
                      <w:highlight w:val="none"/>
                      <w:lang w:val="en-US" w:eastAsia="zh-CN"/>
                    </w:rPr>
                    <w:t>15</w:t>
                  </w:r>
                  <w:r>
                    <w:rPr>
                      <w:rFonts w:hint="default" w:ascii="Times New Roman" w:hAnsi="Times New Roman" w:eastAsia="宋体" w:cs="Times New Roman"/>
                      <w:color w:val="auto"/>
                      <w:sz w:val="18"/>
                      <w:szCs w:val="18"/>
                      <w:highlight w:val="none"/>
                    </w:rPr>
                    <w:t>m高</w:t>
                  </w:r>
                  <w:r>
                    <w:rPr>
                      <w:rFonts w:hint="eastAsia" w:cs="Times New Roman"/>
                      <w:color w:val="auto"/>
                      <w:sz w:val="18"/>
                      <w:szCs w:val="18"/>
                      <w:highlight w:val="none"/>
                      <w:lang w:val="en-US" w:eastAsia="zh-CN"/>
                    </w:rPr>
                    <w:t>排气筒（DA002）</w:t>
                  </w:r>
                </w:p>
              </w:tc>
            </w:tr>
            <w:tr w14:paraId="57A39D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vMerge w:val="continue"/>
                  <w:tcBorders>
                    <w:tl2br w:val="nil"/>
                    <w:tr2bl w:val="nil"/>
                  </w:tcBorders>
                  <w:noWrap w:val="0"/>
                  <w:vAlign w:val="center"/>
                </w:tcPr>
                <w:p w14:paraId="4755D9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615" w:type="dxa"/>
                  <w:vMerge w:val="restart"/>
                  <w:tcBorders>
                    <w:tl2br w:val="nil"/>
                    <w:tr2bl w:val="nil"/>
                  </w:tcBorders>
                  <w:shd w:val="clear" w:color="auto" w:fill="auto"/>
                  <w:noWrap w:val="0"/>
                  <w:vAlign w:val="center"/>
                </w:tcPr>
                <w:p w14:paraId="5E0C41E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2号生产车间</w:t>
                  </w:r>
                </w:p>
              </w:tc>
              <w:tc>
                <w:tcPr>
                  <w:tcW w:w="1170" w:type="dxa"/>
                  <w:tcBorders>
                    <w:tl2br w:val="nil"/>
                    <w:tr2bl w:val="nil"/>
                  </w:tcBorders>
                  <w:shd w:val="clear" w:color="auto" w:fill="auto"/>
                  <w:noWrap w:val="0"/>
                  <w:vAlign w:val="center"/>
                </w:tcPr>
                <w:p w14:paraId="27111B8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2号生物质燃烧器、烘干滚筒排气筒</w:t>
                  </w:r>
                  <w:r>
                    <w:rPr>
                      <w:rFonts w:hint="eastAsia" w:ascii="Times New Roman" w:hAnsi="Times New Roman" w:cs="Times New Roman"/>
                      <w:color w:val="auto"/>
                      <w:sz w:val="18"/>
                      <w:szCs w:val="18"/>
                      <w:highlight w:val="none"/>
                      <w:lang w:eastAsia="zh-CN"/>
                    </w:rPr>
                    <w:t>（</w:t>
                  </w:r>
                  <w:r>
                    <w:rPr>
                      <w:rFonts w:hint="eastAsia" w:ascii="Times New Roman" w:hAnsi="Times New Roman" w:eastAsia="宋体" w:cs="Times New Roman"/>
                      <w:color w:val="auto"/>
                      <w:sz w:val="18"/>
                      <w:szCs w:val="18"/>
                      <w:highlight w:val="none"/>
                      <w:lang w:val="en-US" w:eastAsia="zh-CN"/>
                    </w:rPr>
                    <w:t>DA003</w:t>
                  </w:r>
                  <w:r>
                    <w:rPr>
                      <w:rFonts w:hint="eastAsia" w:ascii="Times New Roman" w:hAnsi="Times New Roman" w:cs="Times New Roman"/>
                      <w:color w:val="auto"/>
                      <w:sz w:val="18"/>
                      <w:szCs w:val="18"/>
                      <w:highlight w:val="none"/>
                      <w:lang w:eastAsia="zh-CN"/>
                    </w:rPr>
                    <w:t>）</w:t>
                  </w:r>
                </w:p>
              </w:tc>
              <w:tc>
                <w:tcPr>
                  <w:tcW w:w="1380" w:type="dxa"/>
                  <w:tcBorders>
                    <w:tl2br w:val="nil"/>
                    <w:tr2bl w:val="nil"/>
                  </w:tcBorders>
                  <w:shd w:val="clear" w:color="auto" w:fill="auto"/>
                  <w:noWrap w:val="0"/>
                  <w:vAlign w:val="center"/>
                </w:tcPr>
                <w:p w14:paraId="3C71C741">
                  <w:pPr>
                    <w:keepNext w:val="0"/>
                    <w:keepLines w:val="0"/>
                    <w:pageBreakBefore w:val="0"/>
                    <w:widowControl w:val="0"/>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颗粒物、</w:t>
                  </w:r>
                  <w:r>
                    <w:rPr>
                      <w:rFonts w:hint="eastAsia" w:ascii="Times New Roman" w:hAnsi="Times New Roman" w:cs="Times New Roman"/>
                      <w:color w:val="auto"/>
                      <w:sz w:val="18"/>
                      <w:szCs w:val="18"/>
                      <w:highlight w:val="none"/>
                      <w:lang w:val="en-US" w:eastAsia="zh-CN"/>
                    </w:rPr>
                    <w:t>NO</w:t>
                  </w:r>
                  <w:r>
                    <w:rPr>
                      <w:rFonts w:hint="eastAsia" w:ascii="Times New Roman" w:hAnsi="Times New Roman" w:cs="Times New Roman"/>
                      <w:color w:val="auto"/>
                      <w:sz w:val="18"/>
                      <w:szCs w:val="18"/>
                      <w:highlight w:val="none"/>
                      <w:vertAlign w:val="subscript"/>
                      <w:lang w:val="en-US" w:eastAsia="zh-CN"/>
                    </w:rPr>
                    <w:t>X</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rPr>
                    <w:t>SO</w:t>
                  </w:r>
                  <w:r>
                    <w:rPr>
                      <w:rFonts w:hint="default" w:ascii="Times New Roman" w:hAnsi="Times New Roman" w:cs="Times New Roman"/>
                      <w:color w:val="auto"/>
                      <w:sz w:val="18"/>
                      <w:szCs w:val="18"/>
                      <w:highlight w:val="none"/>
                      <w:vertAlign w:val="subscript"/>
                    </w:rPr>
                    <w:t>2</w:t>
                  </w:r>
                  <w:r>
                    <w:rPr>
                      <w:rFonts w:hint="default" w:ascii="Times New Roman" w:hAnsi="Times New Roman" w:cs="Times New Roman"/>
                      <w:color w:val="auto"/>
                      <w:sz w:val="18"/>
                      <w:szCs w:val="18"/>
                      <w:highlight w:val="none"/>
                      <w:lang w:eastAsia="zh-CN"/>
                    </w:rPr>
                    <w:t>、</w:t>
                  </w:r>
                  <w:r>
                    <w:rPr>
                      <w:rFonts w:hint="eastAsia" w:ascii="Times New Roman" w:hAnsi="Times New Roman" w:cs="Times New Roman"/>
                      <w:color w:val="auto"/>
                      <w:sz w:val="18"/>
                      <w:szCs w:val="18"/>
                      <w:highlight w:val="none"/>
                      <w:lang w:eastAsia="zh-CN"/>
                    </w:rPr>
                    <w:t>烟气黑度</w:t>
                  </w:r>
                </w:p>
              </w:tc>
              <w:tc>
                <w:tcPr>
                  <w:tcW w:w="1062" w:type="dxa"/>
                  <w:vMerge w:val="continue"/>
                  <w:tcBorders>
                    <w:tl2br w:val="nil"/>
                    <w:tr2bl w:val="nil"/>
                  </w:tcBorders>
                  <w:shd w:val="clear" w:color="auto" w:fill="auto"/>
                  <w:noWrap w:val="0"/>
                  <w:vAlign w:val="center"/>
                </w:tcPr>
                <w:p w14:paraId="19662231">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p>
              </w:tc>
              <w:tc>
                <w:tcPr>
                  <w:tcW w:w="3327" w:type="dxa"/>
                  <w:tcBorders>
                    <w:tl2br w:val="nil"/>
                    <w:tr2bl w:val="nil"/>
                  </w:tcBorders>
                  <w:shd w:val="clear" w:color="auto" w:fill="auto"/>
                  <w:noWrap w:val="0"/>
                  <w:vAlign w:val="center"/>
                </w:tcPr>
                <w:p w14:paraId="3B1C22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sz w:val="18"/>
                      <w:szCs w:val="18"/>
                      <w:highlight w:val="none"/>
                    </w:rPr>
                    <w:t>布袋除尘器处理（除尘效率99%）后，由1根</w:t>
                  </w:r>
                  <w:r>
                    <w:rPr>
                      <w:rFonts w:hint="eastAsia" w:cs="Times New Roman"/>
                      <w:color w:val="auto"/>
                      <w:sz w:val="18"/>
                      <w:szCs w:val="18"/>
                      <w:highlight w:val="none"/>
                      <w:lang w:val="en-US" w:eastAsia="zh-CN"/>
                    </w:rPr>
                    <w:t>15</w:t>
                  </w:r>
                  <w:r>
                    <w:rPr>
                      <w:rFonts w:hint="default" w:ascii="Times New Roman" w:hAnsi="Times New Roman" w:eastAsia="宋体" w:cs="Times New Roman"/>
                      <w:color w:val="auto"/>
                      <w:sz w:val="18"/>
                      <w:szCs w:val="18"/>
                      <w:highlight w:val="none"/>
                    </w:rPr>
                    <w:t>m高</w:t>
                  </w:r>
                  <w:r>
                    <w:rPr>
                      <w:rFonts w:hint="eastAsia" w:cs="Times New Roman"/>
                      <w:color w:val="auto"/>
                      <w:sz w:val="18"/>
                      <w:szCs w:val="18"/>
                      <w:highlight w:val="none"/>
                      <w:lang w:val="en-US" w:eastAsia="zh-CN"/>
                    </w:rPr>
                    <w:t>烟囱（DA003）</w:t>
                  </w:r>
                  <w:r>
                    <w:rPr>
                      <w:rFonts w:hint="default" w:ascii="Times New Roman" w:hAnsi="Times New Roman" w:eastAsia="宋体" w:cs="Times New Roman"/>
                      <w:color w:val="auto"/>
                      <w:sz w:val="18"/>
                      <w:szCs w:val="18"/>
                      <w:highlight w:val="none"/>
                    </w:rPr>
                    <w:t>排放</w:t>
                  </w:r>
                </w:p>
              </w:tc>
            </w:tr>
            <w:tr w14:paraId="0F6F47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vMerge w:val="continue"/>
                  <w:tcBorders>
                    <w:tl2br w:val="nil"/>
                    <w:tr2bl w:val="nil"/>
                  </w:tcBorders>
                  <w:noWrap w:val="0"/>
                  <w:vAlign w:val="center"/>
                </w:tcPr>
                <w:p w14:paraId="44C540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615" w:type="dxa"/>
                  <w:vMerge w:val="continue"/>
                  <w:tcBorders>
                    <w:tl2br w:val="nil"/>
                    <w:tr2bl w:val="nil"/>
                  </w:tcBorders>
                  <w:shd w:val="clear" w:color="auto" w:fill="auto"/>
                  <w:noWrap w:val="0"/>
                  <w:vAlign w:val="center"/>
                </w:tcPr>
                <w:p w14:paraId="256F725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lang w:val="en-US" w:eastAsia="zh-CN" w:bidi="ar-SA"/>
                    </w:rPr>
                  </w:pPr>
                </w:p>
              </w:tc>
              <w:tc>
                <w:tcPr>
                  <w:tcW w:w="1170" w:type="dxa"/>
                  <w:tcBorders>
                    <w:tl2br w:val="nil"/>
                    <w:tr2bl w:val="nil"/>
                  </w:tcBorders>
                  <w:shd w:val="clear" w:color="auto" w:fill="auto"/>
                  <w:noWrap w:val="0"/>
                  <w:vAlign w:val="center"/>
                </w:tcPr>
                <w:p w14:paraId="020358A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color w:val="auto"/>
                      <w:kern w:val="0"/>
                      <w:sz w:val="18"/>
                      <w:szCs w:val="18"/>
                      <w:highlight w:val="none"/>
                      <w:lang w:val="en-US" w:eastAsia="zh-CN" w:bidi="ar-SA"/>
                    </w:rPr>
                  </w:pPr>
                  <w:r>
                    <w:rPr>
                      <w:rFonts w:hint="eastAsia" w:cs="Times New Roman"/>
                      <w:bCs/>
                      <w:color w:val="auto"/>
                      <w:kern w:val="0"/>
                      <w:sz w:val="18"/>
                      <w:szCs w:val="18"/>
                      <w:highlight w:val="none"/>
                      <w:lang w:val="en-US" w:eastAsia="zh-CN"/>
                    </w:rPr>
                    <w:t>破碎（</w:t>
                  </w:r>
                  <w:r>
                    <w:rPr>
                      <w:rFonts w:hint="eastAsia" w:ascii="Times New Roman" w:hAnsi="Times New Roman" w:eastAsia="宋体" w:cs="Times New Roman"/>
                      <w:bCs/>
                      <w:color w:val="auto"/>
                      <w:kern w:val="0"/>
                      <w:sz w:val="18"/>
                      <w:szCs w:val="18"/>
                      <w:highlight w:val="none"/>
                      <w:lang w:val="en-US" w:eastAsia="zh-CN"/>
                    </w:rPr>
                    <w:t>粉碎</w:t>
                  </w:r>
                  <w:r>
                    <w:rPr>
                      <w:rFonts w:hint="eastAsia" w:cs="Times New Roman"/>
                      <w:bCs/>
                      <w:color w:val="auto"/>
                      <w:kern w:val="0"/>
                      <w:sz w:val="18"/>
                      <w:szCs w:val="18"/>
                      <w:highlight w:val="none"/>
                      <w:lang w:val="en-US" w:eastAsia="zh-CN"/>
                    </w:rPr>
                    <w:t>）</w:t>
                  </w:r>
                  <w:r>
                    <w:rPr>
                      <w:rFonts w:hint="eastAsia" w:ascii="Times New Roman" w:hAnsi="Times New Roman" w:cs="Times New Roman"/>
                      <w:color w:val="auto"/>
                      <w:sz w:val="18"/>
                      <w:szCs w:val="18"/>
                      <w:highlight w:val="none"/>
                      <w:lang w:val="en-US" w:eastAsia="zh-CN"/>
                    </w:rPr>
                    <w:t>排气筒</w:t>
                  </w:r>
                  <w:r>
                    <w:rPr>
                      <w:rFonts w:hint="eastAsia" w:cs="Times New Roman"/>
                      <w:color w:val="auto"/>
                      <w:sz w:val="18"/>
                      <w:szCs w:val="18"/>
                      <w:highlight w:val="none"/>
                      <w:lang w:val="en-US" w:eastAsia="zh-CN"/>
                    </w:rPr>
                    <w:t>（</w:t>
                  </w:r>
                  <w:r>
                    <w:rPr>
                      <w:rFonts w:hint="eastAsia" w:ascii="Times New Roman" w:hAnsi="Times New Roman" w:eastAsia="宋体" w:cs="Times New Roman"/>
                      <w:color w:val="auto"/>
                      <w:sz w:val="18"/>
                      <w:szCs w:val="18"/>
                      <w:highlight w:val="none"/>
                      <w:lang w:val="en-US" w:eastAsia="zh-CN"/>
                    </w:rPr>
                    <w:t>DA004</w:t>
                  </w:r>
                  <w:r>
                    <w:rPr>
                      <w:rFonts w:hint="eastAsia" w:cs="Times New Roman"/>
                      <w:color w:val="auto"/>
                      <w:sz w:val="18"/>
                      <w:szCs w:val="18"/>
                      <w:highlight w:val="none"/>
                      <w:lang w:val="en-US" w:eastAsia="zh-CN"/>
                    </w:rPr>
                    <w:t>）</w:t>
                  </w:r>
                </w:p>
              </w:tc>
              <w:tc>
                <w:tcPr>
                  <w:tcW w:w="1380" w:type="dxa"/>
                  <w:tcBorders>
                    <w:tl2br w:val="nil"/>
                    <w:tr2bl w:val="nil"/>
                  </w:tcBorders>
                  <w:shd w:val="clear" w:color="auto" w:fill="auto"/>
                  <w:noWrap w:val="0"/>
                  <w:vAlign w:val="center"/>
                </w:tcPr>
                <w:p w14:paraId="4AA3FFBB">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颗粒物</w:t>
                  </w:r>
                </w:p>
              </w:tc>
              <w:tc>
                <w:tcPr>
                  <w:tcW w:w="1062" w:type="dxa"/>
                  <w:vMerge w:val="continue"/>
                  <w:tcBorders>
                    <w:tl2br w:val="nil"/>
                    <w:tr2bl w:val="nil"/>
                  </w:tcBorders>
                  <w:shd w:val="clear" w:color="auto" w:fill="auto"/>
                  <w:noWrap w:val="0"/>
                  <w:vAlign w:val="center"/>
                </w:tcPr>
                <w:p w14:paraId="4F19A88A">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p>
              </w:tc>
              <w:tc>
                <w:tcPr>
                  <w:tcW w:w="3327" w:type="dxa"/>
                  <w:tcBorders>
                    <w:tl2br w:val="nil"/>
                    <w:tr2bl w:val="nil"/>
                  </w:tcBorders>
                  <w:shd w:val="clear" w:color="auto" w:fill="auto"/>
                  <w:noWrap w:val="0"/>
                  <w:vAlign w:val="center"/>
                </w:tcPr>
                <w:p w14:paraId="727D2325">
                  <w:pPr>
                    <w:keepNext w:val="0"/>
                    <w:keepLines w:val="0"/>
                    <w:pageBreakBefore w:val="0"/>
                    <w:widowControl/>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rPr>
                    <w:t>集气罩+布袋除尘器（</w:t>
                  </w:r>
                  <w:r>
                    <w:rPr>
                      <w:rFonts w:hint="default" w:ascii="Times New Roman" w:hAnsi="Times New Roman" w:eastAsia="宋体" w:cs="Times New Roman"/>
                      <w:color w:val="auto"/>
                      <w:sz w:val="18"/>
                      <w:szCs w:val="18"/>
                      <w:highlight w:val="none"/>
                    </w:rPr>
                    <w:t>除尘效率9</w:t>
                  </w:r>
                  <w:r>
                    <w:rPr>
                      <w:rFonts w:hint="eastAsia" w:ascii="Times New Roman" w:hAnsi="Times New Roman" w:eastAsia="宋体" w:cs="Times New Roman"/>
                      <w:color w:val="auto"/>
                      <w:sz w:val="18"/>
                      <w:szCs w:val="18"/>
                      <w:highlight w:val="none"/>
                      <w:lang w:val="en-US" w:eastAsia="zh-CN"/>
                    </w:rPr>
                    <w:t>2</w:t>
                  </w:r>
                  <w:r>
                    <w:rPr>
                      <w:rFonts w:hint="default" w:ascii="Times New Roman" w:hAnsi="Times New Roman" w:eastAsia="宋体" w:cs="Times New Roman"/>
                      <w:color w:val="auto"/>
                      <w:sz w:val="18"/>
                      <w:szCs w:val="18"/>
                      <w:highlight w:val="none"/>
                    </w:rPr>
                    <w:t>%</w:t>
                  </w:r>
                  <w:r>
                    <w:rPr>
                      <w:rFonts w:hint="eastAsia" w:ascii="Times New Roman" w:hAnsi="Times New Roman" w:eastAsia="宋体" w:cs="Times New Roman"/>
                      <w:color w:val="auto"/>
                      <w:sz w:val="18"/>
                      <w:szCs w:val="18"/>
                      <w:highlight w:val="none"/>
                      <w:lang w:eastAsia="zh-CN"/>
                    </w:rPr>
                    <w:t>）</w:t>
                  </w:r>
                  <w:r>
                    <w:rPr>
                      <w:rFonts w:hint="eastAsia" w:ascii="Times New Roman" w:hAnsi="Times New Roman" w:eastAsia="宋体" w:cs="Times New Roman"/>
                      <w:color w:val="auto"/>
                      <w:sz w:val="18"/>
                      <w:szCs w:val="18"/>
                      <w:highlight w:val="none"/>
                      <w:lang w:val="en-US" w:eastAsia="zh-CN"/>
                    </w:rPr>
                    <w:t>+</w:t>
                  </w:r>
                  <w:r>
                    <w:rPr>
                      <w:rFonts w:hint="eastAsia" w:cs="Times New Roman"/>
                      <w:color w:val="auto"/>
                      <w:sz w:val="18"/>
                      <w:szCs w:val="18"/>
                      <w:highlight w:val="none"/>
                      <w:lang w:val="en-US" w:eastAsia="zh-CN"/>
                    </w:rPr>
                    <w:t>15</w:t>
                  </w:r>
                  <w:r>
                    <w:rPr>
                      <w:rFonts w:hint="default" w:ascii="Times New Roman" w:hAnsi="Times New Roman" w:eastAsia="宋体" w:cs="Times New Roman"/>
                      <w:color w:val="auto"/>
                      <w:sz w:val="18"/>
                      <w:szCs w:val="18"/>
                      <w:highlight w:val="none"/>
                    </w:rPr>
                    <w:t>m高</w:t>
                  </w:r>
                  <w:r>
                    <w:rPr>
                      <w:rFonts w:hint="eastAsia" w:cs="Times New Roman"/>
                      <w:color w:val="auto"/>
                      <w:sz w:val="18"/>
                      <w:szCs w:val="18"/>
                      <w:highlight w:val="none"/>
                      <w:lang w:val="en-US" w:eastAsia="zh-CN"/>
                    </w:rPr>
                    <w:t>排气筒（DA004）</w:t>
                  </w:r>
                </w:p>
              </w:tc>
            </w:tr>
            <w:tr w14:paraId="0A129D9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vMerge w:val="continue"/>
                  <w:tcBorders>
                    <w:tl2br w:val="nil"/>
                    <w:tr2bl w:val="nil"/>
                  </w:tcBorders>
                  <w:noWrap w:val="0"/>
                  <w:vAlign w:val="center"/>
                </w:tcPr>
                <w:p w14:paraId="41F0FC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785" w:type="dxa"/>
                  <w:gridSpan w:val="2"/>
                  <w:tcBorders>
                    <w:tl2br w:val="nil"/>
                    <w:tr2bl w:val="nil"/>
                  </w:tcBorders>
                  <w:noWrap w:val="0"/>
                  <w:vAlign w:val="center"/>
                </w:tcPr>
                <w:p w14:paraId="0BDBD24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 w:val="18"/>
                      <w:szCs w:val="18"/>
                      <w:highlight w:val="none"/>
                    </w:rPr>
                  </w:pPr>
                  <w:r>
                    <w:rPr>
                      <w:rFonts w:hint="eastAsia" w:ascii="Times New Roman" w:hAnsi="Times New Roman" w:cs="Times New Roman"/>
                      <w:color w:val="auto"/>
                      <w:sz w:val="18"/>
                      <w:szCs w:val="18"/>
                      <w:highlight w:val="none"/>
                      <w:lang w:val="en-US" w:eastAsia="zh-CN"/>
                    </w:rPr>
                    <w:t>厂界</w:t>
                  </w:r>
                </w:p>
              </w:tc>
              <w:tc>
                <w:tcPr>
                  <w:tcW w:w="1380" w:type="dxa"/>
                  <w:tcBorders>
                    <w:tl2br w:val="nil"/>
                    <w:tr2bl w:val="nil"/>
                  </w:tcBorders>
                  <w:noWrap w:val="0"/>
                  <w:vAlign w:val="center"/>
                </w:tcPr>
                <w:p w14:paraId="358109BC">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1062" w:type="dxa"/>
                  <w:vMerge w:val="continue"/>
                  <w:tcBorders>
                    <w:tl2br w:val="nil"/>
                    <w:tr2bl w:val="nil"/>
                  </w:tcBorders>
                  <w:noWrap w:val="0"/>
                  <w:vAlign w:val="center"/>
                </w:tcPr>
                <w:p w14:paraId="2A6196E4">
                  <w:pPr>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327" w:type="dxa"/>
                  <w:tcBorders>
                    <w:tl2br w:val="nil"/>
                    <w:tr2bl w:val="nil"/>
                  </w:tcBorders>
                  <w:noWrap w:val="0"/>
                  <w:vAlign w:val="center"/>
                </w:tcPr>
                <w:p w14:paraId="631FDFB6">
                  <w:pPr>
                    <w:keepNext w:val="0"/>
                    <w:keepLines w:val="0"/>
                    <w:pageBreakBefore w:val="0"/>
                    <w:widowControl/>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0"/>
                      <w:sz w:val="18"/>
                      <w:szCs w:val="18"/>
                      <w:highlight w:val="none"/>
                      <w:lang w:val="en-US" w:eastAsia="zh-CN"/>
                    </w:rPr>
                  </w:pPr>
                  <w:r>
                    <w:rPr>
                      <w:rFonts w:hint="eastAsia"/>
                      <w:color w:val="auto"/>
                      <w:sz w:val="18"/>
                      <w:szCs w:val="18"/>
                      <w:highlight w:val="none"/>
                      <w:shd w:val="clear"/>
                      <w:lang w:val="en-US" w:eastAsia="zh-CN"/>
                    </w:rPr>
                    <w:t>灰渣间全封闭，灰渣及原料运输车辆采取苫布遮盖、封闭式运输。</w:t>
                  </w:r>
                  <w:r>
                    <w:rPr>
                      <w:rFonts w:hint="default"/>
                      <w:color w:val="auto"/>
                      <w:sz w:val="18"/>
                      <w:szCs w:val="18"/>
                      <w:highlight w:val="none"/>
                      <w:shd w:val="clear"/>
                      <w:lang w:val="en-US" w:eastAsia="zh-CN"/>
                    </w:rPr>
                    <w:t>由于原料含水率较高，</w:t>
                  </w:r>
                  <w:r>
                    <w:rPr>
                      <w:rFonts w:hint="eastAsia"/>
                      <w:color w:val="auto"/>
                      <w:sz w:val="18"/>
                      <w:szCs w:val="18"/>
                      <w:highlight w:val="none"/>
                      <w:shd w:val="clear"/>
                      <w:lang w:val="en-US" w:eastAsia="zh-CN"/>
                    </w:rPr>
                    <w:t>在储存及装卸、</w:t>
                  </w:r>
                  <w:r>
                    <w:rPr>
                      <w:rFonts w:hint="default"/>
                      <w:color w:val="auto"/>
                      <w:sz w:val="18"/>
                      <w:szCs w:val="18"/>
                      <w:highlight w:val="none"/>
                      <w:shd w:val="clear"/>
                      <w:lang w:val="en-US" w:eastAsia="zh-CN"/>
                    </w:rPr>
                    <w:t>投料</w:t>
                  </w:r>
                  <w:r>
                    <w:rPr>
                      <w:rFonts w:hint="eastAsia"/>
                      <w:color w:val="auto"/>
                      <w:sz w:val="18"/>
                      <w:szCs w:val="18"/>
                      <w:highlight w:val="none"/>
                      <w:shd w:val="clear"/>
                      <w:lang w:val="en-US" w:eastAsia="zh-CN"/>
                    </w:rPr>
                    <w:t>、筛分</w:t>
                  </w:r>
                  <w:r>
                    <w:rPr>
                      <w:rFonts w:hint="default"/>
                      <w:color w:val="auto"/>
                      <w:sz w:val="18"/>
                      <w:szCs w:val="18"/>
                      <w:highlight w:val="none"/>
                      <w:shd w:val="clear"/>
                      <w:lang w:val="en-US" w:eastAsia="zh-CN"/>
                    </w:rPr>
                    <w:t>时，产生的粉尘</w:t>
                  </w:r>
                  <w:r>
                    <w:rPr>
                      <w:rFonts w:hint="eastAsia"/>
                      <w:color w:val="auto"/>
                      <w:sz w:val="18"/>
                      <w:szCs w:val="18"/>
                      <w:highlight w:val="none"/>
                      <w:shd w:val="clear"/>
                      <w:lang w:val="en-US" w:eastAsia="zh-CN"/>
                    </w:rPr>
                    <w:t>较小，原料堆场四周设置2m高围挡，原料上方采取苫布遮盖，可有效控制扬尘。破碎过程</w:t>
                  </w:r>
                  <w:r>
                    <w:rPr>
                      <w:rFonts w:hint="eastAsia"/>
                      <w:color w:val="auto"/>
                      <w:sz w:val="18"/>
                      <w:szCs w:val="18"/>
                      <w:highlight w:val="none"/>
                      <w:lang w:val="en-US" w:eastAsia="zh-CN"/>
                    </w:rPr>
                    <w:t>未被集气罩收集的粉尘采取</w:t>
                  </w:r>
                  <w:r>
                    <w:rPr>
                      <w:rFonts w:hint="eastAsia"/>
                      <w:color w:val="auto"/>
                      <w:sz w:val="18"/>
                      <w:szCs w:val="18"/>
                      <w:highlight w:val="none"/>
                      <w:shd w:val="clear"/>
                      <w:lang w:val="en-US" w:eastAsia="zh-CN"/>
                    </w:rPr>
                    <w:t>车间封闭、</w:t>
                  </w:r>
                  <w:r>
                    <w:rPr>
                      <w:rFonts w:hint="default"/>
                      <w:color w:val="auto"/>
                      <w:sz w:val="18"/>
                      <w:szCs w:val="18"/>
                      <w:highlight w:val="none"/>
                      <w:shd w:val="clear"/>
                      <w:lang w:val="en-US" w:eastAsia="zh-CN"/>
                    </w:rPr>
                    <w:t>定期洒水抑尘</w:t>
                  </w:r>
                  <w:r>
                    <w:rPr>
                      <w:rFonts w:hint="eastAsia"/>
                      <w:color w:val="auto"/>
                      <w:sz w:val="18"/>
                      <w:szCs w:val="18"/>
                      <w:highlight w:val="none"/>
                      <w:shd w:val="clear"/>
                      <w:lang w:val="en-US" w:eastAsia="zh-CN"/>
                    </w:rPr>
                    <w:t>等措施</w:t>
                  </w:r>
                  <w:r>
                    <w:rPr>
                      <w:rFonts w:hint="default"/>
                      <w:color w:val="auto"/>
                      <w:sz w:val="18"/>
                      <w:szCs w:val="18"/>
                      <w:highlight w:val="none"/>
                      <w:shd w:val="clear"/>
                      <w:lang w:val="en-US" w:eastAsia="zh-CN"/>
                    </w:rPr>
                    <w:t>，减少粉尘扩散</w:t>
                  </w:r>
                  <w:r>
                    <w:rPr>
                      <w:rFonts w:hint="eastAsia"/>
                      <w:color w:val="auto"/>
                      <w:sz w:val="18"/>
                      <w:szCs w:val="18"/>
                      <w:highlight w:val="none"/>
                      <w:shd w:val="clear"/>
                      <w:lang w:val="en-US" w:eastAsia="zh-CN"/>
                    </w:rPr>
                    <w:t>。</w:t>
                  </w:r>
                </w:p>
              </w:tc>
            </w:tr>
            <w:tr w14:paraId="75BB83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vMerge w:val="continue"/>
                  <w:tcBorders>
                    <w:tl2br w:val="nil"/>
                    <w:tr2bl w:val="nil"/>
                  </w:tcBorders>
                  <w:noWrap w:val="0"/>
                  <w:vAlign w:val="center"/>
                </w:tcPr>
                <w:p w14:paraId="5E6DB8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1785" w:type="dxa"/>
                  <w:gridSpan w:val="2"/>
                  <w:tcBorders>
                    <w:tl2br w:val="nil"/>
                    <w:tr2bl w:val="nil"/>
                  </w:tcBorders>
                  <w:noWrap w:val="0"/>
                  <w:vAlign w:val="center"/>
                </w:tcPr>
                <w:p w14:paraId="1FDD30C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bCs/>
                      <w:color w:val="auto"/>
                      <w:sz w:val="18"/>
                      <w:szCs w:val="18"/>
                      <w:highlight w:val="none"/>
                      <w:lang w:val="en-US" w:eastAsia="zh-CN"/>
                    </w:rPr>
                  </w:pPr>
                  <w:r>
                    <w:rPr>
                      <w:rFonts w:hint="eastAsia" w:cs="Times New Roman"/>
                      <w:color w:val="auto"/>
                      <w:sz w:val="18"/>
                      <w:szCs w:val="18"/>
                      <w:highlight w:val="none"/>
                      <w:lang w:val="en-US" w:eastAsia="zh-CN"/>
                    </w:rPr>
                    <w:t>工业炉窑周边（无组织）</w:t>
                  </w:r>
                </w:p>
              </w:tc>
              <w:tc>
                <w:tcPr>
                  <w:tcW w:w="1380" w:type="dxa"/>
                  <w:tcBorders>
                    <w:tl2br w:val="nil"/>
                    <w:tr2bl w:val="nil"/>
                  </w:tcBorders>
                  <w:noWrap w:val="0"/>
                  <w:vAlign w:val="center"/>
                </w:tcPr>
                <w:p w14:paraId="78D8A32F">
                  <w:pPr>
                    <w:keepNext w:val="0"/>
                    <w:keepLines w:val="0"/>
                    <w:pageBreakBefore w:val="0"/>
                    <w:widowControl w:val="0"/>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1062" w:type="dxa"/>
                  <w:vMerge w:val="continue"/>
                  <w:tcBorders>
                    <w:tl2br w:val="nil"/>
                    <w:tr2bl w:val="nil"/>
                  </w:tcBorders>
                  <w:noWrap w:val="0"/>
                  <w:vAlign w:val="center"/>
                </w:tcPr>
                <w:p w14:paraId="0D39ED5E">
                  <w:pPr>
                    <w:keepNext w:val="0"/>
                    <w:keepLines w:val="0"/>
                    <w:pageBreakBefore w:val="0"/>
                    <w:widowControl w:val="0"/>
                    <w:suppressLineNumbers w:val="0"/>
                    <w:kinsoku/>
                    <w:wordWrap/>
                    <w:overflowPunct/>
                    <w:topLinePunct w:val="0"/>
                    <w:bidi w:val="0"/>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327" w:type="dxa"/>
                  <w:tcBorders>
                    <w:tl2br w:val="nil"/>
                    <w:tr2bl w:val="nil"/>
                  </w:tcBorders>
                  <w:noWrap w:val="0"/>
                  <w:vAlign w:val="center"/>
                </w:tcPr>
                <w:p w14:paraId="4A2BD75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cs="Times New Roman"/>
                      <w:color w:val="auto"/>
                      <w:kern w:val="0"/>
                      <w:sz w:val="18"/>
                      <w:szCs w:val="18"/>
                      <w:highlight w:val="none"/>
                      <w:lang w:val="en-US" w:eastAsia="zh-CN"/>
                    </w:rPr>
                  </w:pPr>
                  <w:r>
                    <w:rPr>
                      <w:rFonts w:hint="eastAsia" w:cs="Times New Roman"/>
                      <w:color w:val="auto"/>
                      <w:sz w:val="18"/>
                      <w:szCs w:val="18"/>
                      <w:highlight w:val="none"/>
                      <w:lang w:val="en-US" w:eastAsia="zh-CN"/>
                    </w:rPr>
                    <w:t>洒水降尘</w:t>
                  </w:r>
                </w:p>
              </w:tc>
            </w:tr>
            <w:tr w14:paraId="3902F83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tcBorders>
                    <w:tl2br w:val="nil"/>
                    <w:tr2bl w:val="nil"/>
                  </w:tcBorders>
                  <w:noWrap w:val="0"/>
                  <w:vAlign w:val="center"/>
                </w:tcPr>
                <w:p w14:paraId="4F0484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废水</w:t>
                  </w:r>
                </w:p>
              </w:tc>
              <w:tc>
                <w:tcPr>
                  <w:tcW w:w="1785" w:type="dxa"/>
                  <w:gridSpan w:val="2"/>
                  <w:tcBorders>
                    <w:tl2br w:val="nil"/>
                    <w:tr2bl w:val="nil"/>
                  </w:tcBorders>
                  <w:noWrap w:val="0"/>
                  <w:vAlign w:val="center"/>
                </w:tcPr>
                <w:p w14:paraId="4AC962C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生活污水</w:t>
                  </w:r>
                </w:p>
              </w:tc>
              <w:tc>
                <w:tcPr>
                  <w:tcW w:w="1380" w:type="dxa"/>
                  <w:tcBorders>
                    <w:tl2br w:val="nil"/>
                    <w:tr2bl w:val="nil"/>
                  </w:tcBorders>
                  <w:shd w:val="clear" w:color="auto" w:fill="auto"/>
                  <w:noWrap w:val="0"/>
                  <w:vAlign w:val="center"/>
                </w:tcPr>
                <w:p w14:paraId="6E38884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kern w:val="21"/>
                      <w:sz w:val="18"/>
                      <w:szCs w:val="18"/>
                      <w:highlight w:val="none"/>
                      <w:lang w:val="en-US" w:eastAsia="zh-CN"/>
                    </w:rPr>
                    <w:t>COD</w:t>
                  </w:r>
                  <w:r>
                    <w:rPr>
                      <w:rFonts w:hint="default" w:ascii="Times New Roman" w:hAnsi="Times New Roman" w:eastAsia="宋体" w:cs="Times New Roman"/>
                      <w:color w:val="auto"/>
                      <w:kern w:val="21"/>
                      <w:sz w:val="18"/>
                      <w:szCs w:val="18"/>
                      <w:highlight w:val="none"/>
                    </w:rPr>
                    <w:t>、氨氮、</w:t>
                  </w:r>
                  <w:r>
                    <w:rPr>
                      <w:rFonts w:hint="default" w:ascii="Times New Roman" w:hAnsi="Times New Roman" w:eastAsia="宋体" w:cs="Times New Roman"/>
                      <w:color w:val="auto"/>
                      <w:kern w:val="21"/>
                      <w:sz w:val="18"/>
                      <w:szCs w:val="18"/>
                      <w:highlight w:val="none"/>
                      <w:lang w:val="en-US" w:eastAsia="zh-CN"/>
                    </w:rPr>
                    <w:t>SS</w:t>
                  </w:r>
                  <w:r>
                    <w:rPr>
                      <w:rFonts w:hint="default" w:ascii="Times New Roman" w:hAnsi="Times New Roman" w:eastAsia="宋体" w:cs="Times New Roman"/>
                      <w:color w:val="auto"/>
                      <w:kern w:val="21"/>
                      <w:sz w:val="18"/>
                      <w:szCs w:val="18"/>
                      <w:highlight w:val="none"/>
                    </w:rPr>
                    <w:t>、</w:t>
                  </w:r>
                  <w:r>
                    <w:rPr>
                      <w:rFonts w:hint="default" w:ascii="Times New Roman" w:hAnsi="Times New Roman" w:eastAsia="宋体" w:cs="Times New Roman"/>
                      <w:color w:val="auto"/>
                      <w:sz w:val="18"/>
                      <w:szCs w:val="18"/>
                      <w:highlight w:val="none"/>
                    </w:rPr>
                    <w:t>pH、</w:t>
                  </w:r>
                  <w:r>
                    <w:rPr>
                      <w:rFonts w:hint="default" w:ascii="Times New Roman" w:hAnsi="Times New Roman" w:eastAsia="宋体" w:cs="Times New Roman"/>
                      <w:color w:val="auto"/>
                      <w:kern w:val="21"/>
                      <w:sz w:val="18"/>
                      <w:szCs w:val="18"/>
                      <w:highlight w:val="none"/>
                      <w:lang w:val="en-US" w:eastAsia="zh-CN"/>
                    </w:rPr>
                    <w:t>BOD</w:t>
                  </w:r>
                  <w:r>
                    <w:rPr>
                      <w:rFonts w:hint="default" w:ascii="Times New Roman" w:hAnsi="Times New Roman" w:eastAsia="宋体" w:cs="Times New Roman"/>
                      <w:color w:val="auto"/>
                      <w:kern w:val="21"/>
                      <w:sz w:val="18"/>
                      <w:szCs w:val="18"/>
                      <w:highlight w:val="none"/>
                      <w:vertAlign w:val="subscript"/>
                      <w:lang w:val="en-US" w:eastAsia="zh-CN"/>
                    </w:rPr>
                    <w:t>5</w:t>
                  </w:r>
                </w:p>
              </w:tc>
              <w:tc>
                <w:tcPr>
                  <w:tcW w:w="1062" w:type="dxa"/>
                  <w:tcBorders>
                    <w:tl2br w:val="nil"/>
                    <w:tr2bl w:val="nil"/>
                  </w:tcBorders>
                  <w:noWrap w:val="0"/>
                  <w:vAlign w:val="center"/>
                </w:tcPr>
                <w:p w14:paraId="37D78A0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eastAsia" w:cs="Times New Roman"/>
                      <w:color w:val="auto"/>
                      <w:spacing w:val="0"/>
                      <w:kern w:val="2"/>
                      <w:sz w:val="18"/>
                      <w:szCs w:val="18"/>
                      <w:highlight w:val="none"/>
                      <w:lang w:val="en-US" w:eastAsia="zh-CN" w:bidi="ar-SA"/>
                    </w:rPr>
                    <w:t>/</w:t>
                  </w:r>
                </w:p>
              </w:tc>
              <w:tc>
                <w:tcPr>
                  <w:tcW w:w="3327" w:type="dxa"/>
                  <w:tcBorders>
                    <w:tl2br w:val="nil"/>
                    <w:tr2bl w:val="nil"/>
                  </w:tcBorders>
                  <w:noWrap w:val="0"/>
                  <w:vAlign w:val="center"/>
                </w:tcPr>
                <w:p w14:paraId="6E7AA8E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cs="Times New Roman"/>
                      <w:color w:val="auto"/>
                      <w:sz w:val="18"/>
                      <w:szCs w:val="18"/>
                      <w:highlight w:val="none"/>
                      <w:lang w:eastAsia="zh-CN"/>
                    </w:rPr>
                    <w:t>排入</w:t>
                  </w:r>
                  <w:r>
                    <w:rPr>
                      <w:rFonts w:hint="eastAsia" w:cs="Times New Roman"/>
                      <w:color w:val="auto"/>
                      <w:kern w:val="0"/>
                      <w:sz w:val="18"/>
                      <w:szCs w:val="18"/>
                      <w:highlight w:val="none"/>
                      <w:lang w:val="en-US" w:eastAsia="zh-CN"/>
                    </w:rPr>
                    <w:t>防渗旱厕</w:t>
                  </w:r>
                  <w:r>
                    <w:rPr>
                      <w:rFonts w:hint="default" w:ascii="Times New Roman" w:hAnsi="Times New Roman" w:cs="Times New Roman"/>
                      <w:color w:val="auto"/>
                      <w:sz w:val="18"/>
                      <w:szCs w:val="18"/>
                      <w:highlight w:val="none"/>
                      <w:lang w:eastAsia="zh-CN"/>
                    </w:rPr>
                    <w:t>，定期清掏，外运堆肥，</w:t>
                  </w:r>
                  <w:r>
                    <w:rPr>
                      <w:rFonts w:hint="default" w:ascii="Times New Roman" w:hAnsi="Times New Roman" w:cs="Times New Roman"/>
                      <w:color w:val="auto"/>
                      <w:sz w:val="18"/>
                      <w:szCs w:val="18"/>
                      <w:highlight w:val="none"/>
                      <w:lang w:val="en-US" w:eastAsia="zh-CN"/>
                    </w:rPr>
                    <w:t>不外排</w:t>
                  </w:r>
                </w:p>
              </w:tc>
            </w:tr>
            <w:tr w14:paraId="28466A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tcBorders>
                    <w:tl2br w:val="nil"/>
                    <w:tr2bl w:val="nil"/>
                  </w:tcBorders>
                  <w:noWrap w:val="0"/>
                  <w:vAlign w:val="center"/>
                </w:tcPr>
                <w:p w14:paraId="340997C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噪声</w:t>
                  </w:r>
                </w:p>
              </w:tc>
              <w:tc>
                <w:tcPr>
                  <w:tcW w:w="1785" w:type="dxa"/>
                  <w:gridSpan w:val="2"/>
                  <w:tcBorders>
                    <w:tl2br w:val="nil"/>
                    <w:tr2bl w:val="nil"/>
                  </w:tcBorders>
                  <w:noWrap w:val="0"/>
                  <w:vAlign w:val="center"/>
                </w:tcPr>
                <w:p w14:paraId="7145774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kern w:val="21"/>
                      <w:sz w:val="18"/>
                      <w:szCs w:val="18"/>
                      <w:highlight w:val="none"/>
                    </w:rPr>
                    <w:t>设备运行</w:t>
                  </w:r>
                </w:p>
              </w:tc>
              <w:tc>
                <w:tcPr>
                  <w:tcW w:w="1380" w:type="dxa"/>
                  <w:tcBorders>
                    <w:tl2br w:val="nil"/>
                    <w:tr2bl w:val="nil"/>
                  </w:tcBorders>
                  <w:noWrap w:val="0"/>
                  <w:vAlign w:val="center"/>
                </w:tcPr>
                <w:p w14:paraId="7E16E6F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噪声</w:t>
                  </w:r>
                </w:p>
              </w:tc>
              <w:tc>
                <w:tcPr>
                  <w:tcW w:w="1062" w:type="dxa"/>
                  <w:tcBorders>
                    <w:tl2br w:val="nil"/>
                    <w:tr2bl w:val="nil"/>
                  </w:tcBorders>
                  <w:noWrap w:val="0"/>
                  <w:vAlign w:val="center"/>
                </w:tcPr>
                <w:p w14:paraId="324DA9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连续</w:t>
                  </w:r>
                </w:p>
              </w:tc>
              <w:tc>
                <w:tcPr>
                  <w:tcW w:w="3327" w:type="dxa"/>
                  <w:tcBorders>
                    <w:tl2br w:val="nil"/>
                    <w:tr2bl w:val="nil"/>
                  </w:tcBorders>
                  <w:noWrap w:val="0"/>
                  <w:vAlign w:val="center"/>
                </w:tcPr>
                <w:p w14:paraId="1D113EE3">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1"/>
                      <w:sz w:val="18"/>
                      <w:szCs w:val="18"/>
                      <w:highlight w:val="none"/>
                      <w:lang w:val="en-US" w:eastAsia="zh-CN" w:bidi="ar-SA"/>
                    </w:rPr>
                  </w:pPr>
                  <w:r>
                    <w:rPr>
                      <w:rFonts w:hint="default" w:ascii="Times New Roman" w:hAnsi="Times New Roman" w:eastAsia="宋体" w:cs="Times New Roman"/>
                      <w:color w:val="auto"/>
                      <w:sz w:val="18"/>
                      <w:szCs w:val="18"/>
                      <w:highlight w:val="none"/>
                    </w:rPr>
                    <w:t>选取低噪声设备，采取减振、隔声</w:t>
                  </w:r>
                  <w:r>
                    <w:rPr>
                      <w:rFonts w:hint="eastAsia" w:ascii="Times New Roman" w:hAnsi="Times New Roman" w:eastAsia="宋体" w:cs="Times New Roman"/>
                      <w:color w:val="auto"/>
                      <w:sz w:val="18"/>
                      <w:szCs w:val="18"/>
                      <w:highlight w:val="none"/>
                      <w:lang w:val="en-US" w:eastAsia="zh-CN"/>
                    </w:rPr>
                    <w:t>等</w:t>
                  </w:r>
                </w:p>
              </w:tc>
            </w:tr>
            <w:tr w14:paraId="3327B52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vMerge w:val="restart"/>
                  <w:tcBorders>
                    <w:tl2br w:val="nil"/>
                    <w:tr2bl w:val="nil"/>
                  </w:tcBorders>
                  <w:noWrap w:val="0"/>
                  <w:vAlign w:val="center"/>
                </w:tcPr>
                <w:p w14:paraId="4BC3CD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eastAsia="zh-CN"/>
                    </w:rPr>
                  </w:pPr>
                  <w:r>
                    <w:rPr>
                      <w:rFonts w:hint="default" w:ascii="Times New Roman" w:hAnsi="Times New Roman" w:eastAsia="宋体" w:cs="Times New Roman"/>
                      <w:color w:val="auto"/>
                      <w:spacing w:val="0"/>
                      <w:sz w:val="18"/>
                      <w:szCs w:val="18"/>
                      <w:highlight w:val="none"/>
                    </w:rPr>
                    <w:t>固体废物</w:t>
                  </w:r>
                </w:p>
              </w:tc>
              <w:tc>
                <w:tcPr>
                  <w:tcW w:w="1785" w:type="dxa"/>
                  <w:gridSpan w:val="2"/>
                  <w:tcBorders>
                    <w:tl2br w:val="nil"/>
                    <w:tr2bl w:val="nil"/>
                  </w:tcBorders>
                  <w:noWrap w:val="0"/>
                  <w:vAlign w:val="center"/>
                </w:tcPr>
                <w:p w14:paraId="0703257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cs="Times New Roman"/>
                      <w:bCs/>
                      <w:color w:val="auto"/>
                      <w:sz w:val="18"/>
                      <w:szCs w:val="18"/>
                      <w:highlight w:val="none"/>
                      <w:lang w:val="en-US" w:eastAsia="zh-CN"/>
                    </w:rPr>
                  </w:pPr>
                  <w:r>
                    <w:rPr>
                      <w:rFonts w:hint="eastAsia" w:cs="Times New Roman"/>
                      <w:bCs/>
                      <w:color w:val="auto"/>
                      <w:sz w:val="18"/>
                      <w:szCs w:val="18"/>
                      <w:highlight w:val="none"/>
                      <w:lang w:val="en-US" w:eastAsia="zh-CN"/>
                    </w:rPr>
                    <w:t>员工生活</w:t>
                  </w:r>
                </w:p>
              </w:tc>
              <w:tc>
                <w:tcPr>
                  <w:tcW w:w="1380" w:type="dxa"/>
                  <w:tcBorders>
                    <w:tl2br w:val="nil"/>
                    <w:tr2bl w:val="nil"/>
                  </w:tcBorders>
                  <w:noWrap w:val="0"/>
                  <w:vAlign w:val="center"/>
                </w:tcPr>
                <w:p w14:paraId="3A43E1BE">
                  <w:pPr>
                    <w:pStyle w:val="132"/>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生活垃圾</w:t>
                  </w:r>
                </w:p>
              </w:tc>
              <w:tc>
                <w:tcPr>
                  <w:tcW w:w="1062" w:type="dxa"/>
                  <w:vMerge w:val="restart"/>
                  <w:tcBorders>
                    <w:tl2br w:val="nil"/>
                    <w:tr2bl w:val="nil"/>
                  </w:tcBorders>
                  <w:noWrap w:val="0"/>
                  <w:vAlign w:val="center"/>
                </w:tcPr>
                <w:p w14:paraId="6C4DD16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r>
                    <w:rPr>
                      <w:rFonts w:hint="default" w:ascii="Times New Roman" w:hAnsi="Times New Roman" w:eastAsia="宋体" w:cs="Times New Roman"/>
                      <w:color w:val="auto"/>
                      <w:spacing w:val="0"/>
                      <w:sz w:val="18"/>
                      <w:szCs w:val="18"/>
                      <w:highlight w:val="none"/>
                    </w:rPr>
                    <w:t>间断</w:t>
                  </w:r>
                </w:p>
              </w:tc>
              <w:tc>
                <w:tcPr>
                  <w:tcW w:w="3327" w:type="dxa"/>
                  <w:tcBorders>
                    <w:tl2br w:val="nil"/>
                    <w:tr2bl w:val="nil"/>
                  </w:tcBorders>
                  <w:shd w:val="clear" w:color="auto" w:fill="auto"/>
                  <w:noWrap w:val="0"/>
                  <w:vAlign w:val="center"/>
                </w:tcPr>
                <w:p w14:paraId="42EFBDBD">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kern w:val="2"/>
                      <w:sz w:val="18"/>
                      <w:szCs w:val="18"/>
                      <w:highlight w:val="none"/>
                      <w:lang w:val="en-US" w:eastAsia="zh-CN" w:bidi="ar-SA"/>
                    </w:rPr>
                    <w:t>环卫</w:t>
                  </w:r>
                  <w:r>
                    <w:rPr>
                      <w:rFonts w:hint="default" w:ascii="Times New Roman" w:hAnsi="Times New Roman" w:eastAsia="宋体" w:cs="Times New Roman"/>
                      <w:color w:val="auto"/>
                      <w:kern w:val="2"/>
                      <w:sz w:val="18"/>
                      <w:szCs w:val="18"/>
                      <w:highlight w:val="none"/>
                      <w:lang w:val="en-US" w:eastAsia="zh-CN" w:bidi="ar-SA"/>
                    </w:rPr>
                    <w:t>部门</w:t>
                  </w:r>
                  <w:r>
                    <w:rPr>
                      <w:rFonts w:hint="eastAsia" w:cs="Times New Roman"/>
                      <w:color w:val="auto"/>
                      <w:kern w:val="2"/>
                      <w:sz w:val="18"/>
                      <w:szCs w:val="18"/>
                      <w:highlight w:val="none"/>
                      <w:lang w:val="en-US" w:eastAsia="zh-CN" w:bidi="ar-SA"/>
                    </w:rPr>
                    <w:t>统一处理</w:t>
                  </w:r>
                </w:p>
              </w:tc>
            </w:tr>
            <w:tr w14:paraId="0ACB9FA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 w:hRule="atLeast"/>
                <w:jc w:val="center"/>
              </w:trPr>
              <w:tc>
                <w:tcPr>
                  <w:tcW w:w="702" w:type="dxa"/>
                  <w:vMerge w:val="continue"/>
                  <w:tcBorders>
                    <w:tl2br w:val="nil"/>
                    <w:tr2bl w:val="nil"/>
                  </w:tcBorders>
                  <w:noWrap w:val="0"/>
                  <w:vAlign w:val="center"/>
                </w:tcPr>
                <w:p w14:paraId="07BD0F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lang w:eastAsia="zh-CN"/>
                    </w:rPr>
                  </w:pPr>
                </w:p>
              </w:tc>
              <w:tc>
                <w:tcPr>
                  <w:tcW w:w="1785" w:type="dxa"/>
                  <w:gridSpan w:val="2"/>
                  <w:tcBorders>
                    <w:tl2br w:val="nil"/>
                    <w:tr2bl w:val="nil"/>
                  </w:tcBorders>
                  <w:noWrap w:val="0"/>
                  <w:vAlign w:val="center"/>
                </w:tcPr>
                <w:p w14:paraId="30E28A9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bCs/>
                      <w:color w:val="auto"/>
                      <w:sz w:val="18"/>
                      <w:szCs w:val="18"/>
                      <w:highlight w:val="none"/>
                      <w:lang w:val="en-US" w:eastAsia="zh-CN"/>
                    </w:rPr>
                    <w:t>生物质燃烧器</w:t>
                  </w:r>
                </w:p>
              </w:tc>
              <w:tc>
                <w:tcPr>
                  <w:tcW w:w="1380" w:type="dxa"/>
                  <w:tcBorders>
                    <w:tl2br w:val="nil"/>
                    <w:tr2bl w:val="nil"/>
                  </w:tcBorders>
                  <w:noWrap w:val="0"/>
                  <w:vAlign w:val="center"/>
                </w:tcPr>
                <w:p w14:paraId="6DF875E9">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eastAsia="宋体" w:cs="Times New Roman"/>
                      <w:color w:val="auto"/>
                      <w:spacing w:val="0"/>
                      <w:kern w:val="2"/>
                      <w:sz w:val="18"/>
                      <w:szCs w:val="18"/>
                      <w:highlight w:val="none"/>
                      <w:lang w:val="en-US" w:eastAsia="zh-CN" w:bidi="ar-SA"/>
                    </w:rPr>
                    <w:t>灰渣</w:t>
                  </w:r>
                </w:p>
              </w:tc>
              <w:tc>
                <w:tcPr>
                  <w:tcW w:w="1062" w:type="dxa"/>
                  <w:vMerge w:val="continue"/>
                  <w:tcBorders>
                    <w:tl2br w:val="nil"/>
                    <w:tr2bl w:val="nil"/>
                  </w:tcBorders>
                  <w:noWrap w:val="0"/>
                  <w:vAlign w:val="center"/>
                </w:tcPr>
                <w:p w14:paraId="22031A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327" w:type="dxa"/>
                  <w:tcBorders>
                    <w:tl2br w:val="nil"/>
                    <w:tr2bl w:val="nil"/>
                  </w:tcBorders>
                  <w:noWrap w:val="0"/>
                  <w:vAlign w:val="center"/>
                </w:tcPr>
                <w:p w14:paraId="6B574CD1">
                  <w:pPr>
                    <w:pStyle w:val="132"/>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z w:val="18"/>
                      <w:szCs w:val="18"/>
                      <w:highlight w:val="none"/>
                      <w:lang w:val="en-US" w:eastAsia="zh-CN"/>
                    </w:rPr>
                    <w:t>由周边农户作为肥料还田综合利用</w:t>
                  </w:r>
                </w:p>
              </w:tc>
            </w:tr>
            <w:tr w14:paraId="394468D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vMerge w:val="continue"/>
                  <w:tcBorders>
                    <w:tl2br w:val="nil"/>
                    <w:tr2bl w:val="nil"/>
                  </w:tcBorders>
                  <w:noWrap w:val="0"/>
                  <w:vAlign w:val="center"/>
                </w:tcPr>
                <w:p w14:paraId="41513FBD">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785" w:type="dxa"/>
                  <w:gridSpan w:val="2"/>
                  <w:vMerge w:val="restart"/>
                  <w:tcBorders>
                    <w:tl2br w:val="nil"/>
                    <w:tr2bl w:val="nil"/>
                  </w:tcBorders>
                  <w:noWrap w:val="0"/>
                  <w:vAlign w:val="center"/>
                </w:tcPr>
                <w:p w14:paraId="32E6966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生产</w:t>
                  </w:r>
                </w:p>
              </w:tc>
              <w:tc>
                <w:tcPr>
                  <w:tcW w:w="1380" w:type="dxa"/>
                  <w:tcBorders>
                    <w:tl2br w:val="nil"/>
                    <w:tr2bl w:val="nil"/>
                  </w:tcBorders>
                  <w:noWrap w:val="0"/>
                  <w:vAlign w:val="center"/>
                </w:tcPr>
                <w:p w14:paraId="49496E14">
                  <w:pPr>
                    <w:pStyle w:val="132"/>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spacing w:val="0"/>
                      <w:kern w:val="2"/>
                      <w:sz w:val="18"/>
                      <w:szCs w:val="18"/>
                      <w:highlight w:val="none"/>
                      <w:lang w:val="en-US" w:eastAsia="zh-CN" w:bidi="ar-SA"/>
                    </w:rPr>
                  </w:pPr>
                  <w:r>
                    <w:rPr>
                      <w:rFonts w:hint="eastAsia" w:ascii="Times New Roman" w:hAnsi="Times New Roman" w:cs="Times New Roman"/>
                      <w:color w:val="auto"/>
                      <w:sz w:val="18"/>
                      <w:szCs w:val="18"/>
                      <w:highlight w:val="none"/>
                      <w:lang w:val="en-US" w:eastAsia="zh-CN"/>
                    </w:rPr>
                    <w:t>生产工序布袋除尘器收尘</w:t>
                  </w:r>
                </w:p>
              </w:tc>
              <w:tc>
                <w:tcPr>
                  <w:tcW w:w="1062" w:type="dxa"/>
                  <w:vMerge w:val="continue"/>
                  <w:tcBorders>
                    <w:tl2br w:val="nil"/>
                    <w:tr2bl w:val="nil"/>
                  </w:tcBorders>
                  <w:noWrap w:val="0"/>
                  <w:vAlign w:val="center"/>
                </w:tcPr>
                <w:p w14:paraId="4146ADF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327" w:type="dxa"/>
                  <w:vMerge w:val="restart"/>
                  <w:tcBorders>
                    <w:tl2br w:val="nil"/>
                    <w:tr2bl w:val="nil"/>
                  </w:tcBorders>
                  <w:noWrap w:val="0"/>
                  <w:vAlign w:val="center"/>
                </w:tcPr>
                <w:p w14:paraId="7157E94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回用与生产</w:t>
                  </w:r>
                </w:p>
              </w:tc>
            </w:tr>
            <w:tr w14:paraId="077189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vMerge w:val="continue"/>
                  <w:tcBorders>
                    <w:tl2br w:val="nil"/>
                    <w:tr2bl w:val="nil"/>
                  </w:tcBorders>
                  <w:noWrap w:val="0"/>
                  <w:vAlign w:val="center"/>
                </w:tcPr>
                <w:p w14:paraId="37BD302A">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785" w:type="dxa"/>
                  <w:gridSpan w:val="2"/>
                  <w:vMerge w:val="continue"/>
                  <w:tcBorders>
                    <w:tl2br w:val="nil"/>
                    <w:tr2bl w:val="nil"/>
                  </w:tcBorders>
                  <w:noWrap w:val="0"/>
                  <w:vAlign w:val="center"/>
                </w:tcPr>
                <w:p w14:paraId="3948F8B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c>
                <w:tcPr>
                  <w:tcW w:w="1380" w:type="dxa"/>
                  <w:tcBorders>
                    <w:tl2br w:val="nil"/>
                    <w:tr2bl w:val="nil"/>
                  </w:tcBorders>
                  <w:shd w:val="clear" w:color="auto" w:fill="auto"/>
                  <w:noWrap w:val="0"/>
                  <w:vAlign w:val="center"/>
                </w:tcPr>
                <w:p w14:paraId="08724282">
                  <w:pPr>
                    <w:pStyle w:val="132"/>
                    <w:keepNext w:val="0"/>
                    <w:keepLines w:val="0"/>
                    <w:suppressLineNumbers w:val="0"/>
                    <w:spacing w:before="0" w:beforeAutospacing="0" w:after="0" w:afterAutospacing="0" w:line="240" w:lineRule="auto"/>
                    <w:ind w:left="0" w:leftChars="0" w:right="0" w:rightChars="0"/>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不合格产品</w:t>
                  </w:r>
                </w:p>
              </w:tc>
              <w:tc>
                <w:tcPr>
                  <w:tcW w:w="1062" w:type="dxa"/>
                  <w:vMerge w:val="continue"/>
                  <w:tcBorders>
                    <w:tl2br w:val="nil"/>
                    <w:tr2bl w:val="nil"/>
                  </w:tcBorders>
                  <w:shd w:val="clear" w:color="auto" w:fill="auto"/>
                  <w:noWrap w:val="0"/>
                  <w:vAlign w:val="center"/>
                </w:tcPr>
                <w:p w14:paraId="207585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p>
              </w:tc>
              <w:tc>
                <w:tcPr>
                  <w:tcW w:w="3327" w:type="dxa"/>
                  <w:vMerge w:val="continue"/>
                  <w:tcBorders>
                    <w:tl2br w:val="nil"/>
                    <w:tr2bl w:val="nil"/>
                  </w:tcBorders>
                  <w:shd w:val="clear" w:color="auto" w:fill="auto"/>
                  <w:noWrap w:val="0"/>
                  <w:vAlign w:val="center"/>
                </w:tcPr>
                <w:p w14:paraId="5A66C1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p>
              </w:tc>
            </w:tr>
            <w:tr w14:paraId="6BF4FC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vMerge w:val="continue"/>
                  <w:tcBorders>
                    <w:tl2br w:val="nil"/>
                    <w:tr2bl w:val="nil"/>
                  </w:tcBorders>
                  <w:noWrap w:val="0"/>
                  <w:vAlign w:val="center"/>
                </w:tcPr>
                <w:p w14:paraId="2B26D420">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785" w:type="dxa"/>
                  <w:gridSpan w:val="2"/>
                  <w:vMerge w:val="continue"/>
                  <w:tcBorders>
                    <w:tl2br w:val="nil"/>
                    <w:tr2bl w:val="nil"/>
                  </w:tcBorders>
                  <w:noWrap w:val="0"/>
                  <w:vAlign w:val="center"/>
                </w:tcPr>
                <w:p w14:paraId="29C2B4D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p>
              </w:tc>
              <w:tc>
                <w:tcPr>
                  <w:tcW w:w="1380" w:type="dxa"/>
                  <w:tcBorders>
                    <w:tl2br w:val="nil"/>
                    <w:tr2bl w:val="nil"/>
                  </w:tcBorders>
                  <w:shd w:val="clear" w:color="auto" w:fill="auto"/>
                  <w:noWrap w:val="0"/>
                  <w:vAlign w:val="center"/>
                </w:tcPr>
                <w:p w14:paraId="31B43A9F">
                  <w:pPr>
                    <w:pStyle w:val="132"/>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杂质砂石</w:t>
                  </w:r>
                </w:p>
              </w:tc>
              <w:tc>
                <w:tcPr>
                  <w:tcW w:w="1062" w:type="dxa"/>
                  <w:vMerge w:val="continue"/>
                  <w:tcBorders>
                    <w:tl2br w:val="nil"/>
                    <w:tr2bl w:val="nil"/>
                  </w:tcBorders>
                  <w:shd w:val="clear" w:color="auto" w:fill="auto"/>
                  <w:noWrap w:val="0"/>
                  <w:vAlign w:val="center"/>
                </w:tcPr>
                <w:p w14:paraId="7A8CBD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p>
              </w:tc>
              <w:tc>
                <w:tcPr>
                  <w:tcW w:w="3327" w:type="dxa"/>
                  <w:tcBorders>
                    <w:tl2br w:val="nil"/>
                    <w:tr2bl w:val="nil"/>
                  </w:tcBorders>
                  <w:shd w:val="clear" w:color="auto" w:fill="auto"/>
                  <w:noWrap w:val="0"/>
                  <w:vAlign w:val="center"/>
                </w:tcPr>
                <w:p w14:paraId="3CDB59D2">
                  <w:pPr>
                    <w:keepNext w:val="0"/>
                    <w:keepLines w:val="0"/>
                    <w:pageBreakBefore w:val="0"/>
                    <w:widowControl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外送建材企业综合利用</w:t>
                  </w:r>
                </w:p>
              </w:tc>
            </w:tr>
            <w:tr w14:paraId="21B902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2" w:type="dxa"/>
                  <w:vMerge w:val="continue"/>
                  <w:tcBorders>
                    <w:tl2br w:val="nil"/>
                    <w:tr2bl w:val="nil"/>
                  </w:tcBorders>
                  <w:noWrap w:val="0"/>
                  <w:vAlign w:val="center"/>
                </w:tcPr>
                <w:p w14:paraId="52FF967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sz w:val="18"/>
                      <w:szCs w:val="18"/>
                      <w:highlight w:val="none"/>
                    </w:rPr>
                  </w:pPr>
                </w:p>
              </w:tc>
              <w:tc>
                <w:tcPr>
                  <w:tcW w:w="1785" w:type="dxa"/>
                  <w:gridSpan w:val="2"/>
                  <w:tcBorders>
                    <w:tl2br w:val="nil"/>
                    <w:tr2bl w:val="nil"/>
                  </w:tcBorders>
                  <w:noWrap w:val="0"/>
                  <w:vAlign w:val="center"/>
                </w:tcPr>
                <w:p w14:paraId="0534B876">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废气处理设施</w:t>
                  </w:r>
                </w:p>
              </w:tc>
              <w:tc>
                <w:tcPr>
                  <w:tcW w:w="1380" w:type="dxa"/>
                  <w:tcBorders>
                    <w:tl2br w:val="nil"/>
                    <w:tr2bl w:val="nil"/>
                  </w:tcBorders>
                  <w:noWrap w:val="0"/>
                  <w:vAlign w:val="center"/>
                </w:tcPr>
                <w:p w14:paraId="083E6AF7">
                  <w:pPr>
                    <w:pStyle w:val="132"/>
                    <w:keepNext w:val="0"/>
                    <w:keepLines w:val="0"/>
                    <w:suppressLineNumbers w:val="0"/>
                    <w:spacing w:before="0" w:beforeAutospacing="0" w:after="0" w:afterAutospacing="0" w:line="240" w:lineRule="auto"/>
                    <w:ind w:left="0" w:leftChars="0" w:right="0" w:rightChars="0"/>
                    <w:rPr>
                      <w:rFonts w:hint="default"/>
                      <w:color w:val="auto"/>
                      <w:sz w:val="18"/>
                      <w:szCs w:val="18"/>
                      <w:highlight w:val="none"/>
                      <w:lang w:val="en-US" w:eastAsia="zh-CN"/>
                    </w:rPr>
                  </w:pPr>
                  <w:r>
                    <w:rPr>
                      <w:rFonts w:hint="eastAsia"/>
                      <w:color w:val="auto"/>
                      <w:sz w:val="18"/>
                      <w:szCs w:val="18"/>
                      <w:highlight w:val="none"/>
                      <w:lang w:val="en-US" w:eastAsia="zh-CN"/>
                    </w:rPr>
                    <w:t>废布袋</w:t>
                  </w:r>
                </w:p>
              </w:tc>
              <w:tc>
                <w:tcPr>
                  <w:tcW w:w="1062" w:type="dxa"/>
                  <w:vMerge w:val="continue"/>
                  <w:tcBorders>
                    <w:tl2br w:val="nil"/>
                    <w:tr2bl w:val="nil"/>
                  </w:tcBorders>
                  <w:noWrap w:val="0"/>
                  <w:vAlign w:val="center"/>
                </w:tcPr>
                <w:p w14:paraId="1E4FC5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pacing w:val="0"/>
                      <w:sz w:val="18"/>
                      <w:szCs w:val="18"/>
                      <w:highlight w:val="none"/>
                    </w:rPr>
                  </w:pPr>
                </w:p>
              </w:tc>
              <w:tc>
                <w:tcPr>
                  <w:tcW w:w="3327" w:type="dxa"/>
                  <w:tcBorders>
                    <w:tl2br w:val="nil"/>
                    <w:tr2bl w:val="nil"/>
                  </w:tcBorders>
                  <w:noWrap w:val="0"/>
                  <w:vAlign w:val="center"/>
                </w:tcPr>
                <w:p w14:paraId="75A6564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kern w:val="2"/>
                      <w:sz w:val="18"/>
                      <w:szCs w:val="18"/>
                      <w:highlight w:val="none"/>
                      <w:lang w:val="en-US" w:eastAsia="zh-CN" w:bidi="ar-SA"/>
                    </w:rPr>
                  </w:pPr>
                  <w:r>
                    <w:rPr>
                      <w:rFonts w:hint="eastAsia" w:ascii="宋体" w:hAnsi="宋体" w:cs="宋体"/>
                      <w:color w:val="auto"/>
                      <w:sz w:val="18"/>
                      <w:szCs w:val="18"/>
                      <w:highlight w:val="none"/>
                    </w:rPr>
                    <w:t>由除尘器厂家更换后直接带走</w:t>
                  </w:r>
                </w:p>
              </w:tc>
            </w:tr>
          </w:tbl>
          <w:p w14:paraId="39BD5F8E">
            <w:pPr>
              <w:pStyle w:val="2"/>
              <w:keepNext w:val="0"/>
              <w:keepLines w:val="0"/>
              <w:suppressLineNumbers w:val="0"/>
              <w:spacing w:before="0" w:beforeAutospacing="0" w:after="0" w:afterAutospacing="0"/>
              <w:ind w:left="0" w:right="0"/>
              <w:rPr>
                <w:rFonts w:hint="default"/>
                <w:color w:val="auto"/>
                <w:highlight w:val="none"/>
                <w:lang w:val="en-US" w:eastAsia="zh-CN"/>
              </w:rPr>
            </w:pPr>
          </w:p>
        </w:tc>
      </w:tr>
      <w:tr w14:paraId="32D89A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90" w:hRule="atLeast"/>
          <w:jc w:val="center"/>
        </w:trPr>
        <w:tc>
          <w:tcPr>
            <w:tcW w:w="748" w:type="dxa"/>
            <w:vAlign w:val="center"/>
          </w:tcPr>
          <w:p w14:paraId="7E52085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21"/>
                <w:szCs w:val="21"/>
                <w:highlight w:val="none"/>
              </w:rPr>
            </w:pPr>
            <w:r>
              <w:rPr>
                <w:rFonts w:hint="default" w:ascii="Times New Roman" w:hAnsi="Times New Roman" w:cs="Times New Roman"/>
                <w:color w:val="auto"/>
                <w:kern w:val="21"/>
                <w:szCs w:val="21"/>
                <w:highlight w:val="none"/>
              </w:rPr>
              <w:t>与项目有关的原有环境污染问题</w:t>
            </w:r>
          </w:p>
        </w:tc>
        <w:tc>
          <w:tcPr>
            <w:tcW w:w="8473" w:type="dxa"/>
            <w:vAlign w:val="center"/>
          </w:tcPr>
          <w:p w14:paraId="61BA23F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21"/>
                <w:szCs w:val="21"/>
                <w:highlight w:val="none"/>
                <w:lang w:val="en-US" w:eastAsia="zh-CN"/>
              </w:rPr>
            </w:pPr>
            <w:r>
              <w:rPr>
                <w:rFonts w:hint="eastAsia" w:cs="Times New Roman"/>
                <w:color w:val="auto"/>
                <w:kern w:val="21"/>
                <w:szCs w:val="21"/>
                <w:highlight w:val="none"/>
                <w:lang w:val="en-US" w:eastAsia="zh-CN"/>
              </w:rPr>
              <w:t>本项目为新建项目，无原有污染问题。</w:t>
            </w:r>
          </w:p>
        </w:tc>
      </w:tr>
    </w:tbl>
    <w:p w14:paraId="792EAB63">
      <w:pPr>
        <w:pStyle w:val="30"/>
        <w:spacing w:before="0" w:beforeAutospacing="0" w:after="158" w:afterLines="50" w:afterAutospacing="0"/>
        <w:jc w:val="center"/>
        <w:outlineLvl w:val="0"/>
        <w:rPr>
          <w:rFonts w:hint="default" w:ascii="Times New Roman" w:hAnsi="Times New Roman" w:eastAsia="仿宋_GB2312" w:cs="Times New Roman"/>
          <w:b/>
          <w:bCs/>
          <w:color w:val="auto"/>
          <w:highlight w:val="none"/>
        </w:rPr>
        <w:sectPr>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03BD0A94">
      <w:pPr>
        <w:pStyle w:val="30"/>
        <w:spacing w:before="0" w:beforeAutospacing="0" w:after="158" w:afterLines="50" w:afterAutospacing="0"/>
        <w:jc w:val="center"/>
        <w:outlineLvl w:val="0"/>
        <w:rPr>
          <w:rFonts w:hint="eastAsia" w:ascii="宋体" w:hAnsi="宋体" w:eastAsia="宋体" w:cs="宋体"/>
          <w:snapToGrid w:val="0"/>
          <w:color w:val="auto"/>
          <w:kern w:val="21"/>
          <w:sz w:val="30"/>
          <w:szCs w:val="30"/>
          <w:highlight w:val="none"/>
        </w:rPr>
      </w:pPr>
      <w:bookmarkStart w:id="5" w:name="_Toc8233"/>
      <w:r>
        <w:rPr>
          <w:rFonts w:hint="eastAsia" w:ascii="宋体" w:hAnsi="宋体" w:eastAsia="宋体" w:cs="宋体"/>
          <w:snapToGrid w:val="0"/>
          <w:color w:val="auto"/>
          <w:kern w:val="21"/>
          <w:sz w:val="30"/>
          <w:szCs w:val="30"/>
          <w:highlight w:val="none"/>
        </w:rPr>
        <w:t>三、区域环境质量现状、环境保护目标及评价标准</w:t>
      </w:r>
      <w:bookmarkEnd w:id="5"/>
    </w:p>
    <w:tbl>
      <w:tblPr>
        <w:tblStyle w:val="34"/>
        <w:tblW w:w="504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2"/>
        <w:gridCol w:w="8253"/>
      </w:tblGrid>
      <w:tr w14:paraId="354C76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452" w:type="pct"/>
            <w:vAlign w:val="center"/>
          </w:tcPr>
          <w:p w14:paraId="5B88CB6D">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区域环境质量现状</w:t>
            </w:r>
          </w:p>
        </w:tc>
        <w:tc>
          <w:tcPr>
            <w:tcW w:w="4547" w:type="pct"/>
            <w:vAlign w:val="center"/>
          </w:tcPr>
          <w:p w14:paraId="20B4806B">
            <w:pPr>
              <w:keepNext w:val="0"/>
              <w:keepLines w:val="0"/>
              <w:widowControl/>
              <w:numPr>
                <w:ilvl w:val="0"/>
                <w:numId w:val="4"/>
              </w:numPr>
              <w:suppressLineNumbers w:val="0"/>
              <w:spacing w:before="0" w:beforeAutospacing="0" w:after="0" w:afterAutospacing="0" w:line="360" w:lineRule="auto"/>
              <w:ind w:left="0" w:right="0" w:firstLine="422" w:firstLineChars="200"/>
              <w:rPr>
                <w:rFonts w:hint="default"/>
                <w:b/>
                <w:bCs/>
                <w:color w:val="auto"/>
                <w:highlight w:val="none"/>
              </w:rPr>
            </w:pPr>
            <w:r>
              <w:rPr>
                <w:rFonts w:hint="default"/>
                <w:b/>
                <w:bCs/>
                <w:color w:val="auto"/>
                <w:highlight w:val="none"/>
              </w:rPr>
              <w:t>大气环境</w:t>
            </w:r>
          </w:p>
          <w:p w14:paraId="3CA82A52">
            <w:pPr>
              <w:keepNext w:val="0"/>
              <w:keepLines w:val="0"/>
              <w:suppressLineNumbers w:val="0"/>
              <w:adjustRightInd w:val="0"/>
              <w:snapToGrid w:val="0"/>
              <w:spacing w:before="0" w:beforeAutospacing="0" w:after="0" w:afterAutospacing="0" w:line="360" w:lineRule="auto"/>
              <w:ind w:left="0" w:right="0" w:firstLine="420" w:firstLineChars="200"/>
              <w:rPr>
                <w:rFonts w:hint="default"/>
                <w:color w:val="auto"/>
                <w:highlight w:val="none"/>
              </w:rPr>
            </w:pPr>
            <w:r>
              <w:rPr>
                <w:rFonts w:hint="default" w:ascii="Times New Roman" w:hAnsi="Times New Roman" w:eastAsia="宋体" w:cs="Times New Roman"/>
                <w:color w:val="auto"/>
                <w:highlight w:val="none"/>
                <w:lang w:val="en-US" w:eastAsia="zh-CN"/>
              </w:rPr>
              <w:t>根据</w:t>
            </w:r>
            <w:r>
              <w:rPr>
                <w:rFonts w:hint="eastAsia" w:ascii="Times New Roman" w:hAnsi="Times New Roman" w:eastAsia="宋体" w:cs="Times New Roman"/>
                <w:color w:val="auto"/>
                <w:highlight w:val="none"/>
                <w:lang w:val="en-US" w:eastAsia="zh-CN"/>
              </w:rPr>
              <w:t>《2024年黑龙江省生态环境质量状况》（2025年1月）</w:t>
            </w:r>
            <w:r>
              <w:rPr>
                <w:rFonts w:hint="default"/>
                <w:color w:val="auto"/>
                <w:highlight w:val="none"/>
              </w:rPr>
              <w:t>中公布的数据。</w:t>
            </w:r>
            <w:r>
              <w:rPr>
                <w:rFonts w:hint="eastAsia"/>
                <w:color w:val="auto"/>
                <w:highlight w:val="none"/>
                <w:lang w:val="en-US" w:eastAsia="zh-CN"/>
              </w:rPr>
              <w:t>2024年鸡西市各项污染物年均浓度综合情况如下表。</w:t>
            </w:r>
          </w:p>
          <w:p w14:paraId="7179ED90">
            <w:pPr>
              <w:keepNext w:val="0"/>
              <w:keepLines w:val="0"/>
              <w:suppressLineNumbers w:val="0"/>
              <w:adjustRightInd w:val="0"/>
              <w:snapToGrid w:val="0"/>
              <w:spacing w:before="0" w:beforeAutospacing="0" w:after="0" w:afterAutospacing="0"/>
              <w:ind w:left="0" w:right="0"/>
              <w:jc w:val="center"/>
              <w:rPr>
                <w:rFonts w:hint="default"/>
                <w:b/>
                <w:bCs/>
                <w:color w:val="auto"/>
                <w:highlight w:val="none"/>
              </w:rPr>
            </w:pPr>
            <w:r>
              <w:rPr>
                <w:rFonts w:hint="default"/>
                <w:b/>
                <w:bCs/>
                <w:color w:val="auto"/>
                <w:highlight w:val="none"/>
              </w:rPr>
              <w:t>表3-</w:t>
            </w:r>
            <w:r>
              <w:rPr>
                <w:rFonts w:hint="eastAsia"/>
                <w:b/>
                <w:bCs/>
                <w:color w:val="auto"/>
                <w:highlight w:val="none"/>
                <w:lang w:val="en-US" w:eastAsia="zh-CN"/>
              </w:rPr>
              <w:t>1 鸡西市</w:t>
            </w:r>
            <w:r>
              <w:rPr>
                <w:rFonts w:hint="default"/>
                <w:b/>
                <w:bCs/>
                <w:color w:val="auto"/>
                <w:highlight w:val="none"/>
              </w:rPr>
              <w:t>202</w:t>
            </w:r>
            <w:r>
              <w:rPr>
                <w:rFonts w:hint="eastAsia"/>
                <w:b/>
                <w:bCs/>
                <w:color w:val="auto"/>
                <w:highlight w:val="none"/>
                <w:lang w:val="en-US" w:eastAsia="zh-CN"/>
              </w:rPr>
              <w:t>4</w:t>
            </w:r>
            <w:r>
              <w:rPr>
                <w:rFonts w:hint="default"/>
                <w:b/>
                <w:bCs/>
                <w:color w:val="auto"/>
                <w:highlight w:val="none"/>
              </w:rPr>
              <w:t>年环境空气质量统计表   单位：μg/m</w:t>
            </w:r>
            <w:r>
              <w:rPr>
                <w:rFonts w:hint="default"/>
                <w:b/>
                <w:bCs/>
                <w:color w:val="auto"/>
                <w:highlight w:val="none"/>
                <w:vertAlign w:val="superscript"/>
              </w:rPr>
              <w:t>3</w:t>
            </w:r>
          </w:p>
          <w:tbl>
            <w:tblPr>
              <w:tblStyle w:val="34"/>
              <w:tblW w:w="500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6"/>
              <w:gridCol w:w="2992"/>
              <w:gridCol w:w="1049"/>
              <w:gridCol w:w="829"/>
              <w:gridCol w:w="940"/>
              <w:gridCol w:w="1190"/>
            </w:tblGrid>
            <w:tr w14:paraId="6F28737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2769CBF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tc>
              <w:tc>
                <w:tcPr>
                  <w:tcW w:w="2979" w:type="dxa"/>
                  <w:tcBorders>
                    <w:tl2br w:val="nil"/>
                    <w:tr2bl w:val="nil"/>
                  </w:tcBorders>
                  <w:vAlign w:val="center"/>
                </w:tcPr>
                <w:p w14:paraId="20B731C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年评价指标</w:t>
                  </w:r>
                </w:p>
              </w:tc>
              <w:tc>
                <w:tcPr>
                  <w:tcW w:w="1045" w:type="dxa"/>
                  <w:tcBorders>
                    <w:tl2br w:val="nil"/>
                    <w:tr2bl w:val="nil"/>
                  </w:tcBorders>
                  <w:vAlign w:val="center"/>
                </w:tcPr>
                <w:p w14:paraId="23FD54F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现状浓度</w:t>
                  </w:r>
                </w:p>
              </w:tc>
              <w:tc>
                <w:tcPr>
                  <w:tcW w:w="826" w:type="dxa"/>
                  <w:tcBorders>
                    <w:tl2br w:val="nil"/>
                    <w:tr2bl w:val="nil"/>
                  </w:tcBorders>
                  <w:vAlign w:val="center"/>
                </w:tcPr>
                <w:p w14:paraId="0FBDC06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标准值</w:t>
                  </w:r>
                </w:p>
              </w:tc>
              <w:tc>
                <w:tcPr>
                  <w:tcW w:w="936" w:type="dxa"/>
                  <w:tcBorders>
                    <w:tl2br w:val="nil"/>
                    <w:tr2bl w:val="nil"/>
                  </w:tcBorders>
                  <w:vAlign w:val="center"/>
                </w:tcPr>
                <w:p w14:paraId="3EED3FD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占标率</w:t>
                  </w:r>
                  <w:r>
                    <w:rPr>
                      <w:rFonts w:hint="default" w:ascii="Times New Roman" w:hAnsi="Times New Roman" w:eastAsia="宋体" w:cs="Times New Roman"/>
                      <w:color w:val="auto"/>
                      <w:sz w:val="18"/>
                      <w:szCs w:val="18"/>
                      <w:highlight w:val="none"/>
                      <w:lang w:val="en-US" w:eastAsia="zh-CN"/>
                    </w:rPr>
                    <w:t>%</w:t>
                  </w:r>
                </w:p>
              </w:tc>
              <w:tc>
                <w:tcPr>
                  <w:tcW w:w="1185" w:type="dxa"/>
                  <w:tcBorders>
                    <w:tl2br w:val="nil"/>
                    <w:tr2bl w:val="nil"/>
                  </w:tcBorders>
                  <w:vAlign w:val="center"/>
                </w:tcPr>
                <w:p w14:paraId="11CBA52C">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达标情况</w:t>
                  </w:r>
                </w:p>
              </w:tc>
            </w:tr>
            <w:tr w14:paraId="73F1089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5A6A315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PM</w:t>
                  </w:r>
                  <w:r>
                    <w:rPr>
                      <w:rFonts w:hint="default" w:ascii="Times New Roman" w:hAnsi="Times New Roman" w:eastAsia="宋体" w:cs="Times New Roman"/>
                      <w:color w:val="auto"/>
                      <w:sz w:val="18"/>
                      <w:szCs w:val="18"/>
                      <w:highlight w:val="none"/>
                      <w:vertAlign w:val="subscript"/>
                    </w:rPr>
                    <w:t>2.5</w:t>
                  </w:r>
                </w:p>
              </w:tc>
              <w:tc>
                <w:tcPr>
                  <w:tcW w:w="2979" w:type="dxa"/>
                  <w:tcBorders>
                    <w:tl2br w:val="nil"/>
                    <w:tr2bl w:val="nil"/>
                  </w:tcBorders>
                  <w:vAlign w:val="center"/>
                </w:tcPr>
                <w:p w14:paraId="31789A0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tcBorders>
                    <w:tl2br w:val="nil"/>
                    <w:tr2bl w:val="nil"/>
                  </w:tcBorders>
                  <w:vAlign w:val="center"/>
                </w:tcPr>
                <w:p w14:paraId="45682CA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27</w:t>
                  </w:r>
                </w:p>
              </w:tc>
              <w:tc>
                <w:tcPr>
                  <w:tcW w:w="826" w:type="dxa"/>
                  <w:tcBorders>
                    <w:tl2br w:val="nil"/>
                    <w:tr2bl w:val="nil"/>
                  </w:tcBorders>
                  <w:vAlign w:val="center"/>
                </w:tcPr>
                <w:p w14:paraId="2DBE94E8">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35</w:t>
                  </w:r>
                </w:p>
              </w:tc>
              <w:tc>
                <w:tcPr>
                  <w:tcW w:w="936" w:type="dxa"/>
                  <w:tcBorders>
                    <w:tl2br w:val="nil"/>
                    <w:tr2bl w:val="nil"/>
                  </w:tcBorders>
                  <w:vAlign w:val="center"/>
                </w:tcPr>
                <w:p w14:paraId="4C94487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77.1</w:t>
                  </w:r>
                </w:p>
              </w:tc>
              <w:tc>
                <w:tcPr>
                  <w:tcW w:w="1185" w:type="dxa"/>
                  <w:tcBorders>
                    <w:tl2br w:val="nil"/>
                    <w:tr2bl w:val="nil"/>
                  </w:tcBorders>
                  <w:vAlign w:val="center"/>
                </w:tcPr>
                <w:p w14:paraId="44E5465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达</w:t>
                  </w:r>
                  <w:r>
                    <w:rPr>
                      <w:rFonts w:hint="default" w:ascii="Times New Roman" w:hAnsi="Times New Roman" w:eastAsia="宋体" w:cs="Times New Roman"/>
                      <w:color w:val="auto"/>
                      <w:sz w:val="18"/>
                      <w:szCs w:val="18"/>
                      <w:highlight w:val="none"/>
                    </w:rPr>
                    <w:t>标</w:t>
                  </w:r>
                </w:p>
              </w:tc>
            </w:tr>
            <w:tr w14:paraId="2726DEF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789B2B0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PM</w:t>
                  </w:r>
                  <w:r>
                    <w:rPr>
                      <w:rFonts w:hint="default" w:ascii="Times New Roman" w:hAnsi="Times New Roman" w:eastAsia="宋体" w:cs="Times New Roman"/>
                      <w:color w:val="auto"/>
                      <w:sz w:val="18"/>
                      <w:szCs w:val="18"/>
                      <w:highlight w:val="none"/>
                      <w:vertAlign w:val="subscript"/>
                    </w:rPr>
                    <w:t>10</w:t>
                  </w:r>
                </w:p>
              </w:tc>
              <w:tc>
                <w:tcPr>
                  <w:tcW w:w="2979" w:type="dxa"/>
                  <w:tcBorders>
                    <w:tl2br w:val="nil"/>
                    <w:tr2bl w:val="nil"/>
                  </w:tcBorders>
                  <w:vAlign w:val="center"/>
                </w:tcPr>
                <w:p w14:paraId="6082037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tcBorders>
                    <w:tl2br w:val="nil"/>
                    <w:tr2bl w:val="nil"/>
                  </w:tcBorders>
                  <w:vAlign w:val="center"/>
                </w:tcPr>
                <w:p w14:paraId="32D68B3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46</w:t>
                  </w:r>
                </w:p>
              </w:tc>
              <w:tc>
                <w:tcPr>
                  <w:tcW w:w="826" w:type="dxa"/>
                  <w:tcBorders>
                    <w:tl2br w:val="nil"/>
                    <w:tr2bl w:val="nil"/>
                  </w:tcBorders>
                  <w:vAlign w:val="center"/>
                </w:tcPr>
                <w:p w14:paraId="3D7424F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70</w:t>
                  </w:r>
                </w:p>
              </w:tc>
              <w:tc>
                <w:tcPr>
                  <w:tcW w:w="936" w:type="dxa"/>
                  <w:tcBorders>
                    <w:tl2br w:val="nil"/>
                    <w:tr2bl w:val="nil"/>
                  </w:tcBorders>
                  <w:vAlign w:val="center"/>
                </w:tcPr>
                <w:p w14:paraId="73BFC24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65.7</w:t>
                  </w:r>
                </w:p>
              </w:tc>
              <w:tc>
                <w:tcPr>
                  <w:tcW w:w="1185" w:type="dxa"/>
                  <w:tcBorders>
                    <w:tl2br w:val="nil"/>
                    <w:tr2bl w:val="nil"/>
                  </w:tcBorders>
                  <w:vAlign w:val="center"/>
                </w:tcPr>
                <w:p w14:paraId="774BFCE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14:paraId="4B88B7A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1D2C06F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NO</w:t>
                  </w:r>
                  <w:r>
                    <w:rPr>
                      <w:rFonts w:hint="default" w:ascii="Times New Roman" w:hAnsi="Times New Roman" w:eastAsia="宋体" w:cs="Times New Roman"/>
                      <w:color w:val="auto"/>
                      <w:sz w:val="18"/>
                      <w:szCs w:val="18"/>
                      <w:highlight w:val="none"/>
                      <w:vertAlign w:val="subscript"/>
                    </w:rPr>
                    <w:t>2</w:t>
                  </w:r>
                </w:p>
              </w:tc>
              <w:tc>
                <w:tcPr>
                  <w:tcW w:w="2979" w:type="dxa"/>
                  <w:tcBorders>
                    <w:tl2br w:val="nil"/>
                    <w:tr2bl w:val="nil"/>
                  </w:tcBorders>
                  <w:vAlign w:val="center"/>
                </w:tcPr>
                <w:p w14:paraId="4A350AC6">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tcBorders>
                    <w:tl2br w:val="nil"/>
                    <w:tr2bl w:val="nil"/>
                  </w:tcBorders>
                  <w:vAlign w:val="center"/>
                </w:tcPr>
                <w:p w14:paraId="66EF31A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17</w:t>
                  </w:r>
                </w:p>
              </w:tc>
              <w:tc>
                <w:tcPr>
                  <w:tcW w:w="826" w:type="dxa"/>
                  <w:tcBorders>
                    <w:tl2br w:val="nil"/>
                    <w:tr2bl w:val="nil"/>
                  </w:tcBorders>
                  <w:vAlign w:val="center"/>
                </w:tcPr>
                <w:p w14:paraId="47DD731D">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40</w:t>
                  </w:r>
                </w:p>
              </w:tc>
              <w:tc>
                <w:tcPr>
                  <w:tcW w:w="936" w:type="dxa"/>
                  <w:tcBorders>
                    <w:tl2br w:val="nil"/>
                    <w:tr2bl w:val="nil"/>
                  </w:tcBorders>
                  <w:vAlign w:val="center"/>
                </w:tcPr>
                <w:p w14:paraId="3064A36A">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42.5</w:t>
                  </w:r>
                </w:p>
              </w:tc>
              <w:tc>
                <w:tcPr>
                  <w:tcW w:w="1185" w:type="dxa"/>
                  <w:tcBorders>
                    <w:tl2br w:val="nil"/>
                    <w:tr2bl w:val="nil"/>
                  </w:tcBorders>
                  <w:vAlign w:val="center"/>
                </w:tcPr>
                <w:p w14:paraId="37C37059">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14:paraId="2A5C66F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414A5F4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SO</w:t>
                  </w:r>
                  <w:r>
                    <w:rPr>
                      <w:rFonts w:hint="default" w:ascii="Times New Roman" w:hAnsi="Times New Roman" w:eastAsia="宋体" w:cs="Times New Roman"/>
                      <w:color w:val="auto"/>
                      <w:sz w:val="18"/>
                      <w:szCs w:val="18"/>
                      <w:highlight w:val="none"/>
                      <w:vertAlign w:val="subscript"/>
                    </w:rPr>
                    <w:t>2</w:t>
                  </w:r>
                </w:p>
              </w:tc>
              <w:tc>
                <w:tcPr>
                  <w:tcW w:w="2979" w:type="dxa"/>
                  <w:tcBorders>
                    <w:tl2br w:val="nil"/>
                    <w:tr2bl w:val="nil"/>
                  </w:tcBorders>
                  <w:vAlign w:val="center"/>
                </w:tcPr>
                <w:p w14:paraId="4B17F55D">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年平均质量浓度</w:t>
                  </w:r>
                </w:p>
              </w:tc>
              <w:tc>
                <w:tcPr>
                  <w:tcW w:w="1045" w:type="dxa"/>
                  <w:tcBorders>
                    <w:tl2br w:val="nil"/>
                    <w:tr2bl w:val="nil"/>
                  </w:tcBorders>
                  <w:vAlign w:val="center"/>
                </w:tcPr>
                <w:p w14:paraId="222DE99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8</w:t>
                  </w:r>
                </w:p>
              </w:tc>
              <w:tc>
                <w:tcPr>
                  <w:tcW w:w="826" w:type="dxa"/>
                  <w:tcBorders>
                    <w:tl2br w:val="nil"/>
                    <w:tr2bl w:val="nil"/>
                  </w:tcBorders>
                  <w:vAlign w:val="center"/>
                </w:tcPr>
                <w:p w14:paraId="44CFFC3C">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60</w:t>
                  </w:r>
                </w:p>
              </w:tc>
              <w:tc>
                <w:tcPr>
                  <w:tcW w:w="936" w:type="dxa"/>
                  <w:tcBorders>
                    <w:tl2br w:val="nil"/>
                    <w:tr2bl w:val="nil"/>
                  </w:tcBorders>
                  <w:vAlign w:val="center"/>
                </w:tcPr>
                <w:p w14:paraId="43ED8D62">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13.3</w:t>
                  </w:r>
                </w:p>
              </w:tc>
              <w:tc>
                <w:tcPr>
                  <w:tcW w:w="1185" w:type="dxa"/>
                  <w:tcBorders>
                    <w:tl2br w:val="nil"/>
                    <w:tr2bl w:val="nil"/>
                  </w:tcBorders>
                  <w:vAlign w:val="center"/>
                </w:tcPr>
                <w:p w14:paraId="5E024E97">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14:paraId="1EEFDE7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36D8B158">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CO</w:t>
                  </w:r>
                </w:p>
              </w:tc>
              <w:tc>
                <w:tcPr>
                  <w:tcW w:w="2979" w:type="dxa"/>
                  <w:tcBorders>
                    <w:tl2br w:val="nil"/>
                    <w:tr2bl w:val="nil"/>
                  </w:tcBorders>
                  <w:vAlign w:val="center"/>
                </w:tcPr>
                <w:p w14:paraId="097DD8B6">
                  <w:pPr>
                    <w:keepNext w:val="0"/>
                    <w:keepLines w:val="0"/>
                    <w:suppressLineNumbers w:val="0"/>
                    <w:adjustRightInd w:val="0"/>
                    <w:spacing w:before="0" w:beforeAutospacing="0" w:after="0" w:afterAutospacing="0" w:line="240" w:lineRule="auto"/>
                    <w:ind w:left="0" w:right="0"/>
                    <w:jc w:val="center"/>
                    <w:textAlignment w:val="baseline"/>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第95百分位数日平均浓度（</w:t>
                  </w:r>
                  <w:r>
                    <w:rPr>
                      <w:rFonts w:hint="default" w:ascii="Times New Roman" w:hAnsi="Times New Roman" w:eastAsia="宋体" w:cs="Times New Roman"/>
                      <w:color w:val="auto"/>
                      <w:sz w:val="18"/>
                      <w:szCs w:val="18"/>
                      <w:highlight w:val="none"/>
                    </w:rPr>
                    <w:t>mg/m</w:t>
                  </w:r>
                  <w:r>
                    <w:rPr>
                      <w:rFonts w:hint="default" w:ascii="Times New Roman" w:hAnsi="Times New Roman" w:eastAsia="宋体" w:cs="Times New Roman"/>
                      <w:color w:val="auto"/>
                      <w:sz w:val="18"/>
                      <w:szCs w:val="18"/>
                      <w:highlight w:val="none"/>
                      <w:vertAlign w:val="superscript"/>
                    </w:rPr>
                    <w:t>3</w:t>
                  </w:r>
                  <w:r>
                    <w:rPr>
                      <w:rFonts w:hint="eastAsia" w:ascii="Times New Roman" w:hAnsi="Times New Roman" w:eastAsia="宋体" w:cs="Times New Roman"/>
                      <w:color w:val="auto"/>
                      <w:sz w:val="18"/>
                      <w:szCs w:val="18"/>
                      <w:highlight w:val="none"/>
                      <w:vertAlign w:val="baseline"/>
                      <w:lang w:eastAsia="zh-CN"/>
                    </w:rPr>
                    <w:t>）</w:t>
                  </w:r>
                </w:p>
              </w:tc>
              <w:tc>
                <w:tcPr>
                  <w:tcW w:w="1045" w:type="dxa"/>
                  <w:tcBorders>
                    <w:tl2br w:val="nil"/>
                    <w:tr2bl w:val="nil"/>
                  </w:tcBorders>
                  <w:vAlign w:val="center"/>
                </w:tcPr>
                <w:p w14:paraId="3381563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826" w:type="dxa"/>
                  <w:tcBorders>
                    <w:tl2br w:val="nil"/>
                    <w:tr2bl w:val="nil"/>
                  </w:tcBorders>
                  <w:vAlign w:val="center"/>
                </w:tcPr>
                <w:p w14:paraId="3F94EB1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4.0</w:t>
                  </w:r>
                </w:p>
              </w:tc>
              <w:tc>
                <w:tcPr>
                  <w:tcW w:w="936" w:type="dxa"/>
                  <w:tcBorders>
                    <w:tl2br w:val="nil"/>
                    <w:tr2bl w:val="nil"/>
                  </w:tcBorders>
                  <w:vAlign w:val="center"/>
                </w:tcPr>
                <w:p w14:paraId="1697D02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25</w:t>
                  </w:r>
                </w:p>
              </w:tc>
              <w:tc>
                <w:tcPr>
                  <w:tcW w:w="1185" w:type="dxa"/>
                  <w:tcBorders>
                    <w:tl2br w:val="nil"/>
                    <w:tr2bl w:val="nil"/>
                  </w:tcBorders>
                  <w:vAlign w:val="center"/>
                </w:tcPr>
                <w:p w14:paraId="112101D5">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r w14:paraId="73BA82F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3" w:type="dxa"/>
                  <w:tcBorders>
                    <w:tl2br w:val="nil"/>
                    <w:tr2bl w:val="nil"/>
                  </w:tcBorders>
                  <w:vAlign w:val="center"/>
                </w:tcPr>
                <w:p w14:paraId="78E74D71">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O</w:t>
                  </w:r>
                  <w:r>
                    <w:rPr>
                      <w:rFonts w:hint="eastAsia" w:cs="Times New Roman"/>
                      <w:color w:val="auto"/>
                      <w:sz w:val="18"/>
                      <w:szCs w:val="18"/>
                      <w:highlight w:val="none"/>
                      <w:vertAlign w:val="subscript"/>
                      <w:lang w:val="en-US" w:eastAsia="zh-CN"/>
                    </w:rPr>
                    <w:t>3</w:t>
                  </w:r>
                </w:p>
              </w:tc>
              <w:tc>
                <w:tcPr>
                  <w:tcW w:w="2979" w:type="dxa"/>
                  <w:tcBorders>
                    <w:tl2br w:val="nil"/>
                    <w:tr2bl w:val="nil"/>
                  </w:tcBorders>
                  <w:vAlign w:val="center"/>
                </w:tcPr>
                <w:p w14:paraId="2DDC4AFE">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eastAsia" w:cs="Times New Roman"/>
                      <w:color w:val="auto"/>
                      <w:sz w:val="18"/>
                      <w:szCs w:val="18"/>
                      <w:highlight w:val="none"/>
                      <w:lang w:val="en-US" w:eastAsia="zh-CN"/>
                    </w:rPr>
                    <w:t>第90</w:t>
                  </w:r>
                  <w:r>
                    <w:rPr>
                      <w:rFonts w:hint="default" w:ascii="Times New Roman" w:hAnsi="Times New Roman" w:eastAsia="宋体" w:cs="Times New Roman"/>
                      <w:color w:val="auto"/>
                      <w:sz w:val="18"/>
                      <w:szCs w:val="18"/>
                      <w:highlight w:val="none"/>
                    </w:rPr>
                    <w:t>百分位数8h平均</w:t>
                  </w:r>
                  <w:r>
                    <w:rPr>
                      <w:rFonts w:hint="eastAsia" w:cs="Times New Roman"/>
                      <w:color w:val="auto"/>
                      <w:sz w:val="18"/>
                      <w:szCs w:val="18"/>
                      <w:highlight w:val="none"/>
                      <w:lang w:val="en-US" w:eastAsia="zh-CN"/>
                    </w:rPr>
                    <w:t>质量</w:t>
                  </w:r>
                  <w:r>
                    <w:rPr>
                      <w:rFonts w:hint="default" w:ascii="Times New Roman" w:hAnsi="Times New Roman" w:eastAsia="宋体" w:cs="Times New Roman"/>
                      <w:color w:val="auto"/>
                      <w:sz w:val="18"/>
                      <w:szCs w:val="18"/>
                      <w:highlight w:val="none"/>
                    </w:rPr>
                    <w:t>浓度</w:t>
                  </w:r>
                </w:p>
              </w:tc>
              <w:tc>
                <w:tcPr>
                  <w:tcW w:w="1045" w:type="dxa"/>
                  <w:tcBorders>
                    <w:tl2br w:val="nil"/>
                    <w:tr2bl w:val="nil"/>
                  </w:tcBorders>
                  <w:vAlign w:val="center"/>
                </w:tcPr>
                <w:p w14:paraId="3F42EE7B">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90</w:t>
                  </w:r>
                </w:p>
              </w:tc>
              <w:tc>
                <w:tcPr>
                  <w:tcW w:w="826" w:type="dxa"/>
                  <w:tcBorders>
                    <w:tl2br w:val="nil"/>
                    <w:tr2bl w:val="nil"/>
                  </w:tcBorders>
                  <w:vAlign w:val="center"/>
                </w:tcPr>
                <w:p w14:paraId="35DA1A54">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160</w:t>
                  </w:r>
                </w:p>
              </w:tc>
              <w:tc>
                <w:tcPr>
                  <w:tcW w:w="936" w:type="dxa"/>
                  <w:tcBorders>
                    <w:tl2br w:val="nil"/>
                    <w:tr2bl w:val="nil"/>
                  </w:tcBorders>
                  <w:vAlign w:val="center"/>
                </w:tcPr>
                <w:p w14:paraId="5D32865F">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56.3</w:t>
                  </w:r>
                </w:p>
              </w:tc>
              <w:tc>
                <w:tcPr>
                  <w:tcW w:w="1185" w:type="dxa"/>
                  <w:tcBorders>
                    <w:tl2br w:val="nil"/>
                    <w:tr2bl w:val="nil"/>
                  </w:tcBorders>
                  <w:vAlign w:val="center"/>
                </w:tcPr>
                <w:p w14:paraId="2C43F893">
                  <w:pPr>
                    <w:keepNext w:val="0"/>
                    <w:keepLines w:val="0"/>
                    <w:suppressLineNumbers w:val="0"/>
                    <w:adjustRightInd w:val="0"/>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达标</w:t>
                  </w:r>
                </w:p>
              </w:tc>
            </w:tr>
          </w:tbl>
          <w:p w14:paraId="77E980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lang w:val="en-US" w:eastAsia="zh-CN"/>
              </w:rPr>
            </w:pPr>
            <w:r>
              <w:rPr>
                <w:rFonts w:hint="eastAsia" w:cs="Times New Roman"/>
                <w:color w:val="auto"/>
                <w:sz w:val="21"/>
                <w:szCs w:val="21"/>
                <w:highlight w:val="none"/>
                <w:lang w:val="en-US" w:eastAsia="zh-CN"/>
              </w:rPr>
              <w:t>由表3-1可知，2024年鸡西市空气基本污染物中</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2.5</w:t>
            </w:r>
            <w:r>
              <w:rPr>
                <w:rFonts w:hint="eastAsia" w:ascii="Times New Roman" w:hAnsi="Times New Roman"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PM</w:t>
            </w:r>
            <w:r>
              <w:rPr>
                <w:rFonts w:hint="default" w:ascii="Times New Roman" w:hAnsi="Times New Roman" w:eastAsia="宋体" w:cs="Times New Roman"/>
                <w:color w:val="auto"/>
                <w:sz w:val="21"/>
                <w:szCs w:val="21"/>
                <w:highlight w:val="none"/>
                <w:vertAlign w:val="subscript"/>
              </w:rPr>
              <w:t>10</w:t>
            </w:r>
            <w:r>
              <w:rPr>
                <w:rFonts w:hint="eastAsia"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eastAsia" w:ascii="Times New Roman" w:hAnsi="Times New Roman" w:eastAsia="宋体" w:cs="Times New Roman"/>
                <w:color w:val="auto"/>
                <w:sz w:val="21"/>
                <w:szCs w:val="21"/>
                <w:highlight w:val="none"/>
                <w:vertAlign w:val="baseline"/>
                <w:lang w:eastAsia="zh-CN"/>
              </w:rPr>
              <w:t>、</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2</w:t>
            </w:r>
            <w:r>
              <w:rPr>
                <w:rFonts w:hint="eastAsia" w:ascii="Times New Roman" w:hAnsi="Times New Roman" w:eastAsia="宋体" w:cs="Times New Roman"/>
                <w:color w:val="auto"/>
                <w:sz w:val="21"/>
                <w:szCs w:val="21"/>
                <w:highlight w:val="none"/>
                <w:vertAlign w:val="baseline"/>
                <w:lang w:val="en-US" w:eastAsia="zh-CN"/>
              </w:rPr>
              <w:t>年平均质量浓度</w:t>
            </w:r>
            <w:r>
              <w:rPr>
                <w:rFonts w:hint="eastAsia" w:cs="Times New Roman"/>
                <w:color w:val="auto"/>
                <w:sz w:val="21"/>
                <w:szCs w:val="21"/>
                <w:highlight w:val="none"/>
                <w:vertAlign w:val="baseline"/>
                <w:lang w:val="en-US" w:eastAsia="zh-CN"/>
              </w:rPr>
              <w:t>及</w:t>
            </w:r>
            <w:r>
              <w:rPr>
                <w:rFonts w:hint="default" w:ascii="Times New Roman" w:hAnsi="Times New Roman" w:eastAsia="宋体" w:cs="Times New Roman"/>
                <w:color w:val="auto"/>
                <w:sz w:val="21"/>
                <w:szCs w:val="21"/>
                <w:highlight w:val="none"/>
              </w:rPr>
              <w:t>CO</w:t>
            </w:r>
            <w:r>
              <w:rPr>
                <w:rFonts w:hint="eastAsia" w:cs="Times New Roman"/>
                <w:color w:val="auto"/>
                <w:sz w:val="21"/>
                <w:szCs w:val="21"/>
                <w:highlight w:val="none"/>
                <w:lang w:val="en-US" w:eastAsia="zh-CN"/>
              </w:rPr>
              <w:t>第95百分位数日平均浓度、O</w:t>
            </w:r>
            <w:r>
              <w:rPr>
                <w:rFonts w:hint="eastAsia" w:cs="Times New Roman"/>
                <w:color w:val="auto"/>
                <w:sz w:val="21"/>
                <w:szCs w:val="21"/>
                <w:highlight w:val="none"/>
                <w:vertAlign w:val="subscript"/>
                <w:lang w:val="en-US" w:eastAsia="zh-CN"/>
              </w:rPr>
              <w:t>3</w:t>
            </w:r>
            <w:r>
              <w:rPr>
                <w:rFonts w:hint="eastAsia" w:cs="Times New Roman"/>
                <w:color w:val="auto"/>
                <w:sz w:val="21"/>
                <w:szCs w:val="21"/>
                <w:highlight w:val="none"/>
                <w:lang w:val="en-US" w:eastAsia="zh-CN"/>
              </w:rPr>
              <w:t>第90</w:t>
            </w:r>
            <w:r>
              <w:rPr>
                <w:rFonts w:hint="default" w:ascii="Times New Roman" w:hAnsi="Times New Roman" w:eastAsia="宋体" w:cs="Times New Roman"/>
                <w:color w:val="auto"/>
                <w:sz w:val="21"/>
                <w:szCs w:val="21"/>
                <w:highlight w:val="none"/>
              </w:rPr>
              <w:t>百分位数8h平均</w:t>
            </w:r>
            <w:r>
              <w:rPr>
                <w:rFonts w:hint="eastAsia" w:cs="Times New Roman"/>
                <w:color w:val="auto"/>
                <w:sz w:val="21"/>
                <w:szCs w:val="21"/>
                <w:highlight w:val="none"/>
                <w:lang w:val="en-US" w:eastAsia="zh-CN"/>
              </w:rPr>
              <w:t>质量</w:t>
            </w:r>
            <w:r>
              <w:rPr>
                <w:rFonts w:hint="default" w:ascii="Times New Roman" w:hAnsi="Times New Roman" w:eastAsia="宋体" w:cs="Times New Roman"/>
                <w:color w:val="auto"/>
                <w:sz w:val="21"/>
                <w:szCs w:val="21"/>
                <w:highlight w:val="none"/>
              </w:rPr>
              <w:t>浓度</w:t>
            </w:r>
            <w:r>
              <w:rPr>
                <w:rFonts w:hint="eastAsia" w:ascii="Times New Roman" w:hAnsi="Times New Roman" w:eastAsia="宋体" w:cs="Times New Roman"/>
                <w:color w:val="auto"/>
                <w:sz w:val="21"/>
                <w:szCs w:val="21"/>
                <w:highlight w:val="none"/>
                <w:lang w:val="en-US" w:eastAsia="zh-CN"/>
              </w:rPr>
              <w:t>均</w:t>
            </w:r>
            <w:r>
              <w:rPr>
                <w:rFonts w:hint="eastAsia" w:ascii="Times New Roman" w:hAnsi="Times New Roman" w:eastAsia="宋体" w:cs="Times New Roman"/>
                <w:color w:val="auto"/>
                <w:sz w:val="21"/>
                <w:szCs w:val="21"/>
                <w:highlight w:val="none"/>
                <w:vertAlign w:val="baseline"/>
                <w:lang w:val="en-US" w:eastAsia="zh-CN"/>
              </w:rPr>
              <w:t>满足</w:t>
            </w:r>
            <w:r>
              <w:rPr>
                <w:rFonts w:hint="default" w:ascii="Times New Roman" w:hAnsi="Times New Roman" w:cs="Times New Roman"/>
                <w:color w:val="auto"/>
                <w:kern w:val="0"/>
                <w:sz w:val="21"/>
                <w:szCs w:val="21"/>
                <w:highlight w:val="none"/>
              </w:rPr>
              <w:t>《环境空气质量标准》（GB3095-2012）中的二级标准</w:t>
            </w:r>
            <w:r>
              <w:rPr>
                <w:rFonts w:hint="eastAsia" w:cs="Times New Roman"/>
                <w:color w:val="auto"/>
                <w:kern w:val="0"/>
                <w:sz w:val="21"/>
                <w:szCs w:val="21"/>
                <w:highlight w:val="none"/>
                <w:lang w:eastAsia="zh-CN"/>
              </w:rPr>
              <w:t>，</w:t>
            </w:r>
            <w:r>
              <w:rPr>
                <w:rFonts w:hint="eastAsia" w:ascii="Times New Roman" w:hAnsi="Times New Roman" w:cs="Times New Roman"/>
                <w:color w:val="auto"/>
                <w:kern w:val="0"/>
                <w:sz w:val="21"/>
                <w:szCs w:val="21"/>
                <w:highlight w:val="none"/>
                <w:lang w:val="en-US" w:eastAsia="zh-CN"/>
              </w:rPr>
              <w:t>因此判定本项目区域环境空气质量为达标区。</w:t>
            </w:r>
          </w:p>
          <w:p w14:paraId="3D9C960B">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eastAsia="宋体" w:cs="Times New Roman"/>
                <w:color w:val="auto"/>
                <w:szCs w:val="21"/>
                <w:highlight w:val="none"/>
                <w:lang w:val="en-US" w:eastAsia="zh-CN"/>
              </w:rPr>
            </w:pPr>
            <w:r>
              <w:rPr>
                <w:rFonts w:hint="eastAsia" w:ascii="Times New Roman" w:hAnsi="Times New Roman" w:cs="Times New Roman"/>
                <w:color w:val="auto"/>
                <w:szCs w:val="21"/>
                <w:highlight w:val="none"/>
                <w:lang w:val="en-US" w:eastAsia="zh-CN"/>
              </w:rPr>
              <w:t>其他</w:t>
            </w:r>
            <w:r>
              <w:rPr>
                <w:rFonts w:hint="default" w:ascii="Times New Roman" w:hAnsi="Times New Roman" w:cs="Times New Roman"/>
                <w:color w:val="auto"/>
                <w:szCs w:val="21"/>
                <w:highlight w:val="none"/>
              </w:rPr>
              <w:t>污染物</w:t>
            </w:r>
            <w:r>
              <w:rPr>
                <w:rFonts w:hint="eastAsia" w:ascii="Times New Roman" w:hAnsi="Times New Roman" w:cs="Times New Roman"/>
                <w:color w:val="auto"/>
                <w:szCs w:val="21"/>
                <w:highlight w:val="none"/>
                <w:lang w:eastAsia="zh-CN"/>
              </w:rPr>
              <w:t>：</w:t>
            </w:r>
          </w:p>
          <w:p w14:paraId="4409289A">
            <w:pPr>
              <w:pStyle w:val="2"/>
              <w:keepNext w:val="0"/>
              <w:keepLines w:val="0"/>
              <w:suppressLineNumbers w:val="0"/>
              <w:snapToGrid/>
              <w:spacing w:before="0" w:beforeAutospacing="0" w:after="0" w:afterAutospacing="0" w:line="360" w:lineRule="auto"/>
              <w:ind w:left="0" w:right="0" w:firstLineChars="200"/>
              <w:rPr>
                <w:rFonts w:hint="default"/>
                <w:color w:val="auto"/>
                <w:sz w:val="21"/>
                <w:szCs w:val="21"/>
                <w:highlight w:val="none"/>
              </w:rPr>
            </w:pPr>
            <w:r>
              <w:rPr>
                <w:rFonts w:hint="default"/>
                <w:color w:val="auto"/>
                <w:kern w:val="0"/>
                <w:sz w:val="21"/>
                <w:szCs w:val="21"/>
                <w:highlight w:val="none"/>
              </w:rPr>
              <w:t>本项目委托</w:t>
            </w:r>
            <w:r>
              <w:rPr>
                <w:rFonts w:hint="eastAsia"/>
                <w:color w:val="auto"/>
                <w:sz w:val="21"/>
                <w:szCs w:val="21"/>
                <w:highlight w:val="none"/>
                <w:lang w:val="en-US" w:eastAsia="zh-CN"/>
              </w:rPr>
              <w:t>鸡西晟源环境检测</w:t>
            </w:r>
            <w:r>
              <w:rPr>
                <w:rFonts w:hint="default"/>
                <w:color w:val="auto"/>
                <w:sz w:val="21"/>
                <w:szCs w:val="21"/>
                <w:highlight w:val="none"/>
              </w:rPr>
              <w:t>有限公司对</w:t>
            </w:r>
            <w:r>
              <w:rPr>
                <w:rFonts w:hint="eastAsia"/>
                <w:color w:val="auto"/>
                <w:sz w:val="21"/>
                <w:szCs w:val="21"/>
                <w:highlight w:val="none"/>
              </w:rPr>
              <w:t>颗粒物</w:t>
            </w:r>
            <w:r>
              <w:rPr>
                <w:rFonts w:hint="default"/>
                <w:color w:val="auto"/>
                <w:sz w:val="21"/>
                <w:szCs w:val="21"/>
                <w:highlight w:val="none"/>
              </w:rPr>
              <w:t>环境空气质量进行监测，监测时间202</w:t>
            </w:r>
            <w:r>
              <w:rPr>
                <w:rFonts w:hint="eastAsia"/>
                <w:color w:val="auto"/>
                <w:sz w:val="21"/>
                <w:szCs w:val="21"/>
                <w:highlight w:val="none"/>
                <w:lang w:val="en-US" w:eastAsia="zh-CN"/>
              </w:rPr>
              <w:t>5</w:t>
            </w:r>
            <w:r>
              <w:rPr>
                <w:rFonts w:hint="default"/>
                <w:color w:val="auto"/>
                <w:sz w:val="21"/>
                <w:szCs w:val="21"/>
                <w:highlight w:val="none"/>
              </w:rPr>
              <w:t>年</w:t>
            </w:r>
            <w:r>
              <w:rPr>
                <w:rFonts w:hint="eastAsia"/>
                <w:color w:val="auto"/>
                <w:sz w:val="21"/>
                <w:szCs w:val="21"/>
                <w:highlight w:val="none"/>
                <w:lang w:val="en-US" w:eastAsia="zh-CN"/>
              </w:rPr>
              <w:t>6</w:t>
            </w:r>
            <w:r>
              <w:rPr>
                <w:rFonts w:hint="default"/>
                <w:color w:val="auto"/>
                <w:sz w:val="21"/>
                <w:szCs w:val="21"/>
                <w:highlight w:val="none"/>
              </w:rPr>
              <w:t>月</w:t>
            </w:r>
            <w:r>
              <w:rPr>
                <w:rFonts w:hint="eastAsia"/>
                <w:color w:val="auto"/>
                <w:sz w:val="21"/>
                <w:szCs w:val="21"/>
                <w:highlight w:val="none"/>
                <w:lang w:val="en-US" w:eastAsia="zh-CN"/>
              </w:rPr>
              <w:t>13</w:t>
            </w:r>
            <w:r>
              <w:rPr>
                <w:rFonts w:hint="default"/>
                <w:color w:val="auto"/>
                <w:sz w:val="21"/>
                <w:szCs w:val="21"/>
                <w:highlight w:val="none"/>
              </w:rPr>
              <w:t>日-</w:t>
            </w:r>
            <w:r>
              <w:rPr>
                <w:rFonts w:hint="eastAsia"/>
                <w:color w:val="auto"/>
                <w:sz w:val="21"/>
                <w:szCs w:val="21"/>
                <w:highlight w:val="none"/>
                <w:lang w:val="en-US" w:eastAsia="zh-CN"/>
              </w:rPr>
              <w:t>6</w:t>
            </w:r>
            <w:r>
              <w:rPr>
                <w:rFonts w:hint="default"/>
                <w:color w:val="auto"/>
                <w:sz w:val="21"/>
                <w:szCs w:val="21"/>
                <w:highlight w:val="none"/>
              </w:rPr>
              <w:t>月</w:t>
            </w:r>
            <w:r>
              <w:rPr>
                <w:rFonts w:hint="eastAsia"/>
                <w:color w:val="auto"/>
                <w:sz w:val="21"/>
                <w:szCs w:val="21"/>
                <w:highlight w:val="none"/>
                <w:lang w:val="en-US" w:eastAsia="zh-CN"/>
              </w:rPr>
              <w:t>15</w:t>
            </w:r>
            <w:r>
              <w:rPr>
                <w:rFonts w:hint="default"/>
                <w:color w:val="auto"/>
                <w:sz w:val="21"/>
                <w:szCs w:val="21"/>
                <w:highlight w:val="none"/>
              </w:rPr>
              <w:t>日。</w:t>
            </w:r>
            <w:r>
              <w:rPr>
                <w:rFonts w:hint="eastAsia"/>
                <w:color w:val="auto"/>
                <w:kern w:val="0"/>
                <w:sz w:val="21"/>
                <w:szCs w:val="21"/>
                <w:highlight w:val="none"/>
              </w:rPr>
              <w:t>监测点位见图3-1</w:t>
            </w:r>
            <w:r>
              <w:rPr>
                <w:rFonts w:hint="default"/>
                <w:color w:val="auto"/>
                <w:sz w:val="21"/>
                <w:szCs w:val="21"/>
                <w:highlight w:val="none"/>
              </w:rPr>
              <w:t>。</w:t>
            </w:r>
          </w:p>
          <w:p w14:paraId="1E878433">
            <w:pPr>
              <w:pStyle w:val="3"/>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both"/>
              <w:textAlignment w:val="auto"/>
              <w:rPr>
                <w:rFonts w:hint="eastAsia" w:eastAsia="宋体"/>
                <w:color w:val="auto"/>
                <w:sz w:val="21"/>
                <w:szCs w:val="21"/>
                <w:highlight w:val="none"/>
                <w:lang w:eastAsia="zh-CN"/>
              </w:rPr>
            </w:pPr>
            <w:r>
              <w:rPr>
                <w:rFonts w:hint="default"/>
                <w:color w:val="auto"/>
                <w:sz w:val="21"/>
              </w:rPr>
              <mc:AlternateContent>
                <mc:Choice Requires="wps">
                  <w:drawing>
                    <wp:anchor distT="0" distB="0" distL="114300" distR="114300" simplePos="0" relativeHeight="251673600" behindDoc="0" locked="0" layoutInCell="1" allowOverlap="1">
                      <wp:simplePos x="0" y="0"/>
                      <wp:positionH relativeFrom="column">
                        <wp:posOffset>4073525</wp:posOffset>
                      </wp:positionH>
                      <wp:positionV relativeFrom="paragraph">
                        <wp:posOffset>2251710</wp:posOffset>
                      </wp:positionV>
                      <wp:extent cx="180975" cy="152400"/>
                      <wp:effectExtent l="12700" t="12700" r="15875" b="25400"/>
                      <wp:wrapNone/>
                      <wp:docPr id="27" name="矩形 27"/>
                      <wp:cNvGraphicFramePr/>
                      <a:graphic xmlns:a="http://schemas.openxmlformats.org/drawingml/2006/main">
                        <a:graphicData uri="http://schemas.microsoft.com/office/word/2010/wordprocessingShape">
                          <wps:wsp>
                            <wps:cNvSpPr/>
                            <wps:spPr>
                              <a:xfrm>
                                <a:off x="5544820" y="8413750"/>
                                <a:ext cx="180975" cy="152400"/>
                              </a:xfrm>
                              <a:prstGeom prst="rect">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0.75pt;margin-top:177.3pt;height:12pt;width:14.25pt;z-index:251673600;v-text-anchor:middle;mso-width-relative:page;mso-height-relative:page;" filled="f" stroked="t" coordsize="21600,21600" o:gfxdata="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OvSXcDYAAAACwEAAA8AAAAAAAAAAQAgAAAAIgAAAGRycy9kb3ducmV2Lnht&#10;bFBLAQIUABQAAAAIAIdO4kC6ZrofawIAAMEEAAAOAAAAAAAAAAEAIAAAACcBAABkcnMvZTJvRG9j&#10;LnhtbFBLBQYAAAAABgAGAFkBAAAEBgAAAAA=&#10;">
                      <v:fill on="f" focussize="0,0"/>
                      <v:stroke weight="1pt" color="#FF0000 [2404]" joinstyle="round"/>
                      <v:imagedata o:title=""/>
                      <o:lock v:ext="edit" aspectratio="f"/>
                    </v:rect>
                  </w:pict>
                </mc:Fallback>
              </mc:AlternateContent>
            </w:r>
            <w:r>
              <w:rPr>
                <w:rFonts w:hint="default"/>
                <w:color w:val="auto"/>
                <w:sz w:val="21"/>
                <w:szCs w:val="21"/>
                <w:highlight w:val="none"/>
              </w:rPr>
              <mc:AlternateContent>
                <mc:Choice Requires="wps">
                  <w:drawing>
                    <wp:anchor distT="0" distB="0" distL="114300" distR="114300" simplePos="0" relativeHeight="251662336" behindDoc="0" locked="0" layoutInCell="1" allowOverlap="1">
                      <wp:simplePos x="0" y="0"/>
                      <wp:positionH relativeFrom="column">
                        <wp:posOffset>3966210</wp:posOffset>
                      </wp:positionH>
                      <wp:positionV relativeFrom="paragraph">
                        <wp:posOffset>1934210</wp:posOffset>
                      </wp:positionV>
                      <wp:extent cx="1091565" cy="1149985"/>
                      <wp:effectExtent l="5080" t="4445" r="8255" b="7620"/>
                      <wp:wrapNone/>
                      <wp:docPr id="34" name="文本框 34"/>
                      <wp:cNvGraphicFramePr/>
                      <a:graphic xmlns:a="http://schemas.openxmlformats.org/drawingml/2006/main">
                        <a:graphicData uri="http://schemas.microsoft.com/office/word/2010/wordprocessingShape">
                          <wps:wsp>
                            <wps:cNvSpPr txBox="1"/>
                            <wps:spPr>
                              <a:xfrm>
                                <a:off x="0" y="0"/>
                                <a:ext cx="1091565" cy="11499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500EE0B4">
                                  <w:pPr>
                                    <w:keepNext w:val="0"/>
                                    <w:keepLines w:val="0"/>
                                    <w:pageBreakBefore w:val="0"/>
                                    <w:widowControl w:val="0"/>
                                    <w:kinsoku/>
                                    <w:wordWrap/>
                                    <w:overflowPunct/>
                                    <w:topLinePunct w:val="0"/>
                                    <w:bidi w:val="0"/>
                                    <w:adjustRightInd/>
                                    <w:snapToGrid w:val="0"/>
                                    <w:spacing w:line="360" w:lineRule="auto"/>
                                    <w:jc w:val="center"/>
                                    <w:textAlignment w:val="auto"/>
                                    <w:rPr>
                                      <w:rFonts w:hint="eastAsia"/>
                                      <w:lang w:val="en-US" w:eastAsia="zh-CN"/>
                                    </w:rPr>
                                  </w:pPr>
                                  <w:r>
                                    <w:rPr>
                                      <w:rFonts w:hint="eastAsia"/>
                                      <w:lang w:val="en-US" w:eastAsia="zh-CN"/>
                                    </w:rPr>
                                    <w:t>图例</w:t>
                                  </w:r>
                                </w:p>
                                <w:p w14:paraId="4CBB182B">
                                  <w:pPr>
                                    <w:keepNext w:val="0"/>
                                    <w:keepLines w:val="0"/>
                                    <w:pageBreakBefore w:val="0"/>
                                    <w:widowControl w:val="0"/>
                                    <w:kinsoku/>
                                    <w:wordWrap/>
                                    <w:overflowPunct/>
                                    <w:topLinePunct w:val="0"/>
                                    <w:bidi w:val="0"/>
                                    <w:adjustRightInd/>
                                    <w:snapToGrid w:val="0"/>
                                    <w:spacing w:line="360" w:lineRule="auto"/>
                                    <w:ind w:firstLine="420" w:firstLineChars="200"/>
                                    <w:jc w:val="both"/>
                                    <w:textAlignment w:val="auto"/>
                                    <w:rPr>
                                      <w:rFonts w:hint="default"/>
                                      <w:lang w:val="en-US" w:eastAsia="zh-CN"/>
                                    </w:rPr>
                                  </w:pPr>
                                  <w:r>
                                    <w:rPr>
                                      <w:rFonts w:hint="eastAsia"/>
                                      <w:lang w:val="en-US" w:eastAsia="zh-CN"/>
                                    </w:rPr>
                                    <w:t>项目位置</w:t>
                                  </w:r>
                                </w:p>
                                <w:p w14:paraId="4923F067">
                                  <w:pPr>
                                    <w:keepNext w:val="0"/>
                                    <w:keepLines w:val="0"/>
                                    <w:pageBreakBefore w:val="0"/>
                                    <w:widowControl w:val="0"/>
                                    <w:kinsoku/>
                                    <w:wordWrap/>
                                    <w:overflowPunct/>
                                    <w:topLinePunct w:val="0"/>
                                    <w:bidi w:val="0"/>
                                    <w:adjustRightInd/>
                                    <w:snapToGrid w:val="0"/>
                                    <w:spacing w:line="360" w:lineRule="auto"/>
                                    <w:jc w:val="both"/>
                                    <w:textAlignment w:val="auto"/>
                                    <w:rPr>
                                      <w:rFonts w:hint="eastAsia"/>
                                      <w:lang w:val="en-US" w:eastAsia="zh-CN"/>
                                    </w:rPr>
                                  </w:pPr>
                                  <w:r>
                                    <w:drawing>
                                      <wp:inline distT="0" distB="0" distL="114300" distR="114300">
                                        <wp:extent cx="170180" cy="159385"/>
                                        <wp:effectExtent l="0" t="0" r="1270" b="12065"/>
                                        <wp:docPr id="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pic:cNvPicPr>
                                                  <a:picLocks noChangeAspect="1"/>
                                                </pic:cNvPicPr>
                                              </pic:nvPicPr>
                                              <pic:blipFill>
                                                <a:blip r:embed="rId12"/>
                                                <a:stretch>
                                                  <a:fillRect/>
                                                </a:stretch>
                                              </pic:blipFill>
                                              <pic:spPr>
                                                <a:xfrm>
                                                  <a:off x="0" y="0"/>
                                                  <a:ext cx="170180" cy="159385"/>
                                                </a:xfrm>
                                                <a:prstGeom prst="rect">
                                                  <a:avLst/>
                                                </a:prstGeom>
                                                <a:noFill/>
                                                <a:ln>
                                                  <a:noFill/>
                                                </a:ln>
                                              </pic:spPr>
                                            </pic:pic>
                                          </a:graphicData>
                                        </a:graphic>
                                      </wp:inline>
                                    </w:drawing>
                                  </w:r>
                                  <w:r>
                                    <w:rPr>
                                      <w:rFonts w:hint="eastAsia"/>
                                      <w:lang w:val="en-US" w:eastAsia="zh-CN"/>
                                    </w:rPr>
                                    <w:t xml:space="preserve"> 监测点位</w:t>
                                  </w:r>
                                </w:p>
                                <w:p w14:paraId="2453FBCA">
                                  <w:pPr>
                                    <w:keepNext w:val="0"/>
                                    <w:keepLines w:val="0"/>
                                    <w:pageBreakBefore w:val="0"/>
                                    <w:widowControl w:val="0"/>
                                    <w:kinsoku/>
                                    <w:wordWrap/>
                                    <w:overflowPunct/>
                                    <w:topLinePunct w:val="0"/>
                                    <w:bidi w:val="0"/>
                                    <w:adjustRightInd/>
                                    <w:snapToGrid w:val="0"/>
                                    <w:spacing w:line="360" w:lineRule="auto"/>
                                    <w:jc w:val="both"/>
                                    <w:textAlignment w:val="auto"/>
                                    <w:rPr>
                                      <w:rFonts w:hint="default"/>
                                      <w:lang w:val="en-US" w:eastAsia="zh-CN"/>
                                    </w:rPr>
                                  </w:pPr>
                                  <w:r>
                                    <w:rPr>
                                      <w:rFonts w:hint="eastAsia"/>
                                      <w:lang w:val="en-US" w:eastAsia="zh-CN"/>
                                    </w:rPr>
                                    <w:t>比例尺：1:4513</w:t>
                                  </w:r>
                                </w:p>
                                <w:p w14:paraId="4AA2310D">
                                  <w:pPr>
                                    <w:jc w:val="both"/>
                                    <w:rPr>
                                      <w:rFonts w:hint="eastAsia"/>
                                      <w:lang w:val="en-US" w:eastAsia="zh-CN"/>
                                    </w:rPr>
                                  </w:pPr>
                                </w:p>
                              </w:txbxContent>
                            </wps:txbx>
                            <wps:bodyPr upright="1"/>
                          </wps:wsp>
                        </a:graphicData>
                      </a:graphic>
                    </wp:anchor>
                  </w:drawing>
                </mc:Choice>
                <mc:Fallback>
                  <w:pict>
                    <v:shape id="_x0000_s1026" o:spid="_x0000_s1026" o:spt="202" type="#_x0000_t202" style="position:absolute;left:0pt;margin-left:312.3pt;margin-top:152.3pt;height:90.55pt;width:85.95pt;z-index:251662336;mso-width-relative:page;mso-height-relative:page;" fillcolor="#FFFFFF" filled="t" stroked="t" coordsize="21600,21600" o:gfxdata="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Otri3aAAAACwEAAA8AAAAAAAAAAQAg&#10;AAAAIgAAAGRycy9kb3ducmV2LnhtbFBLAQIUABQAAAAIAIdO4kCQQE1PDAIAADkEAAAOAAAAAAAA&#10;AAEAIAAAACkBAABkcnMvZTJvRG9jLnhtbFBLBQYAAAAABgAGAFkBAACnBQAAAAA=&#10;">
                      <v:fill on="t" focussize="0,0"/>
                      <v:stroke color="#000000" joinstyle="miter"/>
                      <v:imagedata o:title=""/>
                      <o:lock v:ext="edit" aspectratio="f"/>
                      <v:textbox>
                        <w:txbxContent>
                          <w:p w14:paraId="500EE0B4">
                            <w:pPr>
                              <w:keepNext w:val="0"/>
                              <w:keepLines w:val="0"/>
                              <w:pageBreakBefore w:val="0"/>
                              <w:widowControl w:val="0"/>
                              <w:kinsoku/>
                              <w:wordWrap/>
                              <w:overflowPunct/>
                              <w:topLinePunct w:val="0"/>
                              <w:bidi w:val="0"/>
                              <w:adjustRightInd/>
                              <w:snapToGrid w:val="0"/>
                              <w:spacing w:line="360" w:lineRule="auto"/>
                              <w:jc w:val="center"/>
                              <w:textAlignment w:val="auto"/>
                              <w:rPr>
                                <w:rFonts w:hint="eastAsia"/>
                                <w:lang w:val="en-US" w:eastAsia="zh-CN"/>
                              </w:rPr>
                            </w:pPr>
                            <w:r>
                              <w:rPr>
                                <w:rFonts w:hint="eastAsia"/>
                                <w:lang w:val="en-US" w:eastAsia="zh-CN"/>
                              </w:rPr>
                              <w:t>图例</w:t>
                            </w:r>
                          </w:p>
                          <w:p w14:paraId="4CBB182B">
                            <w:pPr>
                              <w:keepNext w:val="0"/>
                              <w:keepLines w:val="0"/>
                              <w:pageBreakBefore w:val="0"/>
                              <w:widowControl w:val="0"/>
                              <w:kinsoku/>
                              <w:wordWrap/>
                              <w:overflowPunct/>
                              <w:topLinePunct w:val="0"/>
                              <w:bidi w:val="0"/>
                              <w:adjustRightInd/>
                              <w:snapToGrid w:val="0"/>
                              <w:spacing w:line="360" w:lineRule="auto"/>
                              <w:ind w:firstLine="420" w:firstLineChars="200"/>
                              <w:jc w:val="both"/>
                              <w:textAlignment w:val="auto"/>
                              <w:rPr>
                                <w:rFonts w:hint="default"/>
                                <w:lang w:val="en-US" w:eastAsia="zh-CN"/>
                              </w:rPr>
                            </w:pPr>
                            <w:r>
                              <w:rPr>
                                <w:rFonts w:hint="eastAsia"/>
                                <w:lang w:val="en-US" w:eastAsia="zh-CN"/>
                              </w:rPr>
                              <w:t>项目位置</w:t>
                            </w:r>
                          </w:p>
                          <w:p w14:paraId="4923F067">
                            <w:pPr>
                              <w:keepNext w:val="0"/>
                              <w:keepLines w:val="0"/>
                              <w:pageBreakBefore w:val="0"/>
                              <w:widowControl w:val="0"/>
                              <w:kinsoku/>
                              <w:wordWrap/>
                              <w:overflowPunct/>
                              <w:topLinePunct w:val="0"/>
                              <w:bidi w:val="0"/>
                              <w:adjustRightInd/>
                              <w:snapToGrid w:val="0"/>
                              <w:spacing w:line="360" w:lineRule="auto"/>
                              <w:jc w:val="both"/>
                              <w:textAlignment w:val="auto"/>
                              <w:rPr>
                                <w:rFonts w:hint="eastAsia"/>
                                <w:lang w:val="en-US" w:eastAsia="zh-CN"/>
                              </w:rPr>
                            </w:pPr>
                            <w:r>
                              <w:drawing>
                                <wp:inline distT="0" distB="0" distL="114300" distR="114300">
                                  <wp:extent cx="170180" cy="159385"/>
                                  <wp:effectExtent l="0" t="0" r="1270" b="12065"/>
                                  <wp:docPr id="5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9"/>
                                          <pic:cNvPicPr>
                                            <a:picLocks noChangeAspect="1"/>
                                          </pic:cNvPicPr>
                                        </pic:nvPicPr>
                                        <pic:blipFill>
                                          <a:blip r:embed="rId12"/>
                                          <a:stretch>
                                            <a:fillRect/>
                                          </a:stretch>
                                        </pic:blipFill>
                                        <pic:spPr>
                                          <a:xfrm>
                                            <a:off x="0" y="0"/>
                                            <a:ext cx="170180" cy="159385"/>
                                          </a:xfrm>
                                          <a:prstGeom prst="rect">
                                            <a:avLst/>
                                          </a:prstGeom>
                                          <a:noFill/>
                                          <a:ln>
                                            <a:noFill/>
                                          </a:ln>
                                        </pic:spPr>
                                      </pic:pic>
                                    </a:graphicData>
                                  </a:graphic>
                                </wp:inline>
                              </w:drawing>
                            </w:r>
                            <w:r>
                              <w:rPr>
                                <w:rFonts w:hint="eastAsia"/>
                                <w:lang w:val="en-US" w:eastAsia="zh-CN"/>
                              </w:rPr>
                              <w:t xml:space="preserve"> 监测点位</w:t>
                            </w:r>
                          </w:p>
                          <w:p w14:paraId="2453FBCA">
                            <w:pPr>
                              <w:keepNext w:val="0"/>
                              <w:keepLines w:val="0"/>
                              <w:pageBreakBefore w:val="0"/>
                              <w:widowControl w:val="0"/>
                              <w:kinsoku/>
                              <w:wordWrap/>
                              <w:overflowPunct/>
                              <w:topLinePunct w:val="0"/>
                              <w:bidi w:val="0"/>
                              <w:adjustRightInd/>
                              <w:snapToGrid w:val="0"/>
                              <w:spacing w:line="360" w:lineRule="auto"/>
                              <w:jc w:val="both"/>
                              <w:textAlignment w:val="auto"/>
                              <w:rPr>
                                <w:rFonts w:hint="default"/>
                                <w:lang w:val="en-US" w:eastAsia="zh-CN"/>
                              </w:rPr>
                            </w:pPr>
                            <w:r>
                              <w:rPr>
                                <w:rFonts w:hint="eastAsia"/>
                                <w:lang w:val="en-US" w:eastAsia="zh-CN"/>
                              </w:rPr>
                              <w:t>比例尺：1:4513</w:t>
                            </w:r>
                          </w:p>
                          <w:p w14:paraId="4AA2310D">
                            <w:pPr>
                              <w:jc w:val="both"/>
                              <w:rPr>
                                <w:rFonts w:hint="eastAsia"/>
                                <w:lang w:val="en-US" w:eastAsia="zh-CN"/>
                              </w:rPr>
                            </w:pPr>
                          </w:p>
                        </w:txbxContent>
                      </v:textbox>
                    </v:shape>
                  </w:pict>
                </mc:Fallback>
              </mc:AlternateContent>
            </w:r>
            <w:r>
              <w:rPr>
                <w:rFonts w:hint="default"/>
                <w:color w:val="auto"/>
              </w:rPr>
              <w:drawing>
                <wp:inline distT="0" distB="0" distL="114300" distR="114300">
                  <wp:extent cx="5101590" cy="3053080"/>
                  <wp:effectExtent l="0" t="0" r="3810" b="13970"/>
                  <wp:docPr id="2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
                          <pic:cNvPicPr>
                            <a:picLocks noChangeAspect="1"/>
                          </pic:cNvPicPr>
                        </pic:nvPicPr>
                        <pic:blipFill>
                          <a:blip r:embed="rId13"/>
                          <a:stretch>
                            <a:fillRect/>
                          </a:stretch>
                        </pic:blipFill>
                        <pic:spPr>
                          <a:xfrm>
                            <a:off x="0" y="0"/>
                            <a:ext cx="5101590" cy="3053080"/>
                          </a:xfrm>
                          <a:prstGeom prst="rect">
                            <a:avLst/>
                          </a:prstGeom>
                          <a:noFill/>
                          <a:ln>
                            <a:noFill/>
                          </a:ln>
                        </pic:spPr>
                      </pic:pic>
                    </a:graphicData>
                  </a:graphic>
                </wp:inline>
              </w:drawing>
            </w:r>
          </w:p>
          <w:p w14:paraId="36D94AD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b/>
                <w:bCs w:val="0"/>
                <w:color w:val="auto"/>
                <w:szCs w:val="21"/>
                <w:highlight w:val="none"/>
                <w:u w:val="none"/>
              </w:rPr>
            </w:pPr>
            <w:r>
              <w:rPr>
                <w:rFonts w:hint="default"/>
                <w:b/>
                <w:bCs w:val="0"/>
                <w:color w:val="auto"/>
                <w:kern w:val="0"/>
                <w:sz w:val="21"/>
                <w:szCs w:val="21"/>
                <w:highlight w:val="none"/>
              </w:rPr>
              <w:t>图3-1 大气监测点位图</w:t>
            </w:r>
          </w:p>
          <w:p w14:paraId="6648D444">
            <w:pPr>
              <w:keepNext w:val="0"/>
              <w:keepLines w:val="0"/>
              <w:widowControl/>
              <w:suppressLineNumbers w:val="0"/>
              <w:adjustRightInd/>
              <w:snapToGrid/>
              <w:spacing w:before="0" w:beforeAutospacing="0" w:after="0" w:afterAutospacing="0" w:line="360" w:lineRule="auto"/>
              <w:ind w:left="0" w:right="0" w:firstLine="420" w:firstLineChars="200"/>
              <w:rPr>
                <w:rFonts w:hint="default"/>
                <w:color w:val="auto"/>
                <w:highlight w:val="none"/>
                <w:u w:val="none"/>
              </w:rPr>
            </w:pPr>
            <w:r>
              <w:rPr>
                <w:rFonts w:hint="default"/>
                <w:color w:val="auto"/>
                <w:highlight w:val="none"/>
                <w:u w:val="none"/>
              </w:rPr>
              <w:t>监测点基本信息见表3-</w:t>
            </w:r>
            <w:r>
              <w:rPr>
                <w:rFonts w:hint="eastAsia"/>
                <w:color w:val="auto"/>
                <w:highlight w:val="none"/>
                <w:u w:val="none"/>
              </w:rPr>
              <w:t>2</w:t>
            </w:r>
            <w:r>
              <w:rPr>
                <w:rFonts w:hint="default"/>
                <w:color w:val="auto"/>
                <w:highlight w:val="none"/>
                <w:u w:val="none"/>
              </w:rPr>
              <w:t>，评价结果见表3-</w:t>
            </w:r>
            <w:r>
              <w:rPr>
                <w:rFonts w:hint="eastAsia"/>
                <w:color w:val="auto"/>
                <w:highlight w:val="none"/>
                <w:u w:val="none"/>
              </w:rPr>
              <w:t>3</w:t>
            </w:r>
            <w:r>
              <w:rPr>
                <w:rFonts w:hint="default"/>
                <w:color w:val="auto"/>
                <w:highlight w:val="none"/>
                <w:u w:val="none"/>
              </w:rPr>
              <w:t>。</w:t>
            </w:r>
          </w:p>
          <w:p w14:paraId="1C000297">
            <w:pPr>
              <w:keepNext w:val="0"/>
              <w:keepLines w:val="0"/>
              <w:suppressLineNumbers w:val="0"/>
              <w:adjustRightInd w:val="0"/>
              <w:snapToGrid w:val="0"/>
              <w:spacing w:before="0" w:beforeAutospacing="0" w:after="0" w:afterAutospacing="0"/>
              <w:ind w:left="0" w:right="0"/>
              <w:jc w:val="center"/>
              <w:rPr>
                <w:rFonts w:hint="default"/>
                <w:b/>
                <w:bCs/>
                <w:color w:val="auto"/>
                <w:kern w:val="0"/>
                <w:szCs w:val="21"/>
                <w:highlight w:val="none"/>
                <w:u w:val="none"/>
              </w:rPr>
            </w:pPr>
            <w:r>
              <w:rPr>
                <w:rFonts w:hint="eastAsia"/>
                <w:b/>
                <w:bCs/>
                <w:color w:val="auto"/>
                <w:kern w:val="0"/>
                <w:szCs w:val="21"/>
                <w:highlight w:val="none"/>
                <w:u w:val="none"/>
              </w:rPr>
              <w:t>表3-2  监测点基本信息表</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9"/>
              <w:gridCol w:w="1339"/>
              <w:gridCol w:w="1339"/>
              <w:gridCol w:w="1156"/>
              <w:gridCol w:w="1334"/>
              <w:gridCol w:w="1530"/>
            </w:tblGrid>
            <w:tr w14:paraId="7295D8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39" w:type="dxa"/>
                  <w:tcBorders>
                    <w:tl2br w:val="nil"/>
                    <w:tr2bl w:val="nil"/>
                  </w:tcBorders>
                  <w:noWrap w:val="0"/>
                  <w:vAlign w:val="center"/>
                </w:tcPr>
                <w:p w14:paraId="6153E1DE">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名称</w:t>
                  </w:r>
                </w:p>
              </w:tc>
              <w:tc>
                <w:tcPr>
                  <w:tcW w:w="1339" w:type="dxa"/>
                  <w:tcBorders>
                    <w:tl2br w:val="nil"/>
                    <w:tr2bl w:val="nil"/>
                  </w:tcBorders>
                  <w:noWrap w:val="0"/>
                  <w:vAlign w:val="center"/>
                </w:tcPr>
                <w:p w14:paraId="444D51BA">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default"/>
                      <w:color w:val="auto"/>
                      <w:kern w:val="0"/>
                      <w:sz w:val="18"/>
                      <w:szCs w:val="18"/>
                      <w:highlight w:val="none"/>
                    </w:rPr>
                    <w:t>坐标</w:t>
                  </w:r>
                  <w:r>
                    <w:rPr>
                      <w:rFonts w:hint="eastAsia"/>
                      <w:color w:val="auto"/>
                      <w:kern w:val="0"/>
                      <w:sz w:val="18"/>
                      <w:szCs w:val="18"/>
                      <w:highlight w:val="none"/>
                      <w:lang w:val="en-US" w:eastAsia="zh-CN"/>
                    </w:rPr>
                    <w:t>/°</w:t>
                  </w:r>
                </w:p>
              </w:tc>
              <w:tc>
                <w:tcPr>
                  <w:tcW w:w="1339" w:type="dxa"/>
                  <w:tcBorders>
                    <w:tl2br w:val="nil"/>
                    <w:tr2bl w:val="nil"/>
                  </w:tcBorders>
                  <w:noWrap w:val="0"/>
                  <w:vAlign w:val="center"/>
                </w:tcPr>
                <w:p w14:paraId="0E5E2EE5">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监测因子</w:t>
                  </w:r>
                </w:p>
              </w:tc>
              <w:tc>
                <w:tcPr>
                  <w:tcW w:w="1156" w:type="dxa"/>
                  <w:tcBorders>
                    <w:tl2br w:val="nil"/>
                    <w:tr2bl w:val="nil"/>
                  </w:tcBorders>
                  <w:noWrap w:val="0"/>
                  <w:vAlign w:val="center"/>
                </w:tcPr>
                <w:p w14:paraId="4397655D">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监测时段</w:t>
                  </w:r>
                </w:p>
              </w:tc>
              <w:tc>
                <w:tcPr>
                  <w:tcW w:w="1334" w:type="dxa"/>
                  <w:tcBorders>
                    <w:tl2br w:val="nil"/>
                    <w:tr2bl w:val="nil"/>
                  </w:tcBorders>
                  <w:noWrap w:val="0"/>
                  <w:vAlign w:val="center"/>
                </w:tcPr>
                <w:p w14:paraId="286E34D8">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相对厂址方位</w:t>
                  </w:r>
                </w:p>
              </w:tc>
              <w:tc>
                <w:tcPr>
                  <w:tcW w:w="1530" w:type="dxa"/>
                  <w:tcBorders>
                    <w:tl2br w:val="nil"/>
                    <w:tr2bl w:val="nil"/>
                  </w:tcBorders>
                  <w:noWrap w:val="0"/>
                  <w:vAlign w:val="center"/>
                </w:tcPr>
                <w:p w14:paraId="4B9481D4">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相对厂界距离/m</w:t>
                  </w:r>
                </w:p>
              </w:tc>
            </w:tr>
            <w:tr w14:paraId="0DAEF60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339" w:type="dxa"/>
                  <w:tcBorders>
                    <w:tl2br w:val="nil"/>
                    <w:tr2bl w:val="nil"/>
                  </w:tcBorders>
                  <w:noWrap w:val="0"/>
                  <w:vAlign w:val="center"/>
                </w:tcPr>
                <w:p w14:paraId="639A5262">
                  <w:pPr>
                    <w:keepNext w:val="0"/>
                    <w:keepLines w:val="0"/>
                    <w:suppressLineNumbers w:val="0"/>
                    <w:adjustRightInd w:val="0"/>
                    <w:snapToGrid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当季主导风向厂址下风向</w:t>
                  </w:r>
                </w:p>
              </w:tc>
              <w:tc>
                <w:tcPr>
                  <w:tcW w:w="1339" w:type="dxa"/>
                  <w:tcBorders>
                    <w:tl2br w:val="nil"/>
                    <w:tr2bl w:val="nil"/>
                  </w:tcBorders>
                  <w:noWrap w:val="0"/>
                  <w:vAlign w:val="center"/>
                </w:tcPr>
                <w:p w14:paraId="61EFFB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eastAsia" w:ascii="Times New Roman" w:hAnsi="Times New Roman"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130.717968</w:t>
                  </w:r>
                </w:p>
                <w:p w14:paraId="38EAA9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textAlignment w:val="auto"/>
                    <w:rPr>
                      <w:rFonts w:hint="default"/>
                      <w:color w:val="auto"/>
                      <w:sz w:val="18"/>
                      <w:szCs w:val="18"/>
                      <w:highlight w:val="none"/>
                    </w:rPr>
                  </w:pPr>
                  <w:r>
                    <w:rPr>
                      <w:rFonts w:hint="eastAsia" w:cs="Times New Roman"/>
                      <w:color w:val="auto"/>
                      <w:sz w:val="18"/>
                      <w:szCs w:val="18"/>
                      <w:highlight w:val="none"/>
                      <w:lang w:val="en-US" w:eastAsia="zh-CN"/>
                    </w:rPr>
                    <w:t>45.065459</w:t>
                  </w:r>
                </w:p>
              </w:tc>
              <w:tc>
                <w:tcPr>
                  <w:tcW w:w="1339" w:type="dxa"/>
                  <w:tcBorders>
                    <w:tl2br w:val="nil"/>
                    <w:tr2bl w:val="nil"/>
                  </w:tcBorders>
                  <w:noWrap w:val="0"/>
                  <w:vAlign w:val="center"/>
                </w:tcPr>
                <w:p w14:paraId="5B8BC4B5">
                  <w:pPr>
                    <w:keepNext w:val="0"/>
                    <w:keepLines w:val="0"/>
                    <w:widowControl/>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default"/>
                      <w:color w:val="auto"/>
                      <w:kern w:val="0"/>
                      <w:sz w:val="18"/>
                      <w:szCs w:val="18"/>
                      <w:highlight w:val="none"/>
                    </w:rPr>
                    <w:t>TSP</w:t>
                  </w:r>
                </w:p>
              </w:tc>
              <w:tc>
                <w:tcPr>
                  <w:tcW w:w="1156" w:type="dxa"/>
                  <w:tcBorders>
                    <w:tl2br w:val="nil"/>
                    <w:tr2bl w:val="nil"/>
                  </w:tcBorders>
                  <w:noWrap w:val="0"/>
                  <w:vAlign w:val="center"/>
                </w:tcPr>
                <w:p w14:paraId="168D3E96">
                  <w:pPr>
                    <w:keepNext w:val="0"/>
                    <w:keepLines w:val="0"/>
                    <w:widowControl/>
                    <w:suppressLineNumbers w:val="0"/>
                    <w:spacing w:before="0" w:beforeAutospacing="0" w:after="0" w:afterAutospacing="0"/>
                    <w:ind w:left="0" w:right="0"/>
                    <w:jc w:val="center"/>
                    <w:rPr>
                      <w:rFonts w:hint="eastAsia" w:eastAsia="宋体"/>
                      <w:color w:val="auto"/>
                      <w:sz w:val="18"/>
                      <w:szCs w:val="18"/>
                      <w:highlight w:val="none"/>
                      <w:lang w:val="en-US" w:eastAsia="zh-CN"/>
                    </w:rPr>
                  </w:pPr>
                  <w:r>
                    <w:rPr>
                      <w:rFonts w:hint="eastAsia"/>
                      <w:color w:val="auto"/>
                      <w:kern w:val="0"/>
                      <w:sz w:val="18"/>
                      <w:szCs w:val="18"/>
                      <w:highlight w:val="none"/>
                    </w:rPr>
                    <w:t>24小时平均</w:t>
                  </w:r>
                </w:p>
              </w:tc>
              <w:tc>
                <w:tcPr>
                  <w:tcW w:w="1334" w:type="dxa"/>
                  <w:tcBorders>
                    <w:tl2br w:val="nil"/>
                    <w:tr2bl w:val="nil"/>
                  </w:tcBorders>
                  <w:noWrap w:val="0"/>
                  <w:vAlign w:val="center"/>
                </w:tcPr>
                <w:p w14:paraId="7DFBB59C">
                  <w:pPr>
                    <w:keepNext w:val="0"/>
                    <w:keepLines w:val="0"/>
                    <w:suppressLineNumbers w:val="0"/>
                    <w:adjustRightInd w:val="0"/>
                    <w:snapToGrid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eastAsia="zh-CN"/>
                    </w:rPr>
                    <w:t>东</w:t>
                  </w:r>
                </w:p>
              </w:tc>
              <w:tc>
                <w:tcPr>
                  <w:tcW w:w="1530" w:type="dxa"/>
                  <w:tcBorders>
                    <w:tl2br w:val="nil"/>
                    <w:tr2bl w:val="nil"/>
                  </w:tcBorders>
                  <w:noWrap w:val="0"/>
                  <w:vAlign w:val="center"/>
                </w:tcPr>
                <w:p w14:paraId="4F4BDE7C">
                  <w:pPr>
                    <w:keepNext w:val="0"/>
                    <w:keepLines w:val="0"/>
                    <w:suppressLineNumbers w:val="0"/>
                    <w:adjustRightInd w:val="0"/>
                    <w:snapToGrid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100</w:t>
                  </w:r>
                </w:p>
              </w:tc>
            </w:tr>
          </w:tbl>
          <w:p w14:paraId="349A94A0">
            <w:pPr>
              <w:pStyle w:val="50"/>
              <w:keepNext w:val="0"/>
              <w:keepLines w:val="0"/>
              <w:suppressLineNumbers w:val="0"/>
              <w:spacing w:before="0" w:beforeLines="0" w:beforeAutospacing="0" w:after="0" w:afterLines="0" w:afterAutospacing="0"/>
              <w:ind w:left="0" w:right="0" w:firstLine="0" w:firstLineChars="0"/>
              <w:jc w:val="center"/>
              <w:rPr>
                <w:rFonts w:hint="default"/>
                <w:b/>
                <w:bCs/>
                <w:color w:val="auto"/>
                <w:sz w:val="21"/>
                <w:szCs w:val="21"/>
                <w:highlight w:val="none"/>
              </w:rPr>
            </w:pPr>
            <w:r>
              <w:rPr>
                <w:rFonts w:hint="default"/>
                <w:b/>
                <w:bCs/>
                <w:color w:val="auto"/>
                <w:sz w:val="21"/>
                <w:szCs w:val="21"/>
                <w:highlight w:val="none"/>
              </w:rPr>
              <w:t>表3-</w:t>
            </w:r>
            <w:r>
              <w:rPr>
                <w:rFonts w:hint="eastAsia"/>
                <w:b/>
                <w:bCs/>
                <w:color w:val="auto"/>
                <w:sz w:val="21"/>
                <w:szCs w:val="21"/>
                <w:highlight w:val="none"/>
                <w:lang w:val="en-US" w:eastAsia="zh-CN"/>
              </w:rPr>
              <w:t>3</w:t>
            </w:r>
            <w:r>
              <w:rPr>
                <w:rFonts w:hint="default"/>
                <w:b/>
                <w:bCs/>
                <w:color w:val="auto"/>
                <w:sz w:val="21"/>
                <w:szCs w:val="21"/>
                <w:highlight w:val="none"/>
              </w:rPr>
              <w:t>监测结果</w:t>
            </w:r>
          </w:p>
          <w:tbl>
            <w:tblPr>
              <w:tblStyle w:val="34"/>
              <w:tblW w:w="4993"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46"/>
              <w:gridCol w:w="1146"/>
              <w:gridCol w:w="1146"/>
              <w:gridCol w:w="1147"/>
              <w:gridCol w:w="1314"/>
              <w:gridCol w:w="980"/>
              <w:gridCol w:w="1148"/>
            </w:tblGrid>
            <w:tr w14:paraId="5066D5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46" w:type="dxa"/>
                  <w:tcBorders>
                    <w:tl2br w:val="nil"/>
                    <w:tr2bl w:val="nil"/>
                  </w:tcBorders>
                  <w:noWrap w:val="0"/>
                  <w:vAlign w:val="center"/>
                </w:tcPr>
                <w:p w14:paraId="58368D61">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名称</w:t>
                  </w:r>
                </w:p>
              </w:tc>
              <w:tc>
                <w:tcPr>
                  <w:tcW w:w="1146" w:type="dxa"/>
                  <w:tcBorders>
                    <w:tl2br w:val="nil"/>
                    <w:tr2bl w:val="nil"/>
                  </w:tcBorders>
                  <w:noWrap w:val="0"/>
                  <w:vAlign w:val="center"/>
                </w:tcPr>
                <w:p w14:paraId="09156C55">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污染物</w:t>
                  </w:r>
                </w:p>
              </w:tc>
              <w:tc>
                <w:tcPr>
                  <w:tcW w:w="1146" w:type="dxa"/>
                  <w:tcBorders>
                    <w:tl2br w:val="nil"/>
                    <w:tr2bl w:val="nil"/>
                  </w:tcBorders>
                  <w:noWrap w:val="0"/>
                  <w:vAlign w:val="center"/>
                </w:tcPr>
                <w:p w14:paraId="0FDC924B">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评价标准（μg/m</w:t>
                  </w:r>
                  <w:r>
                    <w:rPr>
                      <w:rFonts w:hint="default"/>
                      <w:color w:val="auto"/>
                      <w:kern w:val="0"/>
                      <w:sz w:val="18"/>
                      <w:szCs w:val="18"/>
                      <w:highlight w:val="none"/>
                      <w:vertAlign w:val="superscript"/>
                    </w:rPr>
                    <w:t>3</w:t>
                  </w:r>
                  <w:r>
                    <w:rPr>
                      <w:rFonts w:hint="default"/>
                      <w:color w:val="auto"/>
                      <w:kern w:val="0"/>
                      <w:sz w:val="18"/>
                      <w:szCs w:val="18"/>
                      <w:highlight w:val="none"/>
                    </w:rPr>
                    <w:t>）</w:t>
                  </w:r>
                </w:p>
              </w:tc>
              <w:tc>
                <w:tcPr>
                  <w:tcW w:w="1147" w:type="dxa"/>
                  <w:tcBorders>
                    <w:tl2br w:val="nil"/>
                    <w:tr2bl w:val="nil"/>
                  </w:tcBorders>
                  <w:noWrap w:val="0"/>
                  <w:vAlign w:val="center"/>
                </w:tcPr>
                <w:p w14:paraId="5341CAF7">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浓度范围（μg/m</w:t>
                  </w:r>
                  <w:r>
                    <w:rPr>
                      <w:rFonts w:hint="default"/>
                      <w:color w:val="auto"/>
                      <w:kern w:val="0"/>
                      <w:sz w:val="18"/>
                      <w:szCs w:val="18"/>
                      <w:highlight w:val="none"/>
                      <w:vertAlign w:val="superscript"/>
                    </w:rPr>
                    <w:t>3</w:t>
                  </w:r>
                  <w:r>
                    <w:rPr>
                      <w:rFonts w:hint="default"/>
                      <w:color w:val="auto"/>
                      <w:kern w:val="0"/>
                      <w:sz w:val="18"/>
                      <w:szCs w:val="18"/>
                      <w:highlight w:val="none"/>
                    </w:rPr>
                    <w:t>）</w:t>
                  </w:r>
                </w:p>
              </w:tc>
              <w:tc>
                <w:tcPr>
                  <w:tcW w:w="1314" w:type="dxa"/>
                  <w:tcBorders>
                    <w:tl2br w:val="nil"/>
                    <w:tr2bl w:val="nil"/>
                  </w:tcBorders>
                  <w:noWrap w:val="0"/>
                  <w:vAlign w:val="center"/>
                </w:tcPr>
                <w:p w14:paraId="6663B714">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最大占标率%</w:t>
                  </w:r>
                </w:p>
              </w:tc>
              <w:tc>
                <w:tcPr>
                  <w:tcW w:w="980" w:type="dxa"/>
                  <w:tcBorders>
                    <w:tl2br w:val="nil"/>
                    <w:tr2bl w:val="nil"/>
                  </w:tcBorders>
                  <w:noWrap w:val="0"/>
                  <w:vAlign w:val="center"/>
                </w:tcPr>
                <w:p w14:paraId="38583931">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超标率%</w:t>
                  </w:r>
                </w:p>
              </w:tc>
              <w:tc>
                <w:tcPr>
                  <w:tcW w:w="1148" w:type="dxa"/>
                  <w:tcBorders>
                    <w:tl2br w:val="nil"/>
                    <w:tr2bl w:val="nil"/>
                  </w:tcBorders>
                  <w:noWrap w:val="0"/>
                  <w:vAlign w:val="center"/>
                </w:tcPr>
                <w:p w14:paraId="5E2D223E">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color w:val="auto"/>
                      <w:kern w:val="0"/>
                      <w:sz w:val="18"/>
                      <w:szCs w:val="18"/>
                      <w:highlight w:val="none"/>
                    </w:rPr>
                    <w:t>达标情况</w:t>
                  </w:r>
                </w:p>
              </w:tc>
            </w:tr>
            <w:tr w14:paraId="49BB9B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146" w:type="dxa"/>
                  <w:tcBorders>
                    <w:tl2br w:val="nil"/>
                    <w:tr2bl w:val="nil"/>
                  </w:tcBorders>
                  <w:noWrap w:val="0"/>
                  <w:vAlign w:val="center"/>
                </w:tcPr>
                <w:p w14:paraId="1D49CC13">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18"/>
                      <w:szCs w:val="18"/>
                      <w:highlight w:val="none"/>
                    </w:rPr>
                  </w:pPr>
                  <w:r>
                    <w:rPr>
                      <w:rFonts w:hint="eastAsia"/>
                      <w:color w:val="auto"/>
                      <w:sz w:val="18"/>
                      <w:szCs w:val="18"/>
                      <w:highlight w:val="none"/>
                      <w:lang w:val="en-US" w:eastAsia="zh-CN"/>
                    </w:rPr>
                    <w:t>当季主导风向厂址下风向</w:t>
                  </w:r>
                </w:p>
              </w:tc>
              <w:tc>
                <w:tcPr>
                  <w:tcW w:w="1146" w:type="dxa"/>
                  <w:tcBorders>
                    <w:tl2br w:val="nil"/>
                    <w:tr2bl w:val="nil"/>
                  </w:tcBorders>
                  <w:noWrap w:val="0"/>
                  <w:vAlign w:val="center"/>
                </w:tcPr>
                <w:p w14:paraId="4AC47AFE">
                  <w:pPr>
                    <w:keepNext w:val="0"/>
                    <w:keepLines w:val="0"/>
                    <w:suppressLineNumbers w:val="0"/>
                    <w:adjustRightInd w:val="0"/>
                    <w:snapToGrid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TSP</w:t>
                  </w:r>
                </w:p>
              </w:tc>
              <w:tc>
                <w:tcPr>
                  <w:tcW w:w="1146" w:type="dxa"/>
                  <w:tcBorders>
                    <w:tl2br w:val="nil"/>
                    <w:tr2bl w:val="nil"/>
                  </w:tcBorders>
                  <w:noWrap w:val="0"/>
                  <w:vAlign w:val="center"/>
                </w:tcPr>
                <w:p w14:paraId="28120C27">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300</w:t>
                  </w:r>
                </w:p>
              </w:tc>
              <w:tc>
                <w:tcPr>
                  <w:tcW w:w="1147" w:type="dxa"/>
                  <w:tcBorders>
                    <w:tl2br w:val="nil"/>
                    <w:tr2bl w:val="nil"/>
                  </w:tcBorders>
                  <w:noWrap w:val="0"/>
                  <w:vAlign w:val="center"/>
                </w:tcPr>
                <w:p w14:paraId="32AFFA29">
                  <w:pPr>
                    <w:keepNext w:val="0"/>
                    <w:keepLines w:val="0"/>
                    <w:suppressLineNumbers w:val="0"/>
                    <w:adjustRightInd w:val="0"/>
                    <w:snapToGrid w:val="0"/>
                    <w:spacing w:before="0" w:beforeAutospacing="0" w:after="0" w:afterAutospacing="0"/>
                    <w:ind w:left="0" w:leftChars="0" w:right="0" w:right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191-206</w:t>
                  </w:r>
                </w:p>
              </w:tc>
              <w:tc>
                <w:tcPr>
                  <w:tcW w:w="1314" w:type="dxa"/>
                  <w:tcBorders>
                    <w:tl2br w:val="nil"/>
                    <w:tr2bl w:val="nil"/>
                  </w:tcBorders>
                  <w:noWrap w:val="0"/>
                  <w:vAlign w:val="center"/>
                </w:tcPr>
                <w:p w14:paraId="1204417F">
                  <w:pPr>
                    <w:keepNext w:val="0"/>
                    <w:keepLines w:val="0"/>
                    <w:suppressLineNumbers w:val="0"/>
                    <w:adjustRightInd w:val="0"/>
                    <w:snapToGrid w:val="0"/>
                    <w:spacing w:before="0" w:beforeAutospacing="0" w:after="0" w:afterAutospacing="0"/>
                    <w:ind w:left="0" w:leftChars="0" w:right="0" w:rightChars="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68.6</w:t>
                  </w:r>
                </w:p>
              </w:tc>
              <w:tc>
                <w:tcPr>
                  <w:tcW w:w="980" w:type="dxa"/>
                  <w:tcBorders>
                    <w:tl2br w:val="nil"/>
                    <w:tr2bl w:val="nil"/>
                  </w:tcBorders>
                  <w:noWrap w:val="0"/>
                  <w:vAlign w:val="center"/>
                </w:tcPr>
                <w:p w14:paraId="728EA444">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0</w:t>
                  </w:r>
                </w:p>
              </w:tc>
              <w:tc>
                <w:tcPr>
                  <w:tcW w:w="1148" w:type="dxa"/>
                  <w:tcBorders>
                    <w:tl2br w:val="nil"/>
                    <w:tr2bl w:val="nil"/>
                  </w:tcBorders>
                  <w:noWrap w:val="0"/>
                  <w:vAlign w:val="center"/>
                </w:tcPr>
                <w:p w14:paraId="4DEACFDE">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rPr>
                    <w:t>达标</w:t>
                  </w:r>
                </w:p>
              </w:tc>
            </w:tr>
          </w:tbl>
          <w:p w14:paraId="03D23EB1">
            <w:pPr>
              <w:keepNext w:val="0"/>
              <w:keepLines w:val="0"/>
              <w:widowControl/>
              <w:suppressLineNumbers w:val="0"/>
              <w:spacing w:before="0" w:beforeAutospacing="0" w:after="0" w:afterAutospacing="0" w:line="360" w:lineRule="auto"/>
              <w:ind w:left="0" w:right="0" w:firstLine="420" w:firstLineChars="200"/>
              <w:rPr>
                <w:rFonts w:hint="default"/>
                <w:color w:val="auto"/>
                <w:highlight w:val="none"/>
              </w:rPr>
            </w:pPr>
            <w:r>
              <w:rPr>
                <w:rFonts w:hint="default"/>
                <w:color w:val="auto"/>
                <w:sz w:val="21"/>
                <w:szCs w:val="21"/>
                <w:highlight w:val="none"/>
              </w:rPr>
              <w:t>根据现状检测结果可知，项目所在地</w:t>
            </w:r>
            <w:r>
              <w:rPr>
                <w:rFonts w:hint="eastAsia"/>
                <w:color w:val="auto"/>
                <w:sz w:val="21"/>
                <w:szCs w:val="21"/>
                <w:highlight w:val="none"/>
                <w:lang w:val="en-US" w:eastAsia="zh-CN"/>
              </w:rPr>
              <w:t>TSP24小时平均</w:t>
            </w:r>
            <w:r>
              <w:rPr>
                <w:rFonts w:hint="eastAsia"/>
                <w:color w:val="auto"/>
                <w:sz w:val="21"/>
                <w:szCs w:val="21"/>
                <w:highlight w:val="none"/>
              </w:rPr>
              <w:t>值可满足《环境空气质量标准》（GB3095-2012）</w:t>
            </w:r>
            <w:r>
              <w:rPr>
                <w:rFonts w:hint="eastAsia"/>
                <w:color w:val="auto"/>
                <w:sz w:val="21"/>
                <w:szCs w:val="21"/>
                <w:highlight w:val="none"/>
                <w:lang w:val="en-US" w:eastAsia="zh-CN"/>
              </w:rPr>
              <w:t>及修改单</w:t>
            </w:r>
            <w:r>
              <w:rPr>
                <w:rFonts w:hint="eastAsia"/>
                <w:color w:val="auto"/>
                <w:sz w:val="21"/>
                <w:szCs w:val="21"/>
                <w:highlight w:val="none"/>
              </w:rPr>
              <w:t>二级标准要求，区域环境空气质量良好。</w:t>
            </w:r>
          </w:p>
          <w:p w14:paraId="1CE682C3">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2" w:firstLineChars="200"/>
              <w:textAlignment w:val="auto"/>
              <w:rPr>
                <w:rFonts w:hint="default"/>
                <w:b/>
                <w:bCs/>
                <w:color w:val="auto"/>
                <w:sz w:val="21"/>
                <w:highlight w:val="none"/>
              </w:rPr>
            </w:pPr>
            <w:r>
              <w:rPr>
                <w:rFonts w:hint="default"/>
                <w:b/>
                <w:bCs/>
                <w:color w:val="auto"/>
                <w:sz w:val="21"/>
                <w:highlight w:val="none"/>
              </w:rPr>
              <w:t>2、地表水环境</w:t>
            </w:r>
          </w:p>
          <w:p w14:paraId="7626E4AC">
            <w:pPr>
              <w:keepNext w:val="0"/>
              <w:keepLines w:val="0"/>
              <w:pageBreakBefore w:val="0"/>
              <w:widowControl w:val="0"/>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eastAsia" w:eastAsia="宋体"/>
                <w:color w:val="auto"/>
                <w:kern w:val="0"/>
                <w:szCs w:val="21"/>
                <w:highlight w:val="none"/>
                <w:lang w:eastAsia="zh-CN"/>
              </w:rPr>
            </w:pPr>
            <w:r>
              <w:rPr>
                <w:rFonts w:hint="eastAsia"/>
                <w:color w:val="auto"/>
                <w:kern w:val="0"/>
                <w:szCs w:val="21"/>
                <w:highlight w:val="none"/>
              </w:rPr>
              <w:t>本项目最近水体为穆棱河。根据《全国重要江河湖泊水功能区划（2011-2030）》，</w:t>
            </w:r>
            <w:r>
              <w:rPr>
                <w:rFonts w:hint="eastAsia" w:ascii="Times New Roman" w:hAnsi="Times New Roman" w:eastAsia="宋体" w:cs="Times New Roman"/>
                <w:color w:val="auto"/>
                <w:sz w:val="21"/>
                <w:szCs w:val="21"/>
                <w:highlight w:val="none"/>
                <w:lang w:val="en-US" w:eastAsia="zh-CN"/>
              </w:rPr>
              <w:t>项目所在水功能区起始断面</w:t>
            </w:r>
            <w:r>
              <w:rPr>
                <w:rFonts w:hint="eastAsia" w:ascii="Times New Roman" w:hAnsi="Times New Roman" w:cs="Times New Roman"/>
                <w:color w:val="auto"/>
                <w:kern w:val="0"/>
                <w:sz w:val="21"/>
                <w:szCs w:val="21"/>
                <w:highlight w:val="none"/>
                <w:lang w:val="en-US" w:eastAsia="zh-CN"/>
              </w:rPr>
              <w:t>为</w:t>
            </w:r>
            <w:r>
              <w:rPr>
                <w:rFonts w:hint="eastAsia" w:cs="Times New Roman"/>
                <w:color w:val="auto"/>
                <w:sz w:val="21"/>
                <w:szCs w:val="21"/>
                <w:highlight w:val="none"/>
                <w:lang w:val="en-US" w:eastAsia="zh-CN"/>
              </w:rPr>
              <w:t>碱场煤矿铁路大桥</w:t>
            </w:r>
            <w:r>
              <w:rPr>
                <w:rFonts w:hint="eastAsia" w:ascii="Times New Roman" w:hAnsi="Times New Roman" w:eastAsia="宋体" w:cs="Times New Roman"/>
                <w:color w:val="auto"/>
                <w:sz w:val="21"/>
                <w:szCs w:val="21"/>
                <w:highlight w:val="none"/>
                <w:lang w:val="en-US" w:eastAsia="zh-CN"/>
              </w:rPr>
              <w:t>，终止断面为</w:t>
            </w:r>
            <w:r>
              <w:rPr>
                <w:rFonts w:hint="eastAsia" w:cs="Times New Roman"/>
                <w:color w:val="auto"/>
                <w:sz w:val="21"/>
                <w:szCs w:val="21"/>
                <w:highlight w:val="none"/>
                <w:lang w:val="en-US" w:eastAsia="zh-CN"/>
              </w:rPr>
              <w:t>S206省道公路桥</w:t>
            </w:r>
            <w:r>
              <w:rPr>
                <w:rFonts w:hint="eastAsia" w:ascii="Times New Roman" w:hAnsi="Times New Roman" w:eastAsia="宋体" w:cs="Times New Roman"/>
                <w:color w:val="auto"/>
                <w:sz w:val="21"/>
                <w:szCs w:val="21"/>
                <w:highlight w:val="none"/>
                <w:lang w:val="en-US" w:eastAsia="zh-CN"/>
              </w:rPr>
              <w:t>，</w:t>
            </w:r>
            <w:r>
              <w:rPr>
                <w:rFonts w:hint="eastAsia"/>
                <w:color w:val="auto"/>
                <w:kern w:val="0"/>
                <w:szCs w:val="21"/>
                <w:highlight w:val="none"/>
              </w:rPr>
              <w:t>根据鸡西市人民政府发布的《2025年1</w:t>
            </w:r>
            <w:r>
              <w:rPr>
                <w:rFonts w:hint="eastAsia"/>
                <w:color w:val="auto"/>
                <w:kern w:val="0"/>
                <w:szCs w:val="21"/>
                <w:highlight w:val="none"/>
                <w:lang w:val="en-US" w:eastAsia="zh-CN"/>
              </w:rPr>
              <w:t>-5</w:t>
            </w:r>
            <w:r>
              <w:rPr>
                <w:rFonts w:hint="eastAsia"/>
                <w:color w:val="auto"/>
                <w:kern w:val="0"/>
                <w:szCs w:val="21"/>
                <w:highlight w:val="none"/>
              </w:rPr>
              <w:t>月地表水国控考核断面水质信息公开》穆棱河水质类别达到Ⅲ类标准</w:t>
            </w:r>
            <w:r>
              <w:rPr>
                <w:rFonts w:hint="eastAsia"/>
                <w:color w:val="auto"/>
                <w:kern w:val="0"/>
                <w:szCs w:val="21"/>
                <w:highlight w:val="none"/>
                <w:lang w:eastAsia="zh-CN"/>
              </w:rPr>
              <w:t>。</w:t>
            </w:r>
          </w:p>
          <w:p w14:paraId="0B29E97A">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2" w:firstLineChars="200"/>
              <w:textAlignment w:val="auto"/>
              <w:rPr>
                <w:rFonts w:hint="default"/>
                <w:b/>
                <w:bCs/>
                <w:color w:val="auto"/>
                <w:sz w:val="21"/>
                <w:highlight w:val="none"/>
              </w:rPr>
            </w:pPr>
            <w:r>
              <w:rPr>
                <w:rFonts w:hint="default"/>
                <w:b/>
                <w:bCs/>
                <w:color w:val="auto"/>
                <w:sz w:val="21"/>
                <w:highlight w:val="none"/>
              </w:rPr>
              <w:t>3、声环境</w:t>
            </w:r>
          </w:p>
          <w:p w14:paraId="30C8B736">
            <w:pPr>
              <w:pStyle w:val="50"/>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firstLine="422"/>
              <w:jc w:val="both"/>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根据《2024年黑龙江省生态环境质量状况》（2025年1月），鸡西市区域昼间声环境质量为二级，等效声级为53.6dB（A），道路交通昼间声环境质量为一级，等效声级为65.8dB（A），功能区昼间达标率100%，功能区夜间达标率100%。</w:t>
            </w:r>
          </w:p>
          <w:p w14:paraId="4D3A24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eastAsia"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color w:val="auto"/>
                <w:kern w:val="0"/>
                <w:sz w:val="21"/>
                <w:szCs w:val="21"/>
                <w:highlight w:val="none"/>
                <w:lang w:val="en-US" w:eastAsia="zh-CN"/>
              </w:rPr>
              <w:t>本项目</w:t>
            </w:r>
            <w:r>
              <w:rPr>
                <w:rFonts w:hint="default" w:ascii="Times New Roman" w:hAnsi="Times New Roman" w:eastAsia="宋体" w:cs="Times New Roman"/>
                <w:color w:val="auto"/>
                <w:kern w:val="0"/>
                <w:sz w:val="21"/>
                <w:szCs w:val="21"/>
                <w:highlight w:val="none"/>
              </w:rPr>
              <w:t>厂界外周边50米范围内</w:t>
            </w:r>
            <w:r>
              <w:rPr>
                <w:rFonts w:hint="eastAsia" w:cs="Times New Roman"/>
                <w:color w:val="auto"/>
                <w:kern w:val="0"/>
                <w:sz w:val="21"/>
                <w:szCs w:val="21"/>
                <w:highlight w:val="none"/>
                <w:lang w:eastAsia="zh-CN"/>
              </w:rPr>
              <w:t>无</w:t>
            </w:r>
            <w:r>
              <w:rPr>
                <w:rFonts w:hint="default" w:ascii="Times New Roman" w:hAnsi="Times New Roman" w:eastAsia="宋体" w:cs="Times New Roman"/>
                <w:color w:val="auto"/>
                <w:kern w:val="0"/>
                <w:sz w:val="21"/>
                <w:szCs w:val="21"/>
                <w:highlight w:val="none"/>
              </w:rPr>
              <w:t>声环境保护目标</w:t>
            </w:r>
            <w:r>
              <w:rPr>
                <w:rFonts w:hint="eastAsia" w:cs="Times New Roman"/>
                <w:color w:val="auto"/>
                <w:kern w:val="0"/>
                <w:sz w:val="21"/>
                <w:szCs w:val="21"/>
                <w:highlight w:val="none"/>
                <w:lang w:eastAsia="zh-CN"/>
              </w:rPr>
              <w:t>，故未进行现状监测。</w:t>
            </w:r>
          </w:p>
          <w:p w14:paraId="117425B7">
            <w:pPr>
              <w:pStyle w:val="50"/>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360" w:lineRule="auto"/>
              <w:ind w:left="0" w:leftChars="0" w:right="0" w:firstLine="422" w:firstLineChars="200"/>
              <w:textAlignment w:val="auto"/>
              <w:rPr>
                <w:rFonts w:hint="default"/>
                <w:b/>
                <w:color w:val="auto"/>
                <w:sz w:val="21"/>
                <w:szCs w:val="21"/>
                <w:highlight w:val="none"/>
              </w:rPr>
            </w:pPr>
            <w:r>
              <w:rPr>
                <w:rFonts w:hint="default"/>
                <w:b/>
                <w:color w:val="auto"/>
                <w:sz w:val="21"/>
                <w:szCs w:val="21"/>
                <w:highlight w:val="none"/>
              </w:rPr>
              <w:t>4、生态环境</w:t>
            </w:r>
          </w:p>
          <w:p w14:paraId="7192C8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color w:val="auto"/>
                <w:kern w:val="0"/>
                <w:szCs w:val="21"/>
                <w:highlight w:val="none"/>
              </w:rPr>
            </w:pPr>
            <w:r>
              <w:rPr>
                <w:rFonts w:hint="default"/>
                <w:color w:val="auto"/>
                <w:kern w:val="0"/>
                <w:szCs w:val="21"/>
                <w:highlight w:val="none"/>
              </w:rPr>
              <w:t>本项目</w:t>
            </w:r>
            <w:r>
              <w:rPr>
                <w:rFonts w:hint="eastAsia"/>
                <w:color w:val="auto"/>
                <w:kern w:val="0"/>
                <w:sz w:val="21"/>
                <w:szCs w:val="21"/>
                <w:highlight w:val="none"/>
                <w:lang w:val="en-US" w:eastAsia="zh-CN"/>
              </w:rPr>
              <w:t>位于</w:t>
            </w:r>
            <w:r>
              <w:rPr>
                <w:rFonts w:hint="eastAsia"/>
                <w:color w:val="auto"/>
                <w:sz w:val="21"/>
                <w:szCs w:val="21"/>
                <w:highlight w:val="none"/>
                <w:lang w:eastAsia="zh-CN"/>
              </w:rPr>
              <w:t>黑龙江省鸡西市梨树区穆棱矿</w:t>
            </w:r>
            <w:r>
              <w:rPr>
                <w:rFonts w:hint="default"/>
                <w:color w:val="auto"/>
                <w:kern w:val="0"/>
                <w:szCs w:val="21"/>
                <w:highlight w:val="none"/>
              </w:rPr>
              <w:t>，用地范围内无生态环境保护目标，因此不进行生态现状调查。</w:t>
            </w:r>
          </w:p>
          <w:p w14:paraId="07AD02B7">
            <w:pPr>
              <w:pStyle w:val="50"/>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360" w:lineRule="auto"/>
              <w:ind w:left="0" w:right="0" w:firstLine="422" w:firstLineChars="200"/>
              <w:textAlignment w:val="auto"/>
              <w:rPr>
                <w:rFonts w:hint="default"/>
                <w:b/>
                <w:color w:val="auto"/>
                <w:sz w:val="21"/>
                <w:szCs w:val="21"/>
                <w:highlight w:val="none"/>
              </w:rPr>
            </w:pPr>
            <w:r>
              <w:rPr>
                <w:rFonts w:hint="default"/>
                <w:b/>
                <w:color w:val="auto"/>
                <w:sz w:val="21"/>
                <w:szCs w:val="21"/>
                <w:highlight w:val="none"/>
              </w:rPr>
              <w:t>5、地下水、土壤环境</w:t>
            </w:r>
          </w:p>
          <w:p w14:paraId="1D5DB5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color w:val="auto"/>
                <w:highlight w:val="none"/>
                <w:lang w:val="en-US"/>
              </w:rPr>
            </w:pPr>
            <w:r>
              <w:rPr>
                <w:rFonts w:hint="eastAsia" w:eastAsia="宋体"/>
                <w:color w:val="auto"/>
                <w:kern w:val="0"/>
                <w:szCs w:val="21"/>
                <w:highlight w:val="none"/>
                <w:lang w:val="en-US" w:eastAsia="zh-CN"/>
              </w:rPr>
              <w:t>根据《建设项目环境影响报告表编制技术（污染影响类）（试行）》，</w:t>
            </w:r>
            <w:r>
              <w:rPr>
                <w:rFonts w:hint="default" w:eastAsia="宋体"/>
                <w:color w:val="auto"/>
                <w:kern w:val="0"/>
                <w:szCs w:val="21"/>
                <w:highlight w:val="none"/>
                <w:lang w:val="en-US" w:eastAsia="zh-CN"/>
              </w:rPr>
              <w:t>地下水、土壤环境原则上不开展环境质量现状调查，建设项目存在土壤、地下水环境污染途径的，应结合污染源、保护目标分布情况开展现状调查以留作背景值，本项目</w:t>
            </w:r>
            <w:r>
              <w:rPr>
                <w:rFonts w:hint="eastAsia" w:eastAsia="宋体"/>
                <w:color w:val="auto"/>
                <w:kern w:val="0"/>
                <w:szCs w:val="21"/>
                <w:highlight w:val="none"/>
                <w:lang w:val="en-US" w:eastAsia="zh-CN"/>
              </w:rPr>
              <w:t>无生产废水，生活污水排入防渗旱厕，定期清掏外运堆肥</w:t>
            </w:r>
            <w:r>
              <w:rPr>
                <w:rFonts w:hint="default" w:eastAsia="宋体"/>
                <w:color w:val="auto"/>
                <w:kern w:val="0"/>
                <w:szCs w:val="21"/>
                <w:highlight w:val="none"/>
                <w:lang w:val="en-US" w:eastAsia="zh-CN"/>
              </w:rPr>
              <w:t>，</w:t>
            </w:r>
            <w:r>
              <w:rPr>
                <w:rFonts w:hint="eastAsia" w:eastAsia="宋体"/>
                <w:color w:val="auto"/>
                <w:kern w:val="0"/>
                <w:szCs w:val="21"/>
                <w:highlight w:val="none"/>
                <w:lang w:val="en-US" w:eastAsia="zh-CN"/>
              </w:rPr>
              <w:t>无地下水、土壤污染途径，因此不开展现状调查。</w:t>
            </w:r>
          </w:p>
        </w:tc>
      </w:tr>
      <w:tr w14:paraId="6985CB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18" w:hRule="atLeast"/>
          <w:jc w:val="center"/>
        </w:trPr>
        <w:tc>
          <w:tcPr>
            <w:tcW w:w="452" w:type="pct"/>
            <w:vAlign w:val="center"/>
          </w:tcPr>
          <w:p w14:paraId="606DFB8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环境保护目标</w:t>
            </w:r>
          </w:p>
        </w:tc>
        <w:tc>
          <w:tcPr>
            <w:tcW w:w="4547" w:type="pct"/>
            <w:vAlign w:val="center"/>
          </w:tcPr>
          <w:p w14:paraId="204BAF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eastAsia" w:eastAsia="宋体"/>
                <w:color w:val="auto"/>
                <w:kern w:val="0"/>
                <w:szCs w:val="21"/>
                <w:highlight w:val="none"/>
                <w:lang w:eastAsia="zh-CN"/>
              </w:rPr>
            </w:pPr>
            <w:r>
              <w:rPr>
                <w:rFonts w:hint="default"/>
                <w:color w:val="auto"/>
                <w:kern w:val="0"/>
                <w:szCs w:val="21"/>
                <w:highlight w:val="none"/>
              </w:rPr>
              <w:t>本项目位于</w:t>
            </w:r>
            <w:r>
              <w:rPr>
                <w:rFonts w:hint="eastAsia"/>
                <w:color w:val="auto"/>
                <w:sz w:val="21"/>
                <w:szCs w:val="21"/>
                <w:highlight w:val="none"/>
                <w:lang w:val="en-US" w:eastAsia="zh-CN"/>
              </w:rPr>
              <w:t>黑龙江省万龙生物质有限责任公司建设项目</w:t>
            </w:r>
            <w:r>
              <w:rPr>
                <w:rFonts w:hint="default"/>
                <w:color w:val="auto"/>
                <w:kern w:val="0"/>
                <w:szCs w:val="21"/>
                <w:highlight w:val="none"/>
              </w:rPr>
              <w:t>，</w:t>
            </w:r>
            <w:r>
              <w:rPr>
                <w:rFonts w:hint="default" w:ascii="Times New Roman" w:hAnsi="Times New Roman" w:eastAsia="宋体" w:cs="Times New Roman"/>
                <w:bCs/>
                <w:color w:val="auto"/>
                <w:szCs w:val="21"/>
                <w:highlight w:val="none"/>
              </w:rPr>
              <w:t>本项目厂界外500米范围内无地下水集中式饮用水水源和热水、矿泉水、温泉等特殊地下水资源；无自然保护区、风景名胜区及农村地区中人群较集中的区域</w:t>
            </w:r>
            <w:r>
              <w:rPr>
                <w:rFonts w:hint="eastAsia" w:cs="Times New Roman"/>
                <w:bCs/>
                <w:color w:val="auto"/>
                <w:szCs w:val="21"/>
                <w:highlight w:val="none"/>
                <w:lang w:eastAsia="zh-CN"/>
              </w:rPr>
              <w:t>；</w:t>
            </w:r>
            <w:r>
              <w:rPr>
                <w:rFonts w:hint="default"/>
                <w:color w:val="auto"/>
                <w:highlight w:val="none"/>
              </w:rPr>
              <w:t>本项目不涉及生态环境保护目标</w:t>
            </w:r>
            <w:r>
              <w:rPr>
                <w:rFonts w:hint="eastAsia"/>
                <w:color w:val="auto"/>
                <w:highlight w:val="none"/>
                <w:lang w:eastAsia="zh-CN"/>
              </w:rPr>
              <w:t>；</w:t>
            </w:r>
            <w:r>
              <w:rPr>
                <w:rFonts w:hint="eastAsia"/>
                <w:color w:val="auto"/>
                <w:highlight w:val="none"/>
                <w:lang w:val="en-US" w:eastAsia="zh-CN"/>
              </w:rPr>
              <w:t>本项目</w:t>
            </w:r>
            <w:r>
              <w:rPr>
                <w:rFonts w:hint="default" w:ascii="Times New Roman" w:hAnsi="Times New Roman" w:eastAsia="宋体" w:cs="Times New Roman"/>
                <w:bCs/>
                <w:color w:val="auto"/>
                <w:szCs w:val="21"/>
                <w:highlight w:val="none"/>
              </w:rPr>
              <w:t>50米范围内声环境保护目标</w:t>
            </w:r>
            <w:r>
              <w:rPr>
                <w:rFonts w:hint="eastAsia" w:cs="Times New Roman"/>
                <w:bCs/>
                <w:color w:val="auto"/>
                <w:szCs w:val="21"/>
                <w:highlight w:val="none"/>
                <w:lang w:val="en-US" w:eastAsia="zh-CN"/>
              </w:rPr>
              <w:t>及</w:t>
            </w:r>
            <w:r>
              <w:rPr>
                <w:rFonts w:hint="default" w:ascii="Times New Roman" w:hAnsi="Times New Roman" w:eastAsia="宋体" w:cs="Times New Roman"/>
                <w:bCs/>
                <w:color w:val="auto"/>
                <w:szCs w:val="21"/>
                <w:highlight w:val="none"/>
              </w:rPr>
              <w:t>500米范围内大气环境保护目标</w:t>
            </w:r>
            <w:r>
              <w:rPr>
                <w:rFonts w:hint="default"/>
                <w:color w:val="auto"/>
                <w:highlight w:val="none"/>
              </w:rPr>
              <w:t>，详见</w:t>
            </w:r>
            <w:r>
              <w:rPr>
                <w:rFonts w:hint="eastAsia"/>
                <w:color w:val="auto"/>
                <w:highlight w:val="none"/>
                <w:lang w:val="en-US" w:eastAsia="zh-CN"/>
              </w:rPr>
              <w:t>下</w:t>
            </w:r>
            <w:r>
              <w:rPr>
                <w:rFonts w:hint="default"/>
                <w:color w:val="auto"/>
                <w:highlight w:val="none"/>
              </w:rPr>
              <w:t>表</w:t>
            </w:r>
            <w:r>
              <w:rPr>
                <w:rFonts w:hint="eastAsia"/>
                <w:color w:val="auto"/>
                <w:highlight w:val="none"/>
                <w:lang w:eastAsia="zh-CN"/>
              </w:rPr>
              <w:t>。</w:t>
            </w:r>
          </w:p>
          <w:p w14:paraId="6DD620F0">
            <w:pPr>
              <w:keepNext w:val="0"/>
              <w:keepLines w:val="0"/>
              <w:suppressLineNumbers w:val="0"/>
              <w:spacing w:before="0" w:beforeAutospacing="0" w:after="0" w:afterAutospacing="0"/>
              <w:ind w:left="0" w:right="0"/>
              <w:jc w:val="center"/>
              <w:rPr>
                <w:rFonts w:hint="default" w:ascii="Times New Roman" w:hAnsi="Times New Roman" w:cs="Times New Roman"/>
                <w:b/>
                <w:bCs/>
                <w:color w:val="auto"/>
                <w:szCs w:val="21"/>
                <w:highlight w:val="none"/>
              </w:rPr>
            </w:pPr>
            <w:r>
              <w:rPr>
                <w:rFonts w:hint="default" w:ascii="Times New Roman" w:hAnsi="Times New Roman" w:cs="Times New Roman"/>
                <w:b/>
                <w:bCs/>
                <w:color w:val="auto"/>
                <w:szCs w:val="21"/>
                <w:highlight w:val="none"/>
              </w:rPr>
              <w:t>表3-</w:t>
            </w:r>
            <w:r>
              <w:rPr>
                <w:rFonts w:hint="eastAsia" w:cs="Times New Roman"/>
                <w:b/>
                <w:bCs/>
                <w:color w:val="auto"/>
                <w:szCs w:val="21"/>
                <w:highlight w:val="none"/>
                <w:lang w:val="en-US" w:eastAsia="zh-CN"/>
              </w:rPr>
              <w:t xml:space="preserve">5 </w:t>
            </w:r>
            <w:r>
              <w:rPr>
                <w:rFonts w:hint="default" w:ascii="Times New Roman" w:hAnsi="Times New Roman" w:cs="Times New Roman"/>
                <w:b/>
                <w:bCs/>
                <w:color w:val="auto"/>
                <w:szCs w:val="21"/>
                <w:highlight w:val="none"/>
              </w:rPr>
              <w:t>环境空气保护目标一览表</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0"/>
              <w:gridCol w:w="780"/>
              <w:gridCol w:w="1275"/>
              <w:gridCol w:w="1171"/>
              <w:gridCol w:w="1290"/>
              <w:gridCol w:w="600"/>
              <w:gridCol w:w="780"/>
              <w:gridCol w:w="764"/>
              <w:gridCol w:w="777"/>
            </w:tblGrid>
            <w:tr w14:paraId="28085E3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restart"/>
                  <w:tcBorders>
                    <w:tl2br w:val="nil"/>
                    <w:tr2bl w:val="nil"/>
                  </w:tcBorders>
                  <w:noWrap w:val="0"/>
                  <w:vAlign w:val="center"/>
                </w:tcPr>
                <w:p w14:paraId="2DFAA7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环境要素</w:t>
                  </w:r>
                </w:p>
              </w:tc>
              <w:tc>
                <w:tcPr>
                  <w:tcW w:w="485" w:type="pct"/>
                  <w:vMerge w:val="restart"/>
                  <w:tcBorders>
                    <w:tl2br w:val="nil"/>
                    <w:tr2bl w:val="nil"/>
                  </w:tcBorders>
                  <w:noWrap w:val="0"/>
                  <w:vAlign w:val="center"/>
                </w:tcPr>
                <w:p w14:paraId="5B86FF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w:t>
                  </w:r>
                </w:p>
                <w:p w14:paraId="22F5E9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对象</w:t>
                  </w:r>
                </w:p>
              </w:tc>
              <w:tc>
                <w:tcPr>
                  <w:tcW w:w="1521" w:type="pct"/>
                  <w:gridSpan w:val="2"/>
                  <w:tcBorders>
                    <w:tl2br w:val="nil"/>
                    <w:tr2bl w:val="nil"/>
                  </w:tcBorders>
                  <w:noWrap w:val="0"/>
                  <w:vAlign w:val="center"/>
                </w:tcPr>
                <w:p w14:paraId="0362921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坐标</w:t>
                  </w:r>
                  <w:r>
                    <w:rPr>
                      <w:rFonts w:hint="default" w:ascii="Times New Roman" w:hAnsi="Times New Roman" w:cs="Times New Roman"/>
                      <w:color w:val="auto"/>
                      <w:kern w:val="0"/>
                      <w:sz w:val="18"/>
                      <w:szCs w:val="18"/>
                      <w:highlight w:val="none"/>
                    </w:rPr>
                    <w:t>/°</w:t>
                  </w:r>
                </w:p>
              </w:tc>
              <w:tc>
                <w:tcPr>
                  <w:tcW w:w="802" w:type="pct"/>
                  <w:vMerge w:val="restart"/>
                  <w:tcBorders>
                    <w:tl2br w:val="nil"/>
                    <w:tr2bl w:val="nil"/>
                  </w:tcBorders>
                  <w:noWrap w:val="0"/>
                  <w:vAlign w:val="center"/>
                </w:tcPr>
                <w:p w14:paraId="6736AD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保护对象</w:t>
                  </w:r>
                </w:p>
              </w:tc>
              <w:tc>
                <w:tcPr>
                  <w:tcW w:w="373" w:type="pct"/>
                  <w:vMerge w:val="restart"/>
                  <w:tcBorders>
                    <w:tl2br w:val="nil"/>
                    <w:tr2bl w:val="nil"/>
                  </w:tcBorders>
                  <w:noWrap w:val="0"/>
                  <w:vAlign w:val="center"/>
                </w:tcPr>
                <w:p w14:paraId="4D06DC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保护内容</w:t>
                  </w:r>
                </w:p>
              </w:tc>
              <w:tc>
                <w:tcPr>
                  <w:tcW w:w="485" w:type="pct"/>
                  <w:vMerge w:val="restart"/>
                  <w:tcBorders>
                    <w:tl2br w:val="nil"/>
                    <w:tr2bl w:val="nil"/>
                  </w:tcBorders>
                  <w:noWrap w:val="0"/>
                  <w:vAlign w:val="center"/>
                </w:tcPr>
                <w:p w14:paraId="7EBF6F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环境</w:t>
                  </w:r>
                </w:p>
                <w:p w14:paraId="4B7D66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功能区</w:t>
                  </w:r>
                </w:p>
              </w:tc>
              <w:tc>
                <w:tcPr>
                  <w:tcW w:w="475" w:type="pct"/>
                  <w:vMerge w:val="restart"/>
                  <w:tcBorders>
                    <w:tl2br w:val="nil"/>
                    <w:tr2bl w:val="nil"/>
                  </w:tcBorders>
                  <w:noWrap w:val="0"/>
                  <w:vAlign w:val="center"/>
                </w:tcPr>
                <w:p w14:paraId="1C7AC6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相对厂址方位</w:t>
                  </w:r>
                </w:p>
              </w:tc>
              <w:tc>
                <w:tcPr>
                  <w:tcW w:w="483" w:type="pct"/>
                  <w:vMerge w:val="restart"/>
                  <w:tcBorders>
                    <w:tl2br w:val="nil"/>
                    <w:tr2bl w:val="nil"/>
                  </w:tcBorders>
                  <w:noWrap w:val="0"/>
                  <w:vAlign w:val="center"/>
                </w:tcPr>
                <w:p w14:paraId="372BD7A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相对厂界距离</w:t>
                  </w:r>
                </w:p>
              </w:tc>
            </w:tr>
            <w:tr w14:paraId="54B4B96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continue"/>
                  <w:tcBorders>
                    <w:tl2br w:val="nil"/>
                    <w:tr2bl w:val="nil"/>
                  </w:tcBorders>
                  <w:noWrap w:val="0"/>
                  <w:vAlign w:val="center"/>
                </w:tcPr>
                <w:p w14:paraId="5A76F7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p>
              </w:tc>
              <w:tc>
                <w:tcPr>
                  <w:tcW w:w="485" w:type="pct"/>
                  <w:vMerge w:val="continue"/>
                  <w:tcBorders>
                    <w:tl2br w:val="nil"/>
                    <w:tr2bl w:val="nil"/>
                  </w:tcBorders>
                  <w:noWrap w:val="0"/>
                  <w:vAlign w:val="center"/>
                </w:tcPr>
                <w:p w14:paraId="7ACB56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p>
              </w:tc>
              <w:tc>
                <w:tcPr>
                  <w:tcW w:w="793" w:type="pct"/>
                  <w:tcBorders>
                    <w:tl2br w:val="nil"/>
                    <w:tr2bl w:val="nil"/>
                  </w:tcBorders>
                  <w:noWrap w:val="0"/>
                  <w:vAlign w:val="center"/>
                </w:tcPr>
                <w:p w14:paraId="624186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东经</w:t>
                  </w:r>
                </w:p>
              </w:tc>
              <w:tc>
                <w:tcPr>
                  <w:tcW w:w="728" w:type="pct"/>
                  <w:tcBorders>
                    <w:tl2br w:val="nil"/>
                    <w:tr2bl w:val="nil"/>
                  </w:tcBorders>
                  <w:noWrap w:val="0"/>
                  <w:vAlign w:val="center"/>
                </w:tcPr>
                <w:p w14:paraId="7B6C8A8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北纬</w:t>
                  </w:r>
                </w:p>
              </w:tc>
              <w:tc>
                <w:tcPr>
                  <w:tcW w:w="802" w:type="pct"/>
                  <w:vMerge w:val="continue"/>
                  <w:tcBorders>
                    <w:tl2br w:val="nil"/>
                    <w:tr2bl w:val="nil"/>
                  </w:tcBorders>
                  <w:noWrap w:val="0"/>
                  <w:vAlign w:val="center"/>
                </w:tcPr>
                <w:p w14:paraId="2F3C51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373" w:type="pct"/>
                  <w:vMerge w:val="continue"/>
                  <w:tcBorders>
                    <w:tl2br w:val="nil"/>
                    <w:tr2bl w:val="nil"/>
                  </w:tcBorders>
                  <w:noWrap w:val="0"/>
                  <w:vAlign w:val="center"/>
                </w:tcPr>
                <w:p w14:paraId="77143A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485" w:type="pct"/>
                  <w:vMerge w:val="continue"/>
                  <w:tcBorders>
                    <w:tl2br w:val="nil"/>
                    <w:tr2bl w:val="nil"/>
                  </w:tcBorders>
                  <w:noWrap w:val="0"/>
                  <w:vAlign w:val="center"/>
                </w:tcPr>
                <w:p w14:paraId="278A7E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475" w:type="pct"/>
                  <w:vMerge w:val="continue"/>
                  <w:tcBorders>
                    <w:tl2br w:val="nil"/>
                    <w:tr2bl w:val="nil"/>
                  </w:tcBorders>
                  <w:noWrap w:val="0"/>
                  <w:vAlign w:val="center"/>
                </w:tcPr>
                <w:p w14:paraId="1A38DC1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c>
                <w:tcPr>
                  <w:tcW w:w="483" w:type="pct"/>
                  <w:vMerge w:val="continue"/>
                  <w:tcBorders>
                    <w:tl2br w:val="nil"/>
                    <w:tr2bl w:val="nil"/>
                  </w:tcBorders>
                  <w:noWrap w:val="0"/>
                  <w:vAlign w:val="center"/>
                </w:tcPr>
                <w:p w14:paraId="2D626E6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p>
              </w:tc>
            </w:tr>
            <w:tr w14:paraId="6C982CE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restart"/>
                  <w:tcBorders>
                    <w:tl2br w:val="nil"/>
                    <w:tr2bl w:val="nil"/>
                  </w:tcBorders>
                  <w:noWrap w:val="0"/>
                  <w:vAlign w:val="center"/>
                </w:tcPr>
                <w:p w14:paraId="3FF30F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大气环境</w:t>
                  </w:r>
                </w:p>
              </w:tc>
              <w:tc>
                <w:tcPr>
                  <w:tcW w:w="485" w:type="pct"/>
                  <w:tcBorders>
                    <w:tl2br w:val="nil"/>
                    <w:tr2bl w:val="nil"/>
                  </w:tcBorders>
                  <w:noWrap w:val="0"/>
                  <w:vAlign w:val="center"/>
                </w:tcPr>
                <w:p w14:paraId="6FD012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勇和村</w:t>
                  </w:r>
                </w:p>
              </w:tc>
              <w:tc>
                <w:tcPr>
                  <w:tcW w:w="793" w:type="pct"/>
                  <w:tcBorders>
                    <w:tl2br w:val="nil"/>
                    <w:tr2bl w:val="nil"/>
                  </w:tcBorders>
                  <w:noWrap w:val="0"/>
                  <w:vAlign w:val="center"/>
                </w:tcPr>
                <w:p w14:paraId="3D9871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color w:val="auto"/>
                      <w:kern w:val="0"/>
                      <w:sz w:val="18"/>
                      <w:szCs w:val="18"/>
                      <w:highlight w:val="none"/>
                      <w:lang w:val="en-US" w:eastAsia="zh-CN"/>
                    </w:rPr>
                  </w:pPr>
                  <w:r>
                    <w:rPr>
                      <w:rFonts w:hint="eastAsia" w:ascii="Times New Roman" w:hAnsi="Times New Roman" w:cs="Times New Roman"/>
                      <w:color w:val="auto"/>
                      <w:kern w:val="0"/>
                      <w:sz w:val="18"/>
                      <w:szCs w:val="18"/>
                      <w:highlight w:val="none"/>
                    </w:rPr>
                    <w:t>130.71649074</w:t>
                  </w:r>
                </w:p>
              </w:tc>
              <w:tc>
                <w:tcPr>
                  <w:tcW w:w="728" w:type="pct"/>
                  <w:tcBorders>
                    <w:tl2br w:val="nil"/>
                    <w:tr2bl w:val="nil"/>
                  </w:tcBorders>
                  <w:noWrap w:val="0"/>
                  <w:vAlign w:val="center"/>
                </w:tcPr>
                <w:p w14:paraId="177E59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eastAsia="宋体" w:cs="Times New Roman"/>
                      <w:color w:val="auto"/>
                      <w:kern w:val="0"/>
                      <w:sz w:val="18"/>
                      <w:szCs w:val="18"/>
                      <w:highlight w:val="none"/>
                      <w:lang w:val="en-US" w:eastAsia="zh-CN"/>
                    </w:rPr>
                  </w:pPr>
                  <w:r>
                    <w:rPr>
                      <w:rFonts w:hint="eastAsia" w:ascii="Times New Roman" w:hAnsi="Times New Roman" w:cs="Times New Roman"/>
                      <w:color w:val="auto"/>
                      <w:kern w:val="0"/>
                      <w:sz w:val="18"/>
                      <w:szCs w:val="18"/>
                      <w:highlight w:val="none"/>
                    </w:rPr>
                    <w:t>45.0666368</w:t>
                  </w:r>
                  <w:r>
                    <w:rPr>
                      <w:rFonts w:hint="eastAsia" w:ascii="Times New Roman" w:hAnsi="Times New Roman" w:cs="Times New Roman"/>
                      <w:color w:val="auto"/>
                      <w:kern w:val="0"/>
                      <w:sz w:val="18"/>
                      <w:szCs w:val="18"/>
                      <w:highlight w:val="none"/>
                      <w:lang w:val="en-US" w:eastAsia="zh-CN"/>
                    </w:rPr>
                    <w:t>0</w:t>
                  </w:r>
                </w:p>
              </w:tc>
              <w:tc>
                <w:tcPr>
                  <w:tcW w:w="802" w:type="pct"/>
                  <w:vMerge w:val="restart"/>
                  <w:tcBorders>
                    <w:tl2br w:val="nil"/>
                    <w:tr2bl w:val="nil"/>
                  </w:tcBorders>
                  <w:noWrap w:val="0"/>
                  <w:vAlign w:val="center"/>
                </w:tcPr>
                <w:p w14:paraId="4FE1C247">
                  <w:pPr>
                    <w:pStyle w:val="50"/>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18"/>
                      <w:szCs w:val="18"/>
                      <w:highlight w:val="none"/>
                      <w:lang w:val="en-US" w:eastAsia="zh-CN"/>
                    </w:rPr>
                  </w:pPr>
                  <w:r>
                    <w:rPr>
                      <w:rFonts w:hint="eastAsia" w:ascii="Times New Roman" w:hAnsi="Times New Roman" w:cs="Times New Roman"/>
                      <w:color w:val="auto"/>
                      <w:kern w:val="0"/>
                      <w:sz w:val="18"/>
                      <w:szCs w:val="18"/>
                      <w:highlight w:val="none"/>
                      <w:lang w:val="en-US" w:eastAsia="zh-CN"/>
                    </w:rPr>
                    <w:t>农村地区中人群较集中的区域</w:t>
                  </w:r>
                </w:p>
              </w:tc>
              <w:tc>
                <w:tcPr>
                  <w:tcW w:w="373" w:type="pct"/>
                  <w:vMerge w:val="restart"/>
                  <w:tcBorders>
                    <w:tl2br w:val="nil"/>
                    <w:tr2bl w:val="nil"/>
                  </w:tcBorders>
                  <w:noWrap w:val="0"/>
                  <w:vAlign w:val="center"/>
                </w:tcPr>
                <w:p w14:paraId="1D9F2651">
                  <w:pPr>
                    <w:pStyle w:val="50"/>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人群</w:t>
                  </w:r>
                </w:p>
              </w:tc>
              <w:tc>
                <w:tcPr>
                  <w:tcW w:w="485" w:type="pct"/>
                  <w:vMerge w:val="restart"/>
                  <w:tcBorders>
                    <w:tl2br w:val="nil"/>
                    <w:tr2bl w:val="nil"/>
                  </w:tcBorders>
                  <w:noWrap w:val="0"/>
                  <w:vAlign w:val="center"/>
                </w:tcPr>
                <w:p w14:paraId="46CF5ACD">
                  <w:pPr>
                    <w:pStyle w:val="50"/>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环境空气二类区</w:t>
                  </w:r>
                </w:p>
              </w:tc>
              <w:tc>
                <w:tcPr>
                  <w:tcW w:w="475" w:type="pct"/>
                  <w:tcBorders>
                    <w:tl2br w:val="nil"/>
                    <w:tr2bl w:val="nil"/>
                  </w:tcBorders>
                  <w:noWrap w:val="0"/>
                  <w:vAlign w:val="center"/>
                </w:tcPr>
                <w:p w14:paraId="4C3D97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东南、东北</w:t>
                  </w:r>
                </w:p>
              </w:tc>
              <w:tc>
                <w:tcPr>
                  <w:tcW w:w="483" w:type="pct"/>
                  <w:tcBorders>
                    <w:tl2br w:val="nil"/>
                    <w:tr2bl w:val="nil"/>
                  </w:tcBorders>
                  <w:noWrap w:val="0"/>
                  <w:vAlign w:val="center"/>
                </w:tcPr>
                <w:p w14:paraId="75CAB7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60m</w:t>
                  </w:r>
                </w:p>
              </w:tc>
            </w:tr>
            <w:tr w14:paraId="40B5DCB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continue"/>
                  <w:tcBorders>
                    <w:tl2br w:val="nil"/>
                    <w:tr2bl w:val="nil"/>
                  </w:tcBorders>
                  <w:noWrap w:val="0"/>
                  <w:vAlign w:val="center"/>
                </w:tcPr>
                <w:p w14:paraId="473579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p>
              </w:tc>
              <w:tc>
                <w:tcPr>
                  <w:tcW w:w="485" w:type="pct"/>
                  <w:tcBorders>
                    <w:tl2br w:val="nil"/>
                    <w:tr2bl w:val="nil"/>
                  </w:tcBorders>
                  <w:noWrap w:val="0"/>
                  <w:vAlign w:val="center"/>
                </w:tcPr>
                <w:p w14:paraId="741068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西南沟屯</w:t>
                  </w:r>
                </w:p>
              </w:tc>
              <w:tc>
                <w:tcPr>
                  <w:tcW w:w="793" w:type="pct"/>
                  <w:tcBorders>
                    <w:tl2br w:val="nil"/>
                    <w:tr2bl w:val="nil"/>
                  </w:tcBorders>
                  <w:noWrap w:val="0"/>
                  <w:vAlign w:val="center"/>
                </w:tcPr>
                <w:p w14:paraId="489813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auto"/>
                      <w:kern w:val="0"/>
                      <w:sz w:val="18"/>
                      <w:szCs w:val="18"/>
                      <w:highlight w:val="none"/>
                      <w:lang w:val="en-US" w:eastAsia="zh-CN"/>
                    </w:rPr>
                  </w:pPr>
                  <w:r>
                    <w:rPr>
                      <w:rFonts w:hint="eastAsia" w:ascii="Times New Roman" w:hAnsi="Times New Roman" w:cs="Times New Roman"/>
                      <w:color w:val="auto"/>
                      <w:kern w:val="0"/>
                      <w:sz w:val="18"/>
                      <w:szCs w:val="18"/>
                      <w:highlight w:val="none"/>
                    </w:rPr>
                    <w:t>130.71200609</w:t>
                  </w:r>
                </w:p>
              </w:tc>
              <w:tc>
                <w:tcPr>
                  <w:tcW w:w="728" w:type="pct"/>
                  <w:tcBorders>
                    <w:tl2br w:val="nil"/>
                    <w:tr2bl w:val="nil"/>
                  </w:tcBorders>
                  <w:noWrap w:val="0"/>
                  <w:vAlign w:val="center"/>
                </w:tcPr>
                <w:p w14:paraId="6A15928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eastAsia" w:ascii="Times New Roman" w:hAnsi="Times New Roman" w:cs="Times New Roman"/>
                      <w:color w:val="auto"/>
                      <w:kern w:val="0"/>
                      <w:sz w:val="18"/>
                      <w:szCs w:val="18"/>
                      <w:highlight w:val="none"/>
                      <w:lang w:val="en-US" w:eastAsia="zh-CN"/>
                    </w:rPr>
                  </w:pPr>
                  <w:r>
                    <w:rPr>
                      <w:rFonts w:hint="eastAsia" w:ascii="Times New Roman" w:hAnsi="Times New Roman" w:cs="Times New Roman"/>
                      <w:color w:val="auto"/>
                      <w:kern w:val="0"/>
                      <w:sz w:val="18"/>
                      <w:szCs w:val="18"/>
                      <w:highlight w:val="none"/>
                    </w:rPr>
                    <w:t>45.06245255</w:t>
                  </w:r>
                </w:p>
              </w:tc>
              <w:tc>
                <w:tcPr>
                  <w:tcW w:w="802" w:type="pct"/>
                  <w:vMerge w:val="continue"/>
                  <w:tcBorders>
                    <w:tl2br w:val="nil"/>
                    <w:tr2bl w:val="nil"/>
                  </w:tcBorders>
                  <w:noWrap w:val="0"/>
                  <w:vAlign w:val="center"/>
                </w:tcPr>
                <w:p w14:paraId="4A37C210">
                  <w:pPr>
                    <w:pStyle w:val="50"/>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eastAsia" w:ascii="Times New Roman" w:hAnsi="Times New Roman" w:cs="Times New Roman"/>
                      <w:color w:val="auto"/>
                      <w:kern w:val="0"/>
                      <w:sz w:val="18"/>
                      <w:szCs w:val="18"/>
                      <w:highlight w:val="none"/>
                      <w:lang w:val="en-US" w:eastAsia="zh-CN"/>
                    </w:rPr>
                  </w:pPr>
                </w:p>
              </w:tc>
              <w:tc>
                <w:tcPr>
                  <w:tcW w:w="373" w:type="pct"/>
                  <w:vMerge w:val="continue"/>
                  <w:tcBorders>
                    <w:tl2br w:val="nil"/>
                    <w:tr2bl w:val="nil"/>
                  </w:tcBorders>
                  <w:noWrap w:val="0"/>
                  <w:vAlign w:val="center"/>
                </w:tcPr>
                <w:p w14:paraId="7687146B">
                  <w:pPr>
                    <w:pStyle w:val="50"/>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18"/>
                      <w:szCs w:val="18"/>
                      <w:highlight w:val="none"/>
                      <w:lang w:val="en-US" w:eastAsia="zh-CN"/>
                    </w:rPr>
                  </w:pPr>
                </w:p>
              </w:tc>
              <w:tc>
                <w:tcPr>
                  <w:tcW w:w="485" w:type="pct"/>
                  <w:vMerge w:val="continue"/>
                  <w:tcBorders>
                    <w:tl2br w:val="nil"/>
                    <w:tr2bl w:val="nil"/>
                  </w:tcBorders>
                  <w:noWrap w:val="0"/>
                  <w:vAlign w:val="center"/>
                </w:tcPr>
                <w:p w14:paraId="168AAD20">
                  <w:pPr>
                    <w:pStyle w:val="50"/>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18"/>
                      <w:szCs w:val="18"/>
                      <w:highlight w:val="none"/>
                    </w:rPr>
                  </w:pPr>
                </w:p>
              </w:tc>
              <w:tc>
                <w:tcPr>
                  <w:tcW w:w="475" w:type="pct"/>
                  <w:tcBorders>
                    <w:tl2br w:val="nil"/>
                    <w:tr2bl w:val="nil"/>
                  </w:tcBorders>
                  <w:noWrap w:val="0"/>
                  <w:vAlign w:val="center"/>
                </w:tcPr>
                <w:p w14:paraId="4C9B0F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西南</w:t>
                  </w:r>
                </w:p>
              </w:tc>
              <w:tc>
                <w:tcPr>
                  <w:tcW w:w="483" w:type="pct"/>
                  <w:tcBorders>
                    <w:tl2br w:val="nil"/>
                    <w:tr2bl w:val="nil"/>
                  </w:tcBorders>
                  <w:noWrap w:val="0"/>
                  <w:vAlign w:val="center"/>
                </w:tcPr>
                <w:p w14:paraId="527EA8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350m</w:t>
                  </w:r>
                </w:p>
              </w:tc>
            </w:tr>
            <w:tr w14:paraId="4563CEC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73" w:type="pct"/>
                  <w:vMerge w:val="continue"/>
                  <w:tcBorders>
                    <w:tl2br w:val="nil"/>
                    <w:tr2bl w:val="nil"/>
                  </w:tcBorders>
                  <w:noWrap w:val="0"/>
                  <w:vAlign w:val="center"/>
                </w:tcPr>
                <w:p w14:paraId="25BCF49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p>
              </w:tc>
              <w:tc>
                <w:tcPr>
                  <w:tcW w:w="485" w:type="pct"/>
                  <w:tcBorders>
                    <w:tl2br w:val="nil"/>
                    <w:tr2bl w:val="nil"/>
                  </w:tcBorders>
                  <w:noWrap w:val="0"/>
                  <w:vAlign w:val="center"/>
                </w:tcPr>
                <w:p w14:paraId="2E8D2A3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穆棱矿居民区</w:t>
                  </w:r>
                </w:p>
              </w:tc>
              <w:tc>
                <w:tcPr>
                  <w:tcW w:w="793" w:type="pct"/>
                  <w:tcBorders>
                    <w:tl2br w:val="nil"/>
                    <w:tr2bl w:val="nil"/>
                  </w:tcBorders>
                  <w:noWrap w:val="0"/>
                  <w:vAlign w:val="center"/>
                </w:tcPr>
                <w:p w14:paraId="29FDEA0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130.71035385</w:t>
                  </w:r>
                </w:p>
              </w:tc>
              <w:tc>
                <w:tcPr>
                  <w:tcW w:w="728" w:type="pct"/>
                  <w:tcBorders>
                    <w:tl2br w:val="nil"/>
                    <w:tr2bl w:val="nil"/>
                  </w:tcBorders>
                  <w:noWrap w:val="0"/>
                  <w:vAlign w:val="center"/>
                </w:tcPr>
                <w:p w14:paraId="596750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45.06547808</w:t>
                  </w:r>
                </w:p>
              </w:tc>
              <w:tc>
                <w:tcPr>
                  <w:tcW w:w="802" w:type="pct"/>
                  <w:tcBorders>
                    <w:tl2br w:val="nil"/>
                    <w:tr2bl w:val="nil"/>
                  </w:tcBorders>
                  <w:noWrap w:val="0"/>
                  <w:vAlign w:val="center"/>
                </w:tcPr>
                <w:p w14:paraId="4C89822C">
                  <w:pPr>
                    <w:pStyle w:val="50"/>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居住区</w:t>
                  </w:r>
                </w:p>
              </w:tc>
              <w:tc>
                <w:tcPr>
                  <w:tcW w:w="373" w:type="pct"/>
                  <w:vMerge w:val="continue"/>
                  <w:tcBorders>
                    <w:tl2br w:val="nil"/>
                    <w:tr2bl w:val="nil"/>
                  </w:tcBorders>
                  <w:noWrap w:val="0"/>
                  <w:vAlign w:val="center"/>
                </w:tcPr>
                <w:p w14:paraId="7B4EFA3D">
                  <w:pPr>
                    <w:pStyle w:val="50"/>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18"/>
                      <w:szCs w:val="18"/>
                      <w:highlight w:val="none"/>
                      <w:lang w:val="en-US" w:eastAsia="zh-CN"/>
                    </w:rPr>
                  </w:pPr>
                </w:p>
              </w:tc>
              <w:tc>
                <w:tcPr>
                  <w:tcW w:w="485" w:type="pct"/>
                  <w:vMerge w:val="continue"/>
                  <w:tcBorders>
                    <w:tl2br w:val="nil"/>
                    <w:tr2bl w:val="nil"/>
                  </w:tcBorders>
                  <w:noWrap w:val="0"/>
                  <w:vAlign w:val="center"/>
                </w:tcPr>
                <w:p w14:paraId="78BE1E89">
                  <w:pPr>
                    <w:pStyle w:val="50"/>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Lines="0" w:afterAutospacing="0" w:line="240" w:lineRule="auto"/>
                    <w:ind w:left="0" w:right="0" w:firstLine="0" w:firstLineChars="0"/>
                    <w:jc w:val="center"/>
                    <w:textAlignment w:val="auto"/>
                    <w:rPr>
                      <w:rFonts w:hint="default" w:ascii="Times New Roman" w:hAnsi="Times New Roman" w:cs="Times New Roman"/>
                      <w:color w:val="auto"/>
                      <w:sz w:val="18"/>
                      <w:szCs w:val="18"/>
                      <w:highlight w:val="none"/>
                    </w:rPr>
                  </w:pPr>
                </w:p>
              </w:tc>
              <w:tc>
                <w:tcPr>
                  <w:tcW w:w="475" w:type="pct"/>
                  <w:tcBorders>
                    <w:tl2br w:val="nil"/>
                    <w:tr2bl w:val="nil"/>
                  </w:tcBorders>
                  <w:noWrap w:val="0"/>
                  <w:vAlign w:val="center"/>
                </w:tcPr>
                <w:p w14:paraId="066C938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w:t>
                  </w:r>
                </w:p>
              </w:tc>
              <w:tc>
                <w:tcPr>
                  <w:tcW w:w="483" w:type="pct"/>
                  <w:tcBorders>
                    <w:tl2br w:val="nil"/>
                    <w:tr2bl w:val="nil"/>
                  </w:tcBorders>
                  <w:noWrap w:val="0"/>
                  <w:vAlign w:val="center"/>
                </w:tcPr>
                <w:p w14:paraId="06E2A4A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340m</w:t>
                  </w:r>
                </w:p>
              </w:tc>
            </w:tr>
          </w:tbl>
          <w:p w14:paraId="34A223B0">
            <w:pPr>
              <w:pStyle w:val="47"/>
              <w:keepNext w:val="0"/>
              <w:keepLines w:val="0"/>
              <w:suppressLineNumbers w:val="0"/>
              <w:spacing w:before="0" w:beforeAutospacing="0" w:after="0" w:afterAutospacing="0"/>
              <w:ind w:left="0" w:right="0"/>
              <w:jc w:val="both"/>
              <w:rPr>
                <w:rFonts w:hint="default"/>
                <w:color w:val="auto"/>
                <w:highlight w:val="none"/>
                <w:lang w:val="en-US" w:eastAsia="zh-CN"/>
              </w:rPr>
            </w:pPr>
          </w:p>
        </w:tc>
      </w:tr>
      <w:tr w14:paraId="40E81D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52" w:type="pct"/>
            <w:vAlign w:val="center"/>
          </w:tcPr>
          <w:p w14:paraId="27015D8C">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污染物排放控制标准</w:t>
            </w:r>
          </w:p>
        </w:tc>
        <w:tc>
          <w:tcPr>
            <w:tcW w:w="4547" w:type="pct"/>
            <w:vAlign w:val="center"/>
          </w:tcPr>
          <w:p w14:paraId="7589CFC2">
            <w:pPr>
              <w:pStyle w:val="96"/>
              <w:keepNext w:val="0"/>
              <w:keepLines w:val="0"/>
              <w:widowControl/>
              <w:numPr>
                <w:ilvl w:val="0"/>
                <w:numId w:val="5"/>
              </w:numPr>
              <w:suppressLineNumbers w:val="0"/>
              <w:adjustRightInd/>
              <w:spacing w:before="0" w:beforeAutospacing="0" w:after="0" w:afterAutospacing="0" w:line="360" w:lineRule="auto"/>
              <w:ind w:left="0" w:right="0" w:firstLine="422" w:firstLineChars="200"/>
              <w:jc w:val="both"/>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废气</w:t>
            </w:r>
          </w:p>
          <w:p w14:paraId="54891F6F">
            <w:pPr>
              <w:pStyle w:val="9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jc w:val="both"/>
              <w:rPr>
                <w:rFonts w:hint="eastAsia"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运营期：</w:t>
            </w:r>
          </w:p>
          <w:p w14:paraId="1F4FAAD5">
            <w:pPr>
              <w:pStyle w:val="96"/>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jc w:val="both"/>
              <w:textAlignment w:val="auto"/>
              <w:rPr>
                <w:rFonts w:hint="default" w:ascii="Times New Roman" w:hAnsi="Times New Roman" w:eastAsia="宋体" w:cs="Times New Roman"/>
                <w:color w:val="auto"/>
                <w:kern w:val="0"/>
                <w:sz w:val="21"/>
                <w:szCs w:val="21"/>
                <w:highlight w:val="none"/>
              </w:rPr>
            </w:pPr>
            <w:r>
              <w:rPr>
                <w:rFonts w:hint="eastAsia" w:cs="Times New Roman"/>
                <w:color w:val="auto"/>
                <w:kern w:val="0"/>
                <w:sz w:val="21"/>
                <w:szCs w:val="21"/>
                <w:highlight w:val="none"/>
                <w:lang w:val="en-US" w:eastAsia="zh-CN"/>
              </w:rPr>
              <w:t>生物质燃烧器及烘干</w:t>
            </w:r>
            <w:r>
              <w:rPr>
                <w:rFonts w:hint="default" w:ascii="Times New Roman" w:hAnsi="Times New Roman" w:eastAsia="宋体" w:cs="Times New Roman"/>
                <w:color w:val="auto"/>
                <w:kern w:val="0"/>
                <w:sz w:val="21"/>
                <w:szCs w:val="21"/>
                <w:highlight w:val="none"/>
                <w:lang w:val="en-US" w:eastAsia="zh-CN"/>
              </w:rPr>
              <w:t>废气：</w:t>
            </w:r>
            <w:r>
              <w:rPr>
                <w:rFonts w:hint="default" w:ascii="Times New Roman" w:hAnsi="Times New Roman" w:eastAsia="宋体" w:cs="Times New Roman"/>
                <w:color w:val="auto"/>
                <w:kern w:val="0"/>
                <w:sz w:val="21"/>
                <w:szCs w:val="21"/>
                <w:highlight w:val="none"/>
              </w:rPr>
              <w:t>SO</w:t>
            </w:r>
            <w:r>
              <w:rPr>
                <w:rFonts w:hint="default" w:ascii="Times New Roman" w:hAnsi="Times New Roman" w:eastAsia="宋体" w:cs="Times New Roman"/>
                <w:color w:val="auto"/>
                <w:kern w:val="0"/>
                <w:sz w:val="21"/>
                <w:szCs w:val="21"/>
                <w:highlight w:val="none"/>
                <w:vertAlign w:val="subscript"/>
              </w:rPr>
              <w:t>2</w:t>
            </w:r>
            <w:r>
              <w:rPr>
                <w:rFonts w:hint="default" w:ascii="Times New Roman" w:hAnsi="Times New Roman" w:eastAsia="宋体" w:cs="Times New Roman"/>
                <w:color w:val="auto"/>
                <w:kern w:val="0"/>
                <w:sz w:val="21"/>
                <w:szCs w:val="21"/>
                <w:highlight w:val="none"/>
              </w:rPr>
              <w:t>排放浓度执行《工业炉窑大气污染物排放标准》（GB9078-1996）表4中二级标准，</w:t>
            </w:r>
            <w:r>
              <w:rPr>
                <w:rFonts w:hint="eastAsia" w:cs="Times New Roman"/>
                <w:color w:val="auto"/>
                <w:kern w:val="0"/>
                <w:sz w:val="21"/>
                <w:szCs w:val="21"/>
                <w:highlight w:val="none"/>
                <w:lang w:val="en-US" w:eastAsia="zh-CN"/>
              </w:rPr>
              <w:t>颗粒物</w:t>
            </w:r>
            <w:r>
              <w:rPr>
                <w:rFonts w:hint="default" w:ascii="Times New Roman" w:hAnsi="Times New Roman" w:eastAsia="宋体" w:cs="Times New Roman"/>
                <w:color w:val="auto"/>
                <w:kern w:val="0"/>
                <w:sz w:val="21"/>
                <w:szCs w:val="21"/>
                <w:highlight w:val="none"/>
                <w:lang w:eastAsia="zh-CN"/>
              </w:rPr>
              <w:t>排放浓度及烟气黑度</w:t>
            </w:r>
            <w:r>
              <w:rPr>
                <w:rFonts w:hint="default" w:ascii="Times New Roman" w:hAnsi="Times New Roman" w:eastAsia="宋体" w:cs="Times New Roman"/>
                <w:color w:val="auto"/>
                <w:kern w:val="0"/>
                <w:sz w:val="21"/>
                <w:szCs w:val="21"/>
                <w:highlight w:val="none"/>
              </w:rPr>
              <w:t>执行《工业炉窑大气污染物排放标准》（GB9078-1996）表2中二级标准</w:t>
            </w:r>
            <w:r>
              <w:rPr>
                <w:rFonts w:hint="eastAsia" w:cs="Times New Roman"/>
                <w:color w:val="auto"/>
                <w:kern w:val="0"/>
                <w:sz w:val="21"/>
                <w:szCs w:val="21"/>
                <w:highlight w:val="none"/>
                <w:lang w:val="en-US" w:eastAsia="zh-CN" w:bidi="ar"/>
              </w:rPr>
              <w:t>。工业炉窑</w:t>
            </w:r>
            <w:r>
              <w:rPr>
                <w:rFonts w:hint="eastAsia" w:cs="Times New Roman"/>
                <w:color w:val="auto"/>
                <w:kern w:val="0"/>
                <w:sz w:val="21"/>
                <w:szCs w:val="21"/>
                <w:highlight w:val="none"/>
                <w:lang w:val="en-US" w:eastAsia="zh-CN"/>
              </w:rPr>
              <w:t>周边无组织排放烟尘浓度执行</w:t>
            </w:r>
            <w:r>
              <w:rPr>
                <w:rFonts w:hint="default" w:ascii="Times New Roman" w:hAnsi="Times New Roman" w:eastAsia="宋体" w:cs="Times New Roman"/>
                <w:color w:val="auto"/>
                <w:kern w:val="0"/>
                <w:sz w:val="21"/>
                <w:szCs w:val="21"/>
                <w:highlight w:val="none"/>
              </w:rPr>
              <w:t>《工业炉窑大气污染物排放标准》（GB9078-1996）中的表</w:t>
            </w:r>
            <w:r>
              <w:rPr>
                <w:rFonts w:hint="eastAsia" w:ascii="Times New Roman" w:hAnsi="Times New Roman" w:eastAsia="宋体" w:cs="Times New Roman"/>
                <w:color w:val="auto"/>
                <w:kern w:val="0"/>
                <w:sz w:val="21"/>
                <w:szCs w:val="21"/>
                <w:highlight w:val="none"/>
                <w:lang w:val="en-US" w:eastAsia="zh-CN"/>
              </w:rPr>
              <w:t>3</w:t>
            </w:r>
            <w:r>
              <w:rPr>
                <w:rFonts w:hint="default" w:ascii="Times New Roman" w:hAnsi="Times New Roman" w:eastAsia="宋体" w:cs="Times New Roman"/>
                <w:color w:val="auto"/>
                <w:kern w:val="0"/>
                <w:sz w:val="21"/>
                <w:szCs w:val="21"/>
                <w:highlight w:val="none"/>
              </w:rPr>
              <w:t>标准</w:t>
            </w:r>
            <w:r>
              <w:rPr>
                <w:rFonts w:hint="eastAsia" w:ascii="Times New Roman" w:hAnsi="Times New Roman" w:eastAsia="宋体" w:cs="Times New Roman"/>
                <w:color w:val="auto"/>
                <w:kern w:val="0"/>
                <w:sz w:val="21"/>
                <w:szCs w:val="21"/>
                <w:highlight w:val="none"/>
                <w:lang w:eastAsia="zh-CN"/>
              </w:rPr>
              <w:t>。</w:t>
            </w:r>
          </w:p>
          <w:p w14:paraId="7642541F">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
                <w:bCs/>
                <w:color w:val="auto"/>
                <w:kern w:val="0"/>
                <w:szCs w:val="21"/>
                <w:highlight w:val="none"/>
                <w:lang w:val="en-US" w:eastAsia="zh-CN"/>
              </w:rPr>
            </w:pPr>
            <w:r>
              <w:rPr>
                <w:rFonts w:hint="default" w:ascii="Times New Roman" w:hAnsi="Times New Roman" w:eastAsia="宋体" w:cs="Times New Roman"/>
                <w:b/>
                <w:bCs/>
                <w:color w:val="auto"/>
                <w:kern w:val="0"/>
                <w:szCs w:val="21"/>
                <w:highlight w:val="none"/>
              </w:rPr>
              <w:t>表3-</w:t>
            </w:r>
            <w:r>
              <w:rPr>
                <w:rFonts w:hint="eastAsia" w:ascii="Times New Roman" w:hAnsi="Times New Roman" w:eastAsia="宋体" w:cs="Times New Roman"/>
                <w:b/>
                <w:bCs/>
                <w:color w:val="auto"/>
                <w:kern w:val="0"/>
                <w:szCs w:val="21"/>
                <w:highlight w:val="none"/>
                <w:lang w:val="en-US" w:eastAsia="zh-CN"/>
              </w:rPr>
              <w:t xml:space="preserve">7 </w:t>
            </w:r>
            <w:r>
              <w:rPr>
                <w:rFonts w:hint="eastAsia" w:cs="Times New Roman"/>
                <w:b/>
                <w:bCs/>
                <w:color w:val="auto"/>
                <w:kern w:val="0"/>
                <w:szCs w:val="21"/>
                <w:highlight w:val="none"/>
                <w:lang w:val="en-US" w:eastAsia="zh-CN"/>
              </w:rPr>
              <w:t>本项目生物质燃烧器</w:t>
            </w:r>
            <w:r>
              <w:rPr>
                <w:rFonts w:hint="default" w:ascii="Times New Roman" w:hAnsi="Times New Roman" w:eastAsia="宋体" w:cs="Times New Roman"/>
                <w:b/>
                <w:bCs/>
                <w:color w:val="auto"/>
                <w:kern w:val="0"/>
                <w:szCs w:val="21"/>
                <w:highlight w:val="none"/>
              </w:rPr>
              <w:t>污染物排放</w:t>
            </w:r>
            <w:r>
              <w:rPr>
                <w:rFonts w:hint="eastAsia" w:cs="Times New Roman"/>
                <w:b/>
                <w:bCs/>
                <w:color w:val="auto"/>
                <w:kern w:val="0"/>
                <w:szCs w:val="21"/>
                <w:highlight w:val="none"/>
                <w:lang w:val="en-US" w:eastAsia="zh-CN"/>
              </w:rPr>
              <w:t>执行</w:t>
            </w:r>
            <w:r>
              <w:rPr>
                <w:rFonts w:hint="default" w:ascii="Times New Roman" w:hAnsi="Times New Roman" w:eastAsia="宋体" w:cs="Times New Roman"/>
                <w:b/>
                <w:bCs/>
                <w:color w:val="auto"/>
                <w:kern w:val="0"/>
                <w:szCs w:val="21"/>
                <w:highlight w:val="none"/>
              </w:rPr>
              <w:t>标准</w:t>
            </w:r>
          </w:p>
          <w:tbl>
            <w:tblPr>
              <w:tblStyle w:val="34"/>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68"/>
              <w:gridCol w:w="1568"/>
              <w:gridCol w:w="2231"/>
              <w:gridCol w:w="2667"/>
            </w:tblGrid>
            <w:tr w14:paraId="50B5A72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1" w:type="pct"/>
                  <w:gridSpan w:val="2"/>
                  <w:noWrap w:val="0"/>
                  <w:vAlign w:val="center"/>
                </w:tcPr>
                <w:p w14:paraId="7360B9AC">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污染物项目</w:t>
                  </w:r>
                </w:p>
              </w:tc>
              <w:tc>
                <w:tcPr>
                  <w:tcW w:w="1388" w:type="pct"/>
                  <w:noWrap w:val="0"/>
                  <w:vAlign w:val="center"/>
                </w:tcPr>
                <w:p w14:paraId="1AA6FE81">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二级</w:t>
                  </w:r>
                  <w:r>
                    <w:rPr>
                      <w:rFonts w:hint="default" w:ascii="Times New Roman" w:hAnsi="Times New Roman" w:eastAsia="宋体" w:cs="Times New Roman"/>
                      <w:color w:val="auto"/>
                      <w:sz w:val="18"/>
                      <w:szCs w:val="18"/>
                      <w:highlight w:val="none"/>
                    </w:rPr>
                    <w:t>（mg/m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w:t>
                  </w:r>
                </w:p>
              </w:tc>
              <w:tc>
                <w:tcPr>
                  <w:tcW w:w="1659" w:type="pct"/>
                  <w:noWrap w:val="0"/>
                  <w:vAlign w:val="center"/>
                </w:tcPr>
                <w:p w14:paraId="1BF3EA9B">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污染物排放监控位置</w:t>
                  </w:r>
                </w:p>
              </w:tc>
            </w:tr>
            <w:tr w14:paraId="385B8B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1" w:type="pct"/>
                  <w:gridSpan w:val="2"/>
                  <w:noWrap w:val="0"/>
                  <w:vAlign w:val="center"/>
                </w:tcPr>
                <w:p w14:paraId="421D17F3">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val="en-US" w:eastAsia="zh-CN"/>
                    </w:rPr>
                  </w:pPr>
                  <w:r>
                    <w:rPr>
                      <w:rFonts w:hint="eastAsia" w:cs="Times New Roman"/>
                      <w:bCs/>
                      <w:color w:val="auto"/>
                      <w:kern w:val="0"/>
                      <w:sz w:val="18"/>
                      <w:szCs w:val="18"/>
                      <w:highlight w:val="none"/>
                      <w:lang w:val="en-US" w:eastAsia="zh-CN"/>
                    </w:rPr>
                    <w:t>颗粒物</w:t>
                  </w:r>
                </w:p>
              </w:tc>
              <w:tc>
                <w:tcPr>
                  <w:tcW w:w="1388" w:type="pct"/>
                  <w:noWrap w:val="0"/>
                  <w:vAlign w:val="center"/>
                </w:tcPr>
                <w:p w14:paraId="4D8C5BE8">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200</w:t>
                  </w:r>
                </w:p>
              </w:tc>
              <w:tc>
                <w:tcPr>
                  <w:tcW w:w="1659" w:type="pct"/>
                  <w:vMerge w:val="restart"/>
                  <w:noWrap w:val="0"/>
                  <w:vAlign w:val="center"/>
                </w:tcPr>
                <w:p w14:paraId="238244FE">
                  <w:pPr>
                    <w:keepNext w:val="0"/>
                    <w:keepLines w:val="0"/>
                    <w:widowControl/>
                    <w:suppressLineNumbers w:val="0"/>
                    <w:adjustRightInd w:val="0"/>
                    <w:snapToGrid w:val="0"/>
                    <w:spacing w:before="0" w:beforeAutospacing="0" w:after="0" w:afterAutospacing="0"/>
                    <w:ind w:left="0" w:right="0"/>
                    <w:jc w:val="center"/>
                    <w:textAlignment w:val="baseline"/>
                    <w:rPr>
                      <w:rFonts w:hint="eastAsia" w:ascii="Times New Roman" w:hAnsi="Times New Roman" w:eastAsia="宋体" w:cs="Times New Roman"/>
                      <w:bCs/>
                      <w:color w:val="auto"/>
                      <w:kern w:val="0"/>
                      <w:sz w:val="18"/>
                      <w:szCs w:val="18"/>
                      <w:highlight w:val="none"/>
                      <w:lang w:eastAsia="zh-CN"/>
                    </w:rPr>
                  </w:pPr>
                  <w:r>
                    <w:rPr>
                      <w:rFonts w:hint="eastAsia" w:cs="Times New Roman"/>
                      <w:color w:val="auto"/>
                      <w:sz w:val="18"/>
                      <w:szCs w:val="18"/>
                      <w:highlight w:val="none"/>
                      <w:lang w:eastAsia="zh-CN"/>
                    </w:rPr>
                    <w:t>烟囱</w:t>
                  </w:r>
                </w:p>
              </w:tc>
            </w:tr>
            <w:tr w14:paraId="23DBD3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1" w:type="pct"/>
                  <w:gridSpan w:val="2"/>
                  <w:noWrap w:val="0"/>
                  <w:vAlign w:val="center"/>
                </w:tcPr>
                <w:p w14:paraId="06D0459D">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二氧化硫</w:t>
                  </w:r>
                </w:p>
              </w:tc>
              <w:tc>
                <w:tcPr>
                  <w:tcW w:w="1388" w:type="pct"/>
                  <w:noWrap w:val="0"/>
                  <w:vAlign w:val="center"/>
                </w:tcPr>
                <w:p w14:paraId="30ACFA45">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850</w:t>
                  </w:r>
                </w:p>
              </w:tc>
              <w:tc>
                <w:tcPr>
                  <w:tcW w:w="1659" w:type="pct"/>
                  <w:vMerge w:val="continue"/>
                  <w:noWrap w:val="0"/>
                  <w:vAlign w:val="center"/>
                </w:tcPr>
                <w:p w14:paraId="73C9B1AF">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18"/>
                      <w:szCs w:val="18"/>
                      <w:highlight w:val="none"/>
                    </w:rPr>
                  </w:pPr>
                </w:p>
              </w:tc>
            </w:tr>
            <w:tr w14:paraId="08961A4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1" w:type="pct"/>
                  <w:gridSpan w:val="2"/>
                  <w:noWrap w:val="0"/>
                  <w:vAlign w:val="center"/>
                </w:tcPr>
                <w:p w14:paraId="38FE6F5A">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eastAsia="zh-CN"/>
                    </w:rPr>
                  </w:pPr>
                  <w:r>
                    <w:rPr>
                      <w:rFonts w:hint="default" w:ascii="Times New Roman" w:hAnsi="Times New Roman" w:eastAsia="宋体" w:cs="Times New Roman"/>
                      <w:bCs/>
                      <w:color w:val="auto"/>
                      <w:kern w:val="0"/>
                      <w:sz w:val="18"/>
                      <w:szCs w:val="18"/>
                      <w:highlight w:val="none"/>
                      <w:lang w:eastAsia="zh-CN"/>
                    </w:rPr>
                    <w:t>氮氧化物</w:t>
                  </w:r>
                </w:p>
              </w:tc>
              <w:tc>
                <w:tcPr>
                  <w:tcW w:w="1388" w:type="pct"/>
                  <w:noWrap w:val="0"/>
                  <w:vAlign w:val="center"/>
                </w:tcPr>
                <w:p w14:paraId="0788D804">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lang w:val="en-US" w:eastAsia="zh-CN"/>
                    </w:rPr>
                  </w:pPr>
                  <w:r>
                    <w:rPr>
                      <w:rFonts w:hint="eastAsia" w:cs="Times New Roman"/>
                      <w:bCs/>
                      <w:color w:val="auto"/>
                      <w:kern w:val="0"/>
                      <w:sz w:val="18"/>
                      <w:szCs w:val="18"/>
                      <w:highlight w:val="none"/>
                      <w:lang w:val="en-US" w:eastAsia="zh-CN"/>
                    </w:rPr>
                    <w:t>-</w:t>
                  </w:r>
                </w:p>
              </w:tc>
              <w:tc>
                <w:tcPr>
                  <w:tcW w:w="1659" w:type="pct"/>
                  <w:vMerge w:val="continue"/>
                  <w:noWrap w:val="0"/>
                  <w:vAlign w:val="center"/>
                </w:tcPr>
                <w:p w14:paraId="37EC5D26">
                  <w:pPr>
                    <w:keepNext w:val="0"/>
                    <w:keepLines w:val="0"/>
                    <w:widowControl/>
                    <w:suppressLineNumbers w:val="0"/>
                    <w:adjustRightInd w:val="0"/>
                    <w:snapToGrid w:val="0"/>
                    <w:spacing w:before="0" w:beforeAutospacing="0" w:after="0" w:afterAutospacing="0"/>
                    <w:ind w:left="0" w:right="0"/>
                    <w:jc w:val="center"/>
                    <w:rPr>
                      <w:rFonts w:hint="default" w:ascii="Times New Roman" w:hAnsi="Times New Roman" w:eastAsia="宋体" w:cs="Times New Roman"/>
                      <w:bCs/>
                      <w:color w:val="auto"/>
                      <w:kern w:val="0"/>
                      <w:sz w:val="18"/>
                      <w:szCs w:val="18"/>
                      <w:highlight w:val="none"/>
                    </w:rPr>
                  </w:pPr>
                </w:p>
              </w:tc>
            </w:tr>
            <w:tr w14:paraId="4F38A2D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1" w:type="pct"/>
                  <w:gridSpan w:val="2"/>
                  <w:noWrap w:val="0"/>
                  <w:vAlign w:val="center"/>
                </w:tcPr>
                <w:p w14:paraId="5D62213A">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烟气黑度（</w:t>
                  </w:r>
                  <w:r>
                    <w:rPr>
                      <w:rFonts w:hint="eastAsia" w:ascii="Times New Roman" w:hAnsi="Times New Roman" w:eastAsia="宋体" w:cs="Times New Roman"/>
                      <w:bCs/>
                      <w:color w:val="auto"/>
                      <w:kern w:val="0"/>
                      <w:sz w:val="18"/>
                      <w:szCs w:val="18"/>
                      <w:highlight w:val="none"/>
                      <w:lang w:eastAsia="zh-CN"/>
                    </w:rPr>
                    <w:t>林格曼黑度</w:t>
                  </w:r>
                  <w:r>
                    <w:rPr>
                      <w:rFonts w:hint="default" w:ascii="Times New Roman" w:hAnsi="Times New Roman" w:eastAsia="宋体" w:cs="Times New Roman"/>
                      <w:bCs/>
                      <w:color w:val="auto"/>
                      <w:kern w:val="0"/>
                      <w:sz w:val="18"/>
                      <w:szCs w:val="18"/>
                      <w:highlight w:val="none"/>
                    </w:rPr>
                    <w:t>，级）</w:t>
                  </w:r>
                </w:p>
              </w:tc>
              <w:tc>
                <w:tcPr>
                  <w:tcW w:w="1388" w:type="pct"/>
                  <w:noWrap w:val="0"/>
                  <w:vAlign w:val="center"/>
                </w:tcPr>
                <w:p w14:paraId="6A9DDBBA">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default" w:ascii="Times New Roman" w:hAnsi="Times New Roman" w:eastAsia="宋体" w:cs="Times New Roman"/>
                      <w:bCs/>
                      <w:color w:val="auto"/>
                      <w:kern w:val="0"/>
                      <w:sz w:val="18"/>
                      <w:szCs w:val="18"/>
                      <w:highlight w:val="none"/>
                    </w:rPr>
                    <w:t>≤1</w:t>
                  </w:r>
                </w:p>
              </w:tc>
              <w:tc>
                <w:tcPr>
                  <w:tcW w:w="1659" w:type="pct"/>
                  <w:noWrap w:val="0"/>
                  <w:vAlign w:val="center"/>
                </w:tcPr>
                <w:p w14:paraId="601A4C8D">
                  <w:pPr>
                    <w:keepNext w:val="0"/>
                    <w:keepLines w:val="0"/>
                    <w:widowControl/>
                    <w:suppressLineNumbers w:val="0"/>
                    <w:adjustRightInd w:val="0"/>
                    <w:snapToGrid w:val="0"/>
                    <w:spacing w:before="0" w:beforeAutospacing="0" w:after="0" w:afterAutospacing="0"/>
                    <w:ind w:left="0" w:right="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color w:val="auto"/>
                      <w:sz w:val="18"/>
                      <w:szCs w:val="18"/>
                      <w:highlight w:val="none"/>
                      <w:lang w:eastAsia="zh-CN"/>
                    </w:rPr>
                    <w:t>烟囱</w:t>
                  </w:r>
                  <w:r>
                    <w:rPr>
                      <w:rFonts w:hint="default" w:ascii="Times New Roman" w:hAnsi="Times New Roman" w:eastAsia="宋体" w:cs="Times New Roman"/>
                      <w:bCs/>
                      <w:color w:val="auto"/>
                      <w:kern w:val="0"/>
                      <w:sz w:val="18"/>
                      <w:szCs w:val="18"/>
                      <w:highlight w:val="none"/>
                    </w:rPr>
                    <w:t>排放口</w:t>
                  </w:r>
                </w:p>
              </w:tc>
            </w:tr>
            <w:tr w14:paraId="52E0435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5" w:type="pct"/>
                  <w:vMerge w:val="restart"/>
                  <w:noWrap w:val="0"/>
                  <w:vAlign w:val="center"/>
                </w:tcPr>
                <w:p w14:paraId="69F6820D">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bCs/>
                      <w:color w:val="auto"/>
                      <w:kern w:val="0"/>
                      <w:sz w:val="18"/>
                      <w:szCs w:val="18"/>
                      <w:highlight w:val="none"/>
                      <w:lang w:val="en-US" w:eastAsia="zh-CN"/>
                    </w:rPr>
                    <w:t>工业炉窑无组织排放烟尘</w:t>
                  </w:r>
                </w:p>
              </w:tc>
              <w:tc>
                <w:tcPr>
                  <w:tcW w:w="975" w:type="pct"/>
                  <w:noWrap w:val="0"/>
                  <w:vAlign w:val="center"/>
                </w:tcPr>
                <w:p w14:paraId="23FAB9E3">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bCs/>
                      <w:color w:val="auto"/>
                      <w:kern w:val="0"/>
                      <w:sz w:val="18"/>
                      <w:szCs w:val="18"/>
                      <w:highlight w:val="none"/>
                      <w:lang w:val="en-US" w:eastAsia="zh-CN"/>
                    </w:rPr>
                    <w:t>设置方式</w:t>
                  </w:r>
                </w:p>
              </w:tc>
              <w:tc>
                <w:tcPr>
                  <w:tcW w:w="1388" w:type="pct"/>
                  <w:noWrap w:val="0"/>
                  <w:vAlign w:val="center"/>
                </w:tcPr>
                <w:p w14:paraId="3C9530B1">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bCs/>
                      <w:color w:val="auto"/>
                      <w:kern w:val="0"/>
                      <w:sz w:val="18"/>
                      <w:szCs w:val="18"/>
                      <w:highlight w:val="none"/>
                      <w:lang w:val="en-US" w:eastAsia="zh-CN"/>
                    </w:rPr>
                    <w:t>炉窑类别</w:t>
                  </w:r>
                </w:p>
              </w:tc>
              <w:tc>
                <w:tcPr>
                  <w:tcW w:w="1659" w:type="pct"/>
                  <w:noWrap w:val="0"/>
                  <w:vAlign w:val="center"/>
                </w:tcPr>
                <w:p w14:paraId="3A0DB56E">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eastAsia" w:cs="Times New Roman"/>
                      <w:color w:val="auto"/>
                      <w:sz w:val="18"/>
                      <w:szCs w:val="18"/>
                      <w:highlight w:val="none"/>
                      <w:lang w:eastAsia="zh-CN"/>
                    </w:rPr>
                  </w:pPr>
                  <w:r>
                    <w:rPr>
                      <w:rFonts w:hint="eastAsia" w:cs="Times New Roman"/>
                      <w:color w:val="auto"/>
                      <w:sz w:val="18"/>
                      <w:szCs w:val="18"/>
                      <w:highlight w:val="none"/>
                      <w:lang w:val="en-US" w:eastAsia="zh-CN"/>
                    </w:rPr>
                    <w:t>无组织排放烟尘最高允许浓度</w:t>
                  </w:r>
                  <w:r>
                    <w:rPr>
                      <w:rFonts w:hint="default" w:ascii="Times New Roman" w:hAnsi="Times New Roman" w:eastAsia="宋体" w:cs="Times New Roman"/>
                      <w:color w:val="auto"/>
                      <w:sz w:val="18"/>
                      <w:szCs w:val="18"/>
                      <w:highlight w:val="none"/>
                    </w:rPr>
                    <w:t>（mg/m</w:t>
                  </w:r>
                  <w:r>
                    <w:rPr>
                      <w:rFonts w:hint="default" w:ascii="Times New Roman" w:hAnsi="Times New Roman" w:eastAsia="宋体" w:cs="Times New Roman"/>
                      <w:color w:val="auto"/>
                      <w:sz w:val="18"/>
                      <w:szCs w:val="18"/>
                      <w:highlight w:val="none"/>
                      <w:vertAlign w:val="superscript"/>
                    </w:rPr>
                    <w:t>3</w:t>
                  </w:r>
                  <w:r>
                    <w:rPr>
                      <w:rFonts w:hint="default" w:ascii="Times New Roman" w:hAnsi="Times New Roman" w:eastAsia="宋体" w:cs="Times New Roman"/>
                      <w:color w:val="auto"/>
                      <w:sz w:val="18"/>
                      <w:szCs w:val="18"/>
                      <w:highlight w:val="none"/>
                    </w:rPr>
                    <w:t>）</w:t>
                  </w:r>
                </w:p>
              </w:tc>
            </w:tr>
            <w:tr w14:paraId="1EEC53F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5" w:type="pct"/>
                  <w:vMerge w:val="continue"/>
                  <w:noWrap w:val="0"/>
                  <w:vAlign w:val="center"/>
                </w:tcPr>
                <w:p w14:paraId="2274178B">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p>
              </w:tc>
              <w:tc>
                <w:tcPr>
                  <w:tcW w:w="975" w:type="pct"/>
                  <w:noWrap w:val="0"/>
                  <w:vAlign w:val="center"/>
                </w:tcPr>
                <w:p w14:paraId="043A91CC">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bCs/>
                      <w:color w:val="auto"/>
                      <w:kern w:val="0"/>
                      <w:sz w:val="18"/>
                      <w:szCs w:val="18"/>
                      <w:highlight w:val="none"/>
                      <w:lang w:val="en-US" w:eastAsia="zh-CN"/>
                    </w:rPr>
                    <w:t>有车间厂房</w:t>
                  </w:r>
                </w:p>
              </w:tc>
              <w:tc>
                <w:tcPr>
                  <w:tcW w:w="1388" w:type="pct"/>
                  <w:noWrap w:val="0"/>
                  <w:vAlign w:val="center"/>
                </w:tcPr>
                <w:p w14:paraId="64228BA1">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default" w:ascii="Times New Roman" w:hAnsi="Times New Roman" w:eastAsia="宋体" w:cs="Times New Roman"/>
                      <w:bCs/>
                      <w:color w:val="auto"/>
                      <w:kern w:val="0"/>
                      <w:sz w:val="18"/>
                      <w:szCs w:val="18"/>
                      <w:highlight w:val="none"/>
                    </w:rPr>
                  </w:pPr>
                  <w:r>
                    <w:rPr>
                      <w:rFonts w:hint="eastAsia" w:cs="Times New Roman"/>
                      <w:bCs/>
                      <w:color w:val="auto"/>
                      <w:kern w:val="0"/>
                      <w:sz w:val="18"/>
                      <w:szCs w:val="18"/>
                      <w:highlight w:val="none"/>
                      <w:lang w:val="en-US" w:eastAsia="zh-CN"/>
                    </w:rPr>
                    <w:t>其他炉窑</w:t>
                  </w:r>
                </w:p>
              </w:tc>
              <w:tc>
                <w:tcPr>
                  <w:tcW w:w="1659" w:type="pct"/>
                  <w:noWrap w:val="0"/>
                  <w:vAlign w:val="center"/>
                </w:tcPr>
                <w:p w14:paraId="32EA560F">
                  <w:pPr>
                    <w:keepNext w:val="0"/>
                    <w:keepLines w:val="0"/>
                    <w:widowControl/>
                    <w:suppressLineNumbers w:val="0"/>
                    <w:adjustRightInd w:val="0"/>
                    <w:snapToGrid w:val="0"/>
                    <w:spacing w:before="0" w:beforeAutospacing="0" w:after="0" w:afterAutospacing="0"/>
                    <w:ind w:left="0" w:leftChars="0" w:right="0" w:rightChars="0"/>
                    <w:jc w:val="center"/>
                    <w:textAlignment w:val="baseline"/>
                    <w:rPr>
                      <w:rFonts w:hint="eastAsia" w:cs="Times New Roman"/>
                      <w:color w:val="auto"/>
                      <w:sz w:val="18"/>
                      <w:szCs w:val="18"/>
                      <w:highlight w:val="none"/>
                      <w:lang w:eastAsia="zh-CN"/>
                    </w:rPr>
                  </w:pPr>
                  <w:r>
                    <w:rPr>
                      <w:rFonts w:hint="eastAsia" w:cs="Times New Roman"/>
                      <w:color w:val="auto"/>
                      <w:sz w:val="18"/>
                      <w:szCs w:val="18"/>
                      <w:highlight w:val="none"/>
                      <w:lang w:val="en-US" w:eastAsia="zh-CN"/>
                    </w:rPr>
                    <w:t>5</w:t>
                  </w:r>
                </w:p>
              </w:tc>
            </w:tr>
          </w:tbl>
          <w:p w14:paraId="0AF3052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宋体" w:hAnsi="宋体" w:cs="宋体"/>
                <w:b/>
                <w:bCs/>
                <w:color w:val="auto"/>
                <w:szCs w:val="21"/>
                <w:highlight w:val="none"/>
              </w:rPr>
            </w:pPr>
            <w:r>
              <w:rPr>
                <w:rFonts w:hint="eastAsia" w:ascii="宋体" w:hAnsi="宋体" w:cs="宋体"/>
                <w:b w:val="0"/>
                <w:bCs w:val="0"/>
                <w:color w:val="auto"/>
                <w:szCs w:val="21"/>
                <w:highlight w:val="none"/>
                <w:lang w:val="en-US" w:eastAsia="zh-CN"/>
              </w:rPr>
              <w:t>生产工序产生</w:t>
            </w:r>
            <w:r>
              <w:rPr>
                <w:rFonts w:hint="eastAsia"/>
                <w:b w:val="0"/>
                <w:bCs w:val="0"/>
                <w:color w:val="auto"/>
                <w:highlight w:val="none"/>
              </w:rPr>
              <w:t>颗粒物</w:t>
            </w:r>
            <w:r>
              <w:rPr>
                <w:rFonts w:hint="default"/>
                <w:b w:val="0"/>
                <w:bCs w:val="0"/>
                <w:color w:val="auto"/>
                <w:kern w:val="0"/>
                <w:szCs w:val="21"/>
                <w:highlight w:val="none"/>
              </w:rPr>
              <w:t>执行《大气污染物综合排放标准》（GB16297-1996）表2中的二级排放标准及无组织排放限值</w:t>
            </w:r>
            <w:r>
              <w:rPr>
                <w:rFonts w:hint="eastAsia"/>
                <w:b w:val="0"/>
                <w:bCs w:val="0"/>
                <w:color w:val="auto"/>
                <w:kern w:val="0"/>
                <w:szCs w:val="21"/>
                <w:highlight w:val="none"/>
                <w:lang w:eastAsia="zh-CN"/>
              </w:rPr>
              <w:t>。</w:t>
            </w:r>
          </w:p>
          <w:p w14:paraId="169A1BE1">
            <w:pPr>
              <w:pStyle w:val="142"/>
              <w:keepNext w:val="0"/>
              <w:keepLines w:val="0"/>
              <w:suppressLineNumbers w:val="0"/>
              <w:snapToGrid/>
              <w:spacing w:before="0" w:beforeAutospacing="0" w:after="0" w:afterAutospacing="0" w:line="240" w:lineRule="auto"/>
              <w:ind w:left="0" w:right="0" w:firstLine="0" w:firstLineChars="0"/>
              <w:jc w:val="center"/>
              <w:rPr>
                <w:rFonts w:hint="eastAsia" w:ascii="宋体" w:hAnsi="宋体" w:cs="宋体"/>
                <w:b/>
                <w:color w:val="auto"/>
                <w:szCs w:val="21"/>
                <w:highlight w:val="none"/>
              </w:rPr>
            </w:pPr>
            <w:r>
              <w:rPr>
                <w:rFonts w:hint="eastAsia" w:ascii="宋体" w:hAnsi="宋体" w:cs="宋体"/>
                <w:b/>
                <w:bCs/>
                <w:color w:val="auto"/>
                <w:kern w:val="0"/>
                <w:sz w:val="21"/>
                <w:szCs w:val="21"/>
                <w:highlight w:val="none"/>
                <w:lang w:val="en-US" w:eastAsia="zh-CN"/>
              </w:rPr>
              <w:t>表</w:t>
            </w:r>
            <w:r>
              <w:rPr>
                <w:rFonts w:hint="default" w:ascii="Times New Roman" w:hAnsi="Times New Roman" w:cs="Times New Roman"/>
                <w:b/>
                <w:bCs/>
                <w:color w:val="auto"/>
                <w:kern w:val="0"/>
                <w:sz w:val="21"/>
                <w:szCs w:val="21"/>
                <w:highlight w:val="none"/>
                <w:lang w:val="en-US" w:eastAsia="zh-CN"/>
              </w:rPr>
              <w:t>3-</w:t>
            </w:r>
            <w:r>
              <w:rPr>
                <w:rFonts w:hint="eastAsia" w:cs="Times New Roman"/>
                <w:b/>
                <w:bCs/>
                <w:color w:val="auto"/>
                <w:kern w:val="0"/>
                <w:sz w:val="21"/>
                <w:szCs w:val="21"/>
                <w:highlight w:val="none"/>
                <w:lang w:val="en-US" w:eastAsia="zh-CN"/>
              </w:rPr>
              <w:t>8</w:t>
            </w:r>
            <w:r>
              <w:rPr>
                <w:rFonts w:hint="eastAsia" w:ascii="宋体" w:hAnsi="宋体" w:cs="宋体"/>
                <w:color w:val="auto"/>
                <w:kern w:val="0"/>
                <w:sz w:val="21"/>
                <w:szCs w:val="21"/>
                <w:highlight w:val="none"/>
                <w:lang w:val="en-US" w:eastAsia="zh-CN"/>
              </w:rPr>
              <w:t xml:space="preserve"> </w:t>
            </w:r>
            <w:r>
              <w:rPr>
                <w:rFonts w:hint="eastAsia" w:ascii="宋体" w:hAnsi="宋体" w:cs="宋体"/>
                <w:b/>
                <w:color w:val="auto"/>
                <w:szCs w:val="21"/>
                <w:highlight w:val="none"/>
              </w:rPr>
              <w:t>大气污染物综合排放标准</w:t>
            </w:r>
          </w:p>
          <w:tbl>
            <w:tblPr>
              <w:tblStyle w:val="34"/>
              <w:tblW w:w="4960"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60" w:type="dxa"/>
                <w:bottom w:w="0" w:type="dxa"/>
                <w:right w:w="60" w:type="dxa"/>
              </w:tblCellMar>
            </w:tblPr>
            <w:tblGrid>
              <w:gridCol w:w="1090"/>
              <w:gridCol w:w="1245"/>
              <w:gridCol w:w="1195"/>
              <w:gridCol w:w="1625"/>
              <w:gridCol w:w="1695"/>
              <w:gridCol w:w="1124"/>
            </w:tblGrid>
            <w:tr w14:paraId="5E900B0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340" w:hRule="atLeast"/>
                <w:jc w:val="center"/>
              </w:trPr>
              <w:tc>
                <w:tcPr>
                  <w:tcW w:w="1090" w:type="dxa"/>
                  <w:vMerge w:val="restart"/>
                  <w:noWrap w:val="0"/>
                  <w:vAlign w:val="center"/>
                </w:tcPr>
                <w:p w14:paraId="7755F054">
                  <w:pPr>
                    <w:keepNext w:val="0"/>
                    <w:keepLines w:val="0"/>
                    <w:suppressLineNumbers w:val="0"/>
                    <w:adjustRightInd w:val="0"/>
                    <w:snapToGrid w:val="0"/>
                    <w:spacing w:before="0" w:beforeAutospacing="0" w:after="0" w:afterAutospacing="0"/>
                    <w:ind w:left="0" w:right="0"/>
                    <w:jc w:val="center"/>
                    <w:rPr>
                      <w:rFonts w:hint="default"/>
                      <w:color w:val="auto"/>
                      <w:kern w:val="0"/>
                      <w:sz w:val="18"/>
                      <w:szCs w:val="18"/>
                      <w:highlight w:val="none"/>
                    </w:rPr>
                  </w:pPr>
                  <w:r>
                    <w:rPr>
                      <w:rFonts w:hint="default"/>
                      <w:color w:val="auto"/>
                      <w:kern w:val="0"/>
                      <w:sz w:val="18"/>
                      <w:szCs w:val="18"/>
                      <w:highlight w:val="none"/>
                    </w:rPr>
                    <w:t>污染物</w:t>
                  </w:r>
                </w:p>
              </w:tc>
              <w:tc>
                <w:tcPr>
                  <w:tcW w:w="1245" w:type="dxa"/>
                  <w:vMerge w:val="restart"/>
                  <w:noWrap w:val="0"/>
                  <w:vAlign w:val="center"/>
                </w:tcPr>
                <w:p w14:paraId="4B4976CB">
                  <w:pPr>
                    <w:keepNext w:val="0"/>
                    <w:keepLines w:val="0"/>
                    <w:suppressLineNumbers w:val="0"/>
                    <w:adjustRightInd w:val="0"/>
                    <w:snapToGrid w:val="0"/>
                    <w:spacing w:before="0" w:beforeAutospacing="0" w:after="0" w:afterAutospacing="0"/>
                    <w:ind w:left="0" w:right="0"/>
                    <w:jc w:val="center"/>
                    <w:rPr>
                      <w:rFonts w:hint="default"/>
                      <w:color w:val="auto"/>
                      <w:kern w:val="0"/>
                      <w:sz w:val="18"/>
                      <w:szCs w:val="18"/>
                      <w:highlight w:val="none"/>
                    </w:rPr>
                  </w:pPr>
                  <w:r>
                    <w:rPr>
                      <w:rFonts w:hint="default"/>
                      <w:color w:val="auto"/>
                      <w:kern w:val="0"/>
                      <w:sz w:val="18"/>
                      <w:szCs w:val="18"/>
                      <w:highlight w:val="none"/>
                    </w:rPr>
                    <w:t>最高允许排放浓度（mg/m</w:t>
                  </w:r>
                  <w:r>
                    <w:rPr>
                      <w:rFonts w:hint="default"/>
                      <w:color w:val="auto"/>
                      <w:kern w:val="0"/>
                      <w:sz w:val="18"/>
                      <w:szCs w:val="18"/>
                      <w:highlight w:val="none"/>
                      <w:vertAlign w:val="superscript"/>
                    </w:rPr>
                    <w:t>3</w:t>
                  </w:r>
                  <w:r>
                    <w:rPr>
                      <w:rFonts w:hint="default"/>
                      <w:color w:val="auto"/>
                      <w:kern w:val="0"/>
                      <w:sz w:val="18"/>
                      <w:szCs w:val="18"/>
                      <w:highlight w:val="none"/>
                    </w:rPr>
                    <w:t>）</w:t>
                  </w:r>
                </w:p>
              </w:tc>
              <w:tc>
                <w:tcPr>
                  <w:tcW w:w="2820" w:type="dxa"/>
                  <w:gridSpan w:val="2"/>
                  <w:noWrap w:val="0"/>
                  <w:vAlign w:val="center"/>
                </w:tcPr>
                <w:p w14:paraId="58EC154A">
                  <w:pPr>
                    <w:keepNext w:val="0"/>
                    <w:keepLines w:val="0"/>
                    <w:suppressLineNumbers w:val="0"/>
                    <w:adjustRightInd w:val="0"/>
                    <w:snapToGrid w:val="0"/>
                    <w:spacing w:before="0" w:beforeAutospacing="0" w:after="0" w:afterAutospacing="0"/>
                    <w:ind w:left="0" w:right="0"/>
                    <w:jc w:val="center"/>
                    <w:rPr>
                      <w:rFonts w:hint="default"/>
                      <w:color w:val="auto"/>
                      <w:kern w:val="0"/>
                      <w:sz w:val="18"/>
                      <w:szCs w:val="18"/>
                      <w:highlight w:val="none"/>
                    </w:rPr>
                  </w:pPr>
                  <w:r>
                    <w:rPr>
                      <w:rFonts w:hint="eastAsia"/>
                      <w:color w:val="auto"/>
                      <w:kern w:val="0"/>
                      <w:sz w:val="18"/>
                      <w:szCs w:val="18"/>
                      <w:highlight w:val="none"/>
                    </w:rPr>
                    <w:t>二级</w:t>
                  </w:r>
                </w:p>
              </w:tc>
              <w:tc>
                <w:tcPr>
                  <w:tcW w:w="2819" w:type="dxa"/>
                  <w:gridSpan w:val="2"/>
                  <w:vMerge w:val="restart"/>
                  <w:noWrap w:val="0"/>
                  <w:vAlign w:val="center"/>
                </w:tcPr>
                <w:p w14:paraId="0894033E">
                  <w:pPr>
                    <w:keepNext w:val="0"/>
                    <w:keepLines w:val="0"/>
                    <w:suppressLineNumbers w:val="0"/>
                    <w:adjustRightInd w:val="0"/>
                    <w:snapToGrid w:val="0"/>
                    <w:spacing w:before="0" w:beforeAutospacing="0" w:after="0" w:afterAutospacing="0"/>
                    <w:ind w:left="0" w:right="0"/>
                    <w:jc w:val="center"/>
                    <w:rPr>
                      <w:rFonts w:hint="default"/>
                      <w:color w:val="auto"/>
                      <w:kern w:val="0"/>
                      <w:sz w:val="18"/>
                      <w:szCs w:val="18"/>
                      <w:highlight w:val="none"/>
                    </w:rPr>
                  </w:pPr>
                  <w:r>
                    <w:rPr>
                      <w:rFonts w:hint="default"/>
                      <w:color w:val="auto"/>
                      <w:sz w:val="18"/>
                      <w:szCs w:val="18"/>
                      <w:highlight w:val="none"/>
                    </w:rPr>
                    <w:t>无组织排放监控浓度限值（mg/m</w:t>
                  </w:r>
                  <w:r>
                    <w:rPr>
                      <w:rFonts w:hint="default"/>
                      <w:color w:val="auto"/>
                      <w:sz w:val="18"/>
                      <w:szCs w:val="18"/>
                      <w:highlight w:val="none"/>
                      <w:vertAlign w:val="superscript"/>
                    </w:rPr>
                    <w:t>3</w:t>
                  </w:r>
                  <w:r>
                    <w:rPr>
                      <w:rFonts w:hint="default"/>
                      <w:color w:val="auto"/>
                      <w:sz w:val="18"/>
                      <w:szCs w:val="18"/>
                      <w:highlight w:val="none"/>
                    </w:rPr>
                    <w:t>）</w:t>
                  </w:r>
                </w:p>
              </w:tc>
            </w:tr>
            <w:tr w14:paraId="545099E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340" w:hRule="atLeast"/>
                <w:jc w:val="center"/>
              </w:trPr>
              <w:tc>
                <w:tcPr>
                  <w:tcW w:w="1090" w:type="dxa"/>
                  <w:vMerge w:val="continue"/>
                  <w:noWrap w:val="0"/>
                  <w:vAlign w:val="center"/>
                </w:tcPr>
                <w:p w14:paraId="42A9C0E7">
                  <w:pPr>
                    <w:keepNext w:val="0"/>
                    <w:keepLines w:val="0"/>
                    <w:suppressLineNumbers w:val="0"/>
                    <w:adjustRightInd w:val="0"/>
                    <w:snapToGrid w:val="0"/>
                    <w:spacing w:before="0" w:beforeAutospacing="0" w:after="0" w:afterAutospacing="0"/>
                    <w:ind w:left="0" w:right="0"/>
                    <w:jc w:val="center"/>
                    <w:rPr>
                      <w:rFonts w:hint="default"/>
                      <w:color w:val="auto"/>
                      <w:kern w:val="0"/>
                      <w:sz w:val="18"/>
                      <w:szCs w:val="18"/>
                      <w:highlight w:val="none"/>
                    </w:rPr>
                  </w:pPr>
                </w:p>
              </w:tc>
              <w:tc>
                <w:tcPr>
                  <w:tcW w:w="1245" w:type="dxa"/>
                  <w:vMerge w:val="continue"/>
                  <w:noWrap w:val="0"/>
                  <w:vAlign w:val="center"/>
                </w:tcPr>
                <w:p w14:paraId="06FF50C4">
                  <w:pPr>
                    <w:keepNext w:val="0"/>
                    <w:keepLines w:val="0"/>
                    <w:suppressLineNumbers w:val="0"/>
                    <w:adjustRightInd w:val="0"/>
                    <w:snapToGrid w:val="0"/>
                    <w:spacing w:before="0" w:beforeAutospacing="0" w:after="0" w:afterAutospacing="0"/>
                    <w:ind w:left="0" w:right="0"/>
                    <w:jc w:val="center"/>
                    <w:rPr>
                      <w:rFonts w:hint="default"/>
                      <w:color w:val="auto"/>
                      <w:kern w:val="0"/>
                      <w:sz w:val="18"/>
                      <w:szCs w:val="18"/>
                      <w:highlight w:val="none"/>
                    </w:rPr>
                  </w:pPr>
                </w:p>
              </w:tc>
              <w:tc>
                <w:tcPr>
                  <w:tcW w:w="1195" w:type="dxa"/>
                  <w:noWrap w:val="0"/>
                  <w:vAlign w:val="center"/>
                </w:tcPr>
                <w:p w14:paraId="5DC7C98A">
                  <w:pPr>
                    <w:keepNext w:val="0"/>
                    <w:keepLines w:val="0"/>
                    <w:suppressLineNumbers w:val="0"/>
                    <w:spacing w:before="0" w:beforeAutospacing="0" w:after="0" w:afterAutospacing="0"/>
                    <w:ind w:left="0" w:right="0"/>
                    <w:jc w:val="center"/>
                    <w:rPr>
                      <w:rFonts w:hint="eastAsia"/>
                      <w:color w:val="auto"/>
                      <w:kern w:val="0"/>
                      <w:sz w:val="18"/>
                      <w:szCs w:val="18"/>
                      <w:highlight w:val="none"/>
                    </w:rPr>
                  </w:pPr>
                  <w:r>
                    <w:rPr>
                      <w:rFonts w:hint="default"/>
                      <w:color w:val="auto"/>
                      <w:sz w:val="18"/>
                      <w:szCs w:val="18"/>
                      <w:highlight w:val="none"/>
                    </w:rPr>
                    <w:t>排气筒高度（m）</w:t>
                  </w:r>
                </w:p>
              </w:tc>
              <w:tc>
                <w:tcPr>
                  <w:tcW w:w="1625" w:type="dxa"/>
                  <w:noWrap w:val="0"/>
                  <w:vAlign w:val="center"/>
                </w:tcPr>
                <w:p w14:paraId="3F23EB54">
                  <w:pPr>
                    <w:keepNext w:val="0"/>
                    <w:keepLines w:val="0"/>
                    <w:suppressLineNumbers w:val="0"/>
                    <w:spacing w:before="0" w:beforeAutospacing="0" w:after="0" w:afterAutospacing="0"/>
                    <w:ind w:left="0" w:right="0"/>
                    <w:jc w:val="center"/>
                    <w:rPr>
                      <w:rFonts w:hint="default"/>
                      <w:color w:val="auto"/>
                      <w:kern w:val="0"/>
                      <w:sz w:val="18"/>
                      <w:szCs w:val="18"/>
                      <w:highlight w:val="none"/>
                    </w:rPr>
                  </w:pPr>
                  <w:r>
                    <w:rPr>
                      <w:rFonts w:hint="default"/>
                      <w:color w:val="auto"/>
                      <w:sz w:val="18"/>
                      <w:szCs w:val="18"/>
                      <w:highlight w:val="none"/>
                    </w:rPr>
                    <w:t>最高允许排放速率（kg/h）</w:t>
                  </w:r>
                </w:p>
              </w:tc>
              <w:tc>
                <w:tcPr>
                  <w:tcW w:w="2819" w:type="dxa"/>
                  <w:gridSpan w:val="2"/>
                  <w:vMerge w:val="continue"/>
                  <w:noWrap w:val="0"/>
                  <w:vAlign w:val="center"/>
                </w:tcPr>
                <w:p w14:paraId="3CCB6AC9">
                  <w:pPr>
                    <w:keepNext w:val="0"/>
                    <w:keepLines w:val="0"/>
                    <w:suppressLineNumbers w:val="0"/>
                    <w:adjustRightInd w:val="0"/>
                    <w:snapToGrid w:val="0"/>
                    <w:spacing w:before="0" w:beforeAutospacing="0" w:after="0" w:afterAutospacing="0"/>
                    <w:ind w:left="0" w:right="0"/>
                    <w:jc w:val="center"/>
                    <w:rPr>
                      <w:rFonts w:hint="default"/>
                      <w:color w:val="auto"/>
                      <w:kern w:val="0"/>
                      <w:sz w:val="18"/>
                      <w:szCs w:val="18"/>
                      <w:highlight w:val="none"/>
                    </w:rPr>
                  </w:pPr>
                </w:p>
              </w:tc>
            </w:tr>
            <w:tr w14:paraId="7353640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340" w:hRule="atLeast"/>
                <w:jc w:val="center"/>
              </w:trPr>
              <w:tc>
                <w:tcPr>
                  <w:tcW w:w="1090" w:type="dxa"/>
                  <w:noWrap w:val="0"/>
                  <w:vAlign w:val="center"/>
                </w:tcPr>
                <w:p w14:paraId="37EC6164">
                  <w:pPr>
                    <w:keepNext w:val="0"/>
                    <w:keepLines w:val="0"/>
                    <w:suppressLineNumbers w:val="0"/>
                    <w:adjustRightInd w:val="0"/>
                    <w:snapToGrid w:val="0"/>
                    <w:spacing w:before="0" w:beforeAutospacing="0" w:after="0" w:afterAutospacing="0"/>
                    <w:ind w:left="0" w:right="0"/>
                    <w:jc w:val="center"/>
                    <w:rPr>
                      <w:rFonts w:hint="default"/>
                      <w:color w:val="auto"/>
                      <w:kern w:val="0"/>
                      <w:sz w:val="18"/>
                      <w:szCs w:val="18"/>
                      <w:highlight w:val="none"/>
                    </w:rPr>
                  </w:pPr>
                  <w:r>
                    <w:rPr>
                      <w:rFonts w:hint="default"/>
                      <w:color w:val="auto"/>
                      <w:kern w:val="0"/>
                      <w:sz w:val="18"/>
                      <w:szCs w:val="18"/>
                      <w:highlight w:val="none"/>
                    </w:rPr>
                    <w:t>颗粒物</w:t>
                  </w:r>
                </w:p>
              </w:tc>
              <w:tc>
                <w:tcPr>
                  <w:tcW w:w="1245" w:type="dxa"/>
                  <w:noWrap w:val="0"/>
                  <w:vAlign w:val="center"/>
                </w:tcPr>
                <w:p w14:paraId="48903572">
                  <w:pPr>
                    <w:keepNext w:val="0"/>
                    <w:keepLines w:val="0"/>
                    <w:suppressLineNumbers w:val="0"/>
                    <w:adjustRightInd w:val="0"/>
                    <w:snapToGrid w:val="0"/>
                    <w:spacing w:before="0" w:beforeAutospacing="0" w:after="0" w:afterAutospacing="0"/>
                    <w:ind w:left="0" w:right="0"/>
                    <w:jc w:val="center"/>
                    <w:rPr>
                      <w:rFonts w:hint="default"/>
                      <w:color w:val="auto"/>
                      <w:kern w:val="0"/>
                      <w:sz w:val="18"/>
                      <w:szCs w:val="18"/>
                      <w:highlight w:val="none"/>
                    </w:rPr>
                  </w:pPr>
                  <w:r>
                    <w:rPr>
                      <w:rFonts w:hint="eastAsia"/>
                      <w:color w:val="auto"/>
                      <w:kern w:val="0"/>
                      <w:sz w:val="18"/>
                      <w:szCs w:val="18"/>
                      <w:highlight w:val="none"/>
                    </w:rPr>
                    <w:t>120</w:t>
                  </w:r>
                </w:p>
              </w:tc>
              <w:tc>
                <w:tcPr>
                  <w:tcW w:w="1195" w:type="dxa"/>
                  <w:noWrap w:val="0"/>
                  <w:vAlign w:val="center"/>
                </w:tcPr>
                <w:p w14:paraId="12745E36">
                  <w:pPr>
                    <w:keepNext w:val="0"/>
                    <w:keepLines w:val="0"/>
                    <w:suppressLineNumbers w:val="0"/>
                    <w:spacing w:before="0" w:beforeAutospacing="0" w:after="0" w:afterAutospacing="0"/>
                    <w:ind w:left="0" w:right="0"/>
                    <w:jc w:val="center"/>
                    <w:rPr>
                      <w:rFonts w:hint="default"/>
                      <w:color w:val="auto"/>
                      <w:kern w:val="0"/>
                      <w:sz w:val="18"/>
                      <w:szCs w:val="18"/>
                      <w:highlight w:val="none"/>
                    </w:rPr>
                  </w:pPr>
                  <w:r>
                    <w:rPr>
                      <w:rFonts w:hint="default"/>
                      <w:color w:val="auto"/>
                      <w:sz w:val="18"/>
                      <w:szCs w:val="18"/>
                      <w:highlight w:val="none"/>
                    </w:rPr>
                    <w:t>15</w:t>
                  </w:r>
                </w:p>
              </w:tc>
              <w:tc>
                <w:tcPr>
                  <w:tcW w:w="1625" w:type="dxa"/>
                  <w:noWrap w:val="0"/>
                  <w:vAlign w:val="center"/>
                </w:tcPr>
                <w:p w14:paraId="7B53E0BD">
                  <w:pPr>
                    <w:keepNext w:val="0"/>
                    <w:keepLines w:val="0"/>
                    <w:suppressLineNumbers w:val="0"/>
                    <w:spacing w:before="0" w:beforeAutospacing="0" w:after="0" w:afterAutospacing="0"/>
                    <w:ind w:left="0" w:right="0"/>
                    <w:jc w:val="center"/>
                    <w:rPr>
                      <w:rFonts w:hint="default"/>
                      <w:color w:val="auto"/>
                      <w:kern w:val="0"/>
                      <w:sz w:val="18"/>
                      <w:szCs w:val="18"/>
                      <w:highlight w:val="none"/>
                    </w:rPr>
                  </w:pPr>
                  <w:r>
                    <w:rPr>
                      <w:rFonts w:hint="default"/>
                      <w:color w:val="auto"/>
                      <w:sz w:val="18"/>
                      <w:szCs w:val="18"/>
                      <w:highlight w:val="none"/>
                    </w:rPr>
                    <w:t>3.5</w:t>
                  </w:r>
                </w:p>
              </w:tc>
              <w:tc>
                <w:tcPr>
                  <w:tcW w:w="1695" w:type="dxa"/>
                  <w:noWrap w:val="0"/>
                  <w:vAlign w:val="center"/>
                </w:tcPr>
                <w:p w14:paraId="6D2BDB56">
                  <w:pPr>
                    <w:keepNext w:val="0"/>
                    <w:keepLines w:val="0"/>
                    <w:suppressLineNumbers w:val="0"/>
                    <w:spacing w:before="0" w:beforeAutospacing="0" w:after="0" w:afterAutospacing="0"/>
                    <w:ind w:left="0" w:right="0"/>
                    <w:jc w:val="center"/>
                    <w:rPr>
                      <w:rFonts w:hint="default"/>
                      <w:color w:val="auto"/>
                      <w:kern w:val="0"/>
                      <w:sz w:val="18"/>
                      <w:szCs w:val="18"/>
                      <w:highlight w:val="none"/>
                    </w:rPr>
                  </w:pPr>
                  <w:r>
                    <w:rPr>
                      <w:rFonts w:hint="default"/>
                      <w:color w:val="auto"/>
                      <w:sz w:val="18"/>
                      <w:szCs w:val="18"/>
                      <w:highlight w:val="none"/>
                    </w:rPr>
                    <w:t>周界外浓度最高点</w:t>
                  </w:r>
                </w:p>
              </w:tc>
              <w:tc>
                <w:tcPr>
                  <w:tcW w:w="1124" w:type="dxa"/>
                  <w:noWrap w:val="0"/>
                  <w:vAlign w:val="center"/>
                </w:tcPr>
                <w:p w14:paraId="156FE046">
                  <w:pPr>
                    <w:keepNext w:val="0"/>
                    <w:keepLines w:val="0"/>
                    <w:suppressLineNumbers w:val="0"/>
                    <w:spacing w:before="0" w:beforeAutospacing="0" w:after="0" w:afterAutospacing="0"/>
                    <w:ind w:left="0" w:right="0"/>
                    <w:jc w:val="center"/>
                    <w:rPr>
                      <w:rFonts w:hint="default"/>
                      <w:color w:val="auto"/>
                      <w:kern w:val="0"/>
                      <w:sz w:val="18"/>
                      <w:szCs w:val="18"/>
                      <w:highlight w:val="none"/>
                    </w:rPr>
                  </w:pPr>
                  <w:r>
                    <w:rPr>
                      <w:rFonts w:hint="default"/>
                      <w:color w:val="auto"/>
                      <w:sz w:val="18"/>
                      <w:szCs w:val="18"/>
                      <w:highlight w:val="none"/>
                    </w:rPr>
                    <w:t>1.0</w:t>
                  </w:r>
                </w:p>
              </w:tc>
            </w:tr>
          </w:tbl>
          <w:p w14:paraId="2476826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2、废水</w:t>
            </w:r>
          </w:p>
          <w:p w14:paraId="1E56C541">
            <w:pPr>
              <w:keepNext w:val="0"/>
              <w:keepLines w:val="0"/>
              <w:pageBreakBefore w:val="0"/>
              <w:widowControl/>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eastAsia" w:ascii="Times New Roman" w:hAnsi="Times New Roman" w:eastAsia="宋体" w:cs="Times New Roman"/>
                <w:bCs/>
                <w:color w:val="auto"/>
                <w:sz w:val="21"/>
                <w:szCs w:val="21"/>
                <w:highlight w:val="none"/>
                <w:lang w:eastAsia="zh-CN"/>
              </w:rPr>
            </w:pPr>
            <w:r>
              <w:rPr>
                <w:rFonts w:hint="eastAsia" w:cs="Times New Roman"/>
                <w:bCs/>
                <w:color w:val="auto"/>
                <w:sz w:val="21"/>
                <w:szCs w:val="21"/>
                <w:highlight w:val="none"/>
                <w:lang w:eastAsia="zh-CN"/>
              </w:rPr>
              <w:t>生活污水按用水的</w:t>
            </w:r>
            <w:r>
              <w:rPr>
                <w:rFonts w:hint="eastAsia" w:cs="Times New Roman"/>
                <w:bCs/>
                <w:color w:val="auto"/>
                <w:sz w:val="21"/>
                <w:szCs w:val="21"/>
                <w:highlight w:val="none"/>
                <w:lang w:val="en-US" w:eastAsia="zh-CN"/>
              </w:rPr>
              <w:t>80%计，则本项目生活污水排水量为0.96</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/d</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288</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/a</w:t>
            </w:r>
            <w:r>
              <w:rPr>
                <w:rFonts w:hint="eastAsia" w:ascii="Times New Roman" w:hAnsi="Times New Roman" w:cs="Times New Roman"/>
                <w:color w:val="auto"/>
                <w:sz w:val="21"/>
                <w:szCs w:val="21"/>
                <w:highlight w:val="none"/>
                <w:lang w:eastAsia="zh-CN"/>
              </w:rPr>
              <w:t>。</w:t>
            </w:r>
          </w:p>
          <w:p w14:paraId="3B1B40D3">
            <w:pPr>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right="0" w:firstLine="420" w:firstLineChars="200"/>
              <w:textAlignment w:val="auto"/>
              <w:rPr>
                <w:rFonts w:hint="eastAsia" w:eastAsia="宋体"/>
                <w:color w:val="auto"/>
                <w:highlight w:val="cyan"/>
                <w:lang w:val="en-US" w:eastAsia="zh-CN"/>
              </w:rPr>
            </w:pPr>
            <w:r>
              <w:rPr>
                <w:rFonts w:hint="default" w:ascii="Times New Roman" w:hAnsi="Times New Roman" w:eastAsia="宋体" w:cs="Times New Roman"/>
                <w:bCs/>
                <w:color w:val="auto"/>
                <w:sz w:val="21"/>
                <w:szCs w:val="21"/>
                <w:highlight w:val="none"/>
                <w:lang w:val="en-US" w:eastAsia="zh-CN"/>
              </w:rPr>
              <w:t>本项目</w:t>
            </w:r>
            <w:r>
              <w:rPr>
                <w:rFonts w:hint="eastAsia" w:cs="Times New Roman"/>
                <w:bCs/>
                <w:color w:val="auto"/>
                <w:sz w:val="21"/>
                <w:szCs w:val="21"/>
                <w:highlight w:val="none"/>
                <w:lang w:val="en-US" w:eastAsia="zh-CN"/>
              </w:rPr>
              <w:t>灰渣调湿用水全部进入物料中，洒水降尘用水自然蒸发，</w:t>
            </w:r>
            <w:r>
              <w:rPr>
                <w:rFonts w:hint="default" w:ascii="Times New Roman" w:hAnsi="Times New Roman" w:eastAsia="宋体" w:cs="Times New Roman"/>
                <w:bCs/>
                <w:color w:val="auto"/>
                <w:sz w:val="21"/>
                <w:szCs w:val="21"/>
                <w:highlight w:val="none"/>
                <w:lang w:val="en-US" w:eastAsia="zh-CN"/>
              </w:rPr>
              <w:t>无生产废水</w:t>
            </w:r>
            <w:r>
              <w:rPr>
                <w:rFonts w:hint="eastAsia" w:ascii="Times New Roman" w:hAnsi="Times New Roman" w:cs="Times New Roman"/>
                <w:bCs/>
                <w:color w:val="auto"/>
                <w:sz w:val="21"/>
                <w:szCs w:val="21"/>
                <w:highlight w:val="none"/>
                <w:lang w:val="en-US" w:eastAsia="zh-CN"/>
              </w:rPr>
              <w:t>产生</w:t>
            </w:r>
            <w:r>
              <w:rPr>
                <w:rFonts w:hint="default" w:ascii="Times New Roman" w:hAnsi="Times New Roman" w:eastAsia="宋体" w:cs="Times New Roman"/>
                <w:bCs/>
                <w:color w:val="auto"/>
                <w:sz w:val="21"/>
                <w:szCs w:val="21"/>
                <w:highlight w:val="none"/>
                <w:lang w:val="en-US" w:eastAsia="zh-CN"/>
              </w:rPr>
              <w:t>，废水主要为生活污水</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cs="Times New Roman"/>
                <w:color w:val="auto"/>
                <w:sz w:val="21"/>
                <w:szCs w:val="21"/>
                <w:highlight w:val="none"/>
                <w:lang w:eastAsia="zh-CN"/>
              </w:rPr>
              <w:t>排入</w:t>
            </w:r>
            <w:r>
              <w:rPr>
                <w:rFonts w:hint="eastAsia" w:cs="Times New Roman"/>
                <w:color w:val="auto"/>
                <w:kern w:val="0"/>
                <w:szCs w:val="21"/>
                <w:highlight w:val="none"/>
                <w:lang w:val="en-US" w:eastAsia="zh-CN"/>
              </w:rPr>
              <w:t>防渗旱厕</w:t>
            </w:r>
            <w:r>
              <w:rPr>
                <w:rFonts w:hint="default" w:ascii="Times New Roman" w:hAnsi="Times New Roman" w:cs="Times New Roman"/>
                <w:color w:val="auto"/>
                <w:sz w:val="21"/>
                <w:szCs w:val="21"/>
                <w:highlight w:val="none"/>
                <w:lang w:eastAsia="zh-CN"/>
              </w:rPr>
              <w:t>，定期清掏，外运堆肥，</w:t>
            </w:r>
            <w:r>
              <w:rPr>
                <w:rFonts w:hint="default" w:ascii="Times New Roman" w:hAnsi="Times New Roman" w:cs="Times New Roman"/>
                <w:color w:val="auto"/>
                <w:sz w:val="21"/>
                <w:szCs w:val="21"/>
                <w:highlight w:val="none"/>
                <w:lang w:val="en-US" w:eastAsia="zh-CN"/>
              </w:rPr>
              <w:t>不外排</w:t>
            </w:r>
            <w:r>
              <w:rPr>
                <w:rFonts w:hint="eastAsia" w:cs="Times New Roman"/>
                <w:color w:val="auto"/>
                <w:spacing w:val="0"/>
                <w:sz w:val="21"/>
                <w:szCs w:val="21"/>
                <w:highlight w:val="none"/>
                <w:lang w:val="en-US" w:eastAsia="zh-CN"/>
              </w:rPr>
              <w:t>。</w:t>
            </w:r>
          </w:p>
          <w:p w14:paraId="556D17C4">
            <w:pPr>
              <w:keepNext w:val="0"/>
              <w:keepLines w:val="0"/>
              <w:widowControl/>
              <w:numPr>
                <w:ilvl w:val="0"/>
                <w:numId w:val="0"/>
              </w:numPr>
              <w:suppressLineNumbers w:val="0"/>
              <w:spacing w:before="0" w:beforeAutospacing="0" w:after="0" w:afterAutospacing="0" w:line="360" w:lineRule="auto"/>
              <w:ind w:left="0" w:right="0" w:rightChars="0" w:firstLine="422" w:firstLineChars="200"/>
              <w:rPr>
                <w:rFonts w:hint="default"/>
                <w:color w:val="auto"/>
                <w:highlight w:val="none"/>
              </w:rPr>
            </w:pPr>
            <w:r>
              <w:rPr>
                <w:rFonts w:hint="eastAsia" w:cs="Times New Roman"/>
                <w:b/>
                <w:color w:val="auto"/>
                <w:szCs w:val="21"/>
                <w:highlight w:val="none"/>
                <w:lang w:val="en-US" w:eastAsia="zh-CN"/>
              </w:rPr>
              <w:t>3、</w:t>
            </w:r>
            <w:r>
              <w:rPr>
                <w:rFonts w:hint="default" w:ascii="Times New Roman" w:hAnsi="Times New Roman" w:cs="Times New Roman"/>
                <w:b/>
                <w:color w:val="auto"/>
                <w:szCs w:val="21"/>
                <w:highlight w:val="none"/>
              </w:rPr>
              <w:t>噪声</w:t>
            </w:r>
          </w:p>
          <w:p w14:paraId="4FF9B9F5">
            <w:pPr>
              <w:keepNext w:val="0"/>
              <w:keepLines w:val="0"/>
              <w:widowControl/>
              <w:suppressLineNumbers w:val="0"/>
              <w:spacing w:before="0" w:beforeAutospacing="0" w:after="0" w:afterAutospacing="0" w:line="360" w:lineRule="auto"/>
              <w:ind w:left="0" w:right="0" w:firstLine="420" w:firstLineChars="200"/>
              <w:rPr>
                <w:rFonts w:hint="default"/>
                <w:b/>
                <w:color w:val="auto"/>
                <w:szCs w:val="21"/>
                <w:highlight w:val="none"/>
              </w:rPr>
            </w:pPr>
            <w:r>
              <w:rPr>
                <w:rFonts w:hint="default"/>
                <w:color w:val="auto"/>
                <w:szCs w:val="21"/>
                <w:highlight w:val="none"/>
              </w:rPr>
              <w:t>施工期</w:t>
            </w:r>
            <w:r>
              <w:rPr>
                <w:rFonts w:hint="eastAsia"/>
                <w:color w:val="auto"/>
                <w:szCs w:val="21"/>
                <w:highlight w:val="none"/>
                <w:lang w:eastAsia="zh-CN"/>
              </w:rPr>
              <w:t>：</w:t>
            </w:r>
            <w:r>
              <w:rPr>
                <w:rFonts w:hint="default"/>
                <w:color w:val="auto"/>
                <w:szCs w:val="21"/>
                <w:highlight w:val="none"/>
              </w:rPr>
              <w:t>噪声执行《建筑施工场界环境噪声排放标准》（GB12523-2011）中噪声排放限值，具体标准见表3-</w:t>
            </w:r>
            <w:r>
              <w:rPr>
                <w:rFonts w:hint="eastAsia"/>
                <w:color w:val="auto"/>
                <w:szCs w:val="21"/>
                <w:highlight w:val="none"/>
                <w:lang w:val="en-US" w:eastAsia="zh-CN"/>
              </w:rPr>
              <w:t>9</w:t>
            </w:r>
            <w:r>
              <w:rPr>
                <w:rFonts w:hint="default"/>
                <w:color w:val="auto"/>
                <w:szCs w:val="21"/>
                <w:highlight w:val="none"/>
              </w:rPr>
              <w:t>。</w:t>
            </w:r>
          </w:p>
          <w:p w14:paraId="0250E8FE">
            <w:pPr>
              <w:keepNext w:val="0"/>
              <w:keepLines w:val="0"/>
              <w:suppressLineNumbers w:val="0"/>
              <w:spacing w:before="0" w:beforeAutospacing="0" w:after="0" w:afterAutospacing="0"/>
              <w:ind w:left="0" w:right="0"/>
              <w:jc w:val="center"/>
              <w:rPr>
                <w:rFonts w:hint="default"/>
                <w:color w:val="auto"/>
                <w:highlight w:val="none"/>
              </w:rPr>
            </w:pPr>
            <w:r>
              <w:rPr>
                <w:rFonts w:hint="default"/>
                <w:b/>
                <w:color w:val="auto"/>
                <w:szCs w:val="21"/>
                <w:highlight w:val="none"/>
              </w:rPr>
              <w:t>表3-</w:t>
            </w:r>
            <w:r>
              <w:rPr>
                <w:rFonts w:hint="eastAsia"/>
                <w:b/>
                <w:color w:val="auto"/>
                <w:szCs w:val="21"/>
                <w:highlight w:val="none"/>
                <w:lang w:val="en-US" w:eastAsia="zh-CN"/>
              </w:rPr>
              <w:t xml:space="preserve">9 </w:t>
            </w:r>
            <w:r>
              <w:rPr>
                <w:rFonts w:hint="default"/>
                <w:b/>
                <w:color w:val="auto"/>
                <w:szCs w:val="21"/>
                <w:highlight w:val="none"/>
              </w:rPr>
              <w:t>建筑施工场界环境噪声排放标准 单位：dB(A)</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44"/>
              <w:gridCol w:w="3993"/>
            </w:tblGrid>
            <w:tr w14:paraId="0F6C365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7" w:type="dxa"/>
                  <w:tcBorders>
                    <w:tl2br w:val="nil"/>
                    <w:tr2bl w:val="nil"/>
                  </w:tcBorders>
                  <w:vAlign w:val="center"/>
                </w:tcPr>
                <w:p w14:paraId="46EA75BE">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昼间</w:t>
                  </w:r>
                </w:p>
              </w:tc>
              <w:tc>
                <w:tcPr>
                  <w:tcW w:w="3789" w:type="dxa"/>
                  <w:tcBorders>
                    <w:tl2br w:val="nil"/>
                    <w:tr2bl w:val="nil"/>
                  </w:tcBorders>
                  <w:vAlign w:val="center"/>
                </w:tcPr>
                <w:p w14:paraId="6DD42D8A">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夜间</w:t>
                  </w:r>
                </w:p>
              </w:tc>
            </w:tr>
            <w:tr w14:paraId="3BB5DAB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7" w:type="dxa"/>
                  <w:tcBorders>
                    <w:tl2br w:val="nil"/>
                    <w:tr2bl w:val="nil"/>
                  </w:tcBorders>
                  <w:vAlign w:val="center"/>
                </w:tcPr>
                <w:p w14:paraId="38A7F763">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70</w:t>
                  </w:r>
                </w:p>
              </w:tc>
              <w:tc>
                <w:tcPr>
                  <w:tcW w:w="3789" w:type="dxa"/>
                  <w:tcBorders>
                    <w:tl2br w:val="nil"/>
                    <w:tr2bl w:val="nil"/>
                  </w:tcBorders>
                  <w:vAlign w:val="center"/>
                </w:tcPr>
                <w:p w14:paraId="3764F571">
                  <w:pPr>
                    <w:keepNext w:val="0"/>
                    <w:keepLines w:val="0"/>
                    <w:suppressLineNumbers w:val="0"/>
                    <w:adjustRightInd w:val="0"/>
                    <w:snapToGrid w:val="0"/>
                    <w:spacing w:before="0" w:beforeAutospacing="0" w:after="0" w:afterAutospacing="0"/>
                    <w:ind w:left="0" w:right="0"/>
                    <w:jc w:val="center"/>
                    <w:textAlignment w:val="baseline"/>
                    <w:rPr>
                      <w:rFonts w:hint="default"/>
                      <w:color w:val="auto"/>
                      <w:sz w:val="18"/>
                      <w:szCs w:val="18"/>
                      <w:highlight w:val="none"/>
                    </w:rPr>
                  </w:pPr>
                  <w:r>
                    <w:rPr>
                      <w:rFonts w:hint="default"/>
                      <w:color w:val="auto"/>
                      <w:sz w:val="18"/>
                      <w:szCs w:val="18"/>
                      <w:highlight w:val="none"/>
                    </w:rPr>
                    <w:t>55</w:t>
                  </w:r>
                </w:p>
              </w:tc>
            </w:tr>
          </w:tbl>
          <w:p w14:paraId="280CEA7F">
            <w:pPr>
              <w:pStyle w:val="107"/>
              <w:keepNext w:val="0"/>
              <w:keepLines w:val="0"/>
              <w:widowControl/>
              <w:suppressLineNumbers w:val="0"/>
              <w:spacing w:before="0" w:beforeAutospacing="0" w:after="0" w:afterAutospacing="0"/>
              <w:ind w:left="0" w:leftChars="0" w:right="0" w:firstLine="420" w:firstLineChars="200"/>
              <w:jc w:val="both"/>
              <w:rPr>
                <w:rFonts w:hint="default" w:ascii="Times New Roman" w:hAnsi="Times New Roman" w:cs="Times New Roman"/>
                <w:color w:val="auto"/>
                <w:szCs w:val="21"/>
                <w:highlight w:val="none"/>
              </w:rPr>
            </w:pPr>
            <w:r>
              <w:rPr>
                <w:rFonts w:hint="eastAsia" w:cs="Times New Roman"/>
                <w:color w:val="auto"/>
                <w:szCs w:val="21"/>
                <w:highlight w:val="none"/>
                <w:lang w:val="en-US" w:eastAsia="zh-CN"/>
              </w:rPr>
              <w:t>运营期：</w:t>
            </w:r>
            <w:r>
              <w:rPr>
                <w:rFonts w:hint="default" w:ascii="Times New Roman" w:hAnsi="Times New Roman" w:cs="Times New Roman"/>
                <w:color w:val="auto"/>
                <w:szCs w:val="21"/>
                <w:highlight w:val="none"/>
              </w:rPr>
              <w:t>厂界噪声执</w:t>
            </w:r>
            <w:r>
              <w:rPr>
                <w:rFonts w:hint="default" w:ascii="Times New Roman" w:hAnsi="Times New Roman" w:cs="Times New Roman"/>
                <w:color w:val="auto"/>
                <w:sz w:val="21"/>
                <w:szCs w:val="21"/>
                <w:highlight w:val="none"/>
              </w:rPr>
              <w:t>行《</w:t>
            </w:r>
            <w:r>
              <w:rPr>
                <w:rFonts w:hint="default" w:ascii="Times New Roman" w:hAnsi="Times New Roman" w:cs="Times New Roman"/>
                <w:color w:val="auto"/>
                <w:szCs w:val="21"/>
                <w:highlight w:val="none"/>
              </w:rPr>
              <w:t>工业企业厂界环境噪声排放标准》</w:t>
            </w:r>
            <w:r>
              <w:rPr>
                <w:rFonts w:hint="default"/>
                <w:color w:val="auto"/>
                <w:szCs w:val="21"/>
                <w:highlight w:val="none"/>
              </w:rPr>
              <w:t>（</w:t>
            </w:r>
            <w:r>
              <w:rPr>
                <w:rFonts w:hint="default" w:ascii="Times New Roman" w:hAnsi="Times New Roman" w:cs="Times New Roman"/>
                <w:color w:val="auto"/>
                <w:szCs w:val="21"/>
                <w:highlight w:val="none"/>
              </w:rPr>
              <w:t>GB12348-2008</w:t>
            </w:r>
            <w:r>
              <w:rPr>
                <w:rFonts w:hint="default"/>
                <w:color w:val="auto"/>
                <w:szCs w:val="21"/>
                <w:highlight w:val="none"/>
              </w:rPr>
              <w:t>）</w:t>
            </w:r>
            <w:r>
              <w:rPr>
                <w:rFonts w:hint="default" w:ascii="Times New Roman" w:hAnsi="Times New Roman" w:cs="Times New Roman"/>
                <w:color w:val="auto"/>
                <w:szCs w:val="21"/>
                <w:highlight w:val="none"/>
              </w:rPr>
              <w:t>表1中</w:t>
            </w:r>
            <w:r>
              <w:rPr>
                <w:rFonts w:hint="eastAsia" w:cs="Times New Roman"/>
                <w:color w:val="auto"/>
                <w:szCs w:val="21"/>
                <w:highlight w:val="none"/>
                <w:lang w:val="en-US" w:eastAsia="zh-CN"/>
              </w:rPr>
              <w:t>2</w:t>
            </w:r>
            <w:r>
              <w:rPr>
                <w:rFonts w:hint="default"/>
                <w:color w:val="auto"/>
                <w:sz w:val="21"/>
                <w:szCs w:val="21"/>
                <w:highlight w:val="none"/>
              </w:rPr>
              <w:t>类标准</w:t>
            </w:r>
            <w:r>
              <w:rPr>
                <w:rFonts w:hint="eastAsia"/>
                <w:color w:val="auto"/>
                <w:kern w:val="0"/>
                <w:szCs w:val="21"/>
                <w:highlight w:val="none"/>
                <w:lang w:val="en-US" w:eastAsia="zh-CN"/>
              </w:rPr>
              <w:t>。</w:t>
            </w:r>
          </w:p>
          <w:p w14:paraId="6ACD2EF4">
            <w:pPr>
              <w:pStyle w:val="71"/>
              <w:keepNext w:val="0"/>
              <w:keepLines w:val="0"/>
              <w:suppressLineNumbers w:val="0"/>
              <w:snapToGrid w:val="0"/>
              <w:spacing w:before="0" w:beforeLines="0" w:beforeAutospacing="0" w:after="0" w:afterLines="0" w:afterAutospacing="0" w:line="240" w:lineRule="auto"/>
              <w:ind w:left="0" w:right="0"/>
              <w:rPr>
                <w:rFonts w:hint="default" w:ascii="Times New Roman" w:hAnsi="Times New Roman" w:cs="Times New Roman"/>
                <w:snapToGrid w:val="0"/>
                <w:color w:val="auto"/>
                <w:spacing w:val="0"/>
                <w:sz w:val="21"/>
                <w:szCs w:val="21"/>
                <w:highlight w:val="none"/>
              </w:rPr>
            </w:pPr>
            <w:r>
              <w:rPr>
                <w:rFonts w:hint="default" w:ascii="Times New Roman" w:hAnsi="Times New Roman" w:eastAsia="宋体" w:cs="Times New Roman"/>
                <w:b/>
                <w:bCs/>
                <w:snapToGrid w:val="0"/>
                <w:color w:val="auto"/>
                <w:spacing w:val="0"/>
                <w:sz w:val="21"/>
                <w:szCs w:val="21"/>
                <w:highlight w:val="none"/>
              </w:rPr>
              <w:t>表3-</w:t>
            </w:r>
            <w:r>
              <w:rPr>
                <w:rFonts w:hint="eastAsia" w:ascii="Times New Roman" w:hAnsi="Times New Roman" w:eastAsia="宋体" w:cs="Times New Roman"/>
                <w:b/>
                <w:bCs/>
                <w:snapToGrid w:val="0"/>
                <w:color w:val="auto"/>
                <w:spacing w:val="0"/>
                <w:sz w:val="21"/>
                <w:szCs w:val="21"/>
                <w:highlight w:val="none"/>
                <w:lang w:val="en-US" w:eastAsia="zh-CN"/>
              </w:rPr>
              <w:t xml:space="preserve">10 </w:t>
            </w:r>
            <w:r>
              <w:rPr>
                <w:rFonts w:hint="default" w:ascii="Times New Roman" w:hAnsi="Times New Roman" w:eastAsia="宋体" w:cs="Times New Roman"/>
                <w:b/>
                <w:bCs/>
                <w:snapToGrid w:val="0"/>
                <w:color w:val="auto"/>
                <w:spacing w:val="0"/>
                <w:sz w:val="21"/>
                <w:szCs w:val="21"/>
                <w:highlight w:val="none"/>
              </w:rPr>
              <w:t>工业企业厂界环境噪声排放标准</w:t>
            </w:r>
          </w:p>
          <w:tbl>
            <w:tblPr>
              <w:tblStyle w:val="34"/>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90"/>
              <w:gridCol w:w="2803"/>
              <w:gridCol w:w="2841"/>
            </w:tblGrid>
            <w:tr w14:paraId="7DB9658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vMerge w:val="restart"/>
                  <w:tcBorders>
                    <w:tl2br w:val="nil"/>
                    <w:tr2bl w:val="nil"/>
                  </w:tcBorders>
                  <w:vAlign w:val="center"/>
                </w:tcPr>
                <w:p w14:paraId="6FAB87F1">
                  <w:pPr>
                    <w:pStyle w:val="86"/>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类别</w:t>
                  </w:r>
                </w:p>
              </w:tc>
              <w:tc>
                <w:tcPr>
                  <w:tcW w:w="3512" w:type="pct"/>
                  <w:gridSpan w:val="2"/>
                  <w:tcBorders>
                    <w:tl2br w:val="nil"/>
                    <w:tr2bl w:val="nil"/>
                  </w:tcBorders>
                  <w:vAlign w:val="center"/>
                </w:tcPr>
                <w:p w14:paraId="528A6861">
                  <w:pPr>
                    <w:pStyle w:val="86"/>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标准值（dB（A））</w:t>
                  </w:r>
                </w:p>
              </w:tc>
            </w:tr>
            <w:tr w14:paraId="1669D01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vMerge w:val="continue"/>
                  <w:tcBorders>
                    <w:tl2br w:val="nil"/>
                    <w:tr2bl w:val="nil"/>
                  </w:tcBorders>
                  <w:vAlign w:val="center"/>
                </w:tcPr>
                <w:p w14:paraId="7C004D6E">
                  <w:pPr>
                    <w:pStyle w:val="86"/>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p>
              </w:tc>
              <w:tc>
                <w:tcPr>
                  <w:tcW w:w="1744" w:type="pct"/>
                  <w:tcBorders>
                    <w:tl2br w:val="nil"/>
                    <w:tr2bl w:val="nil"/>
                  </w:tcBorders>
                  <w:vAlign w:val="center"/>
                </w:tcPr>
                <w:p w14:paraId="6B067420">
                  <w:pPr>
                    <w:pStyle w:val="86"/>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昼间</w:t>
                  </w:r>
                </w:p>
              </w:tc>
              <w:tc>
                <w:tcPr>
                  <w:tcW w:w="1768" w:type="pct"/>
                  <w:tcBorders>
                    <w:tl2br w:val="nil"/>
                    <w:tr2bl w:val="nil"/>
                  </w:tcBorders>
                  <w:vAlign w:val="center"/>
                </w:tcPr>
                <w:p w14:paraId="31F38519">
                  <w:pPr>
                    <w:pStyle w:val="86"/>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夜间</w:t>
                  </w:r>
                </w:p>
              </w:tc>
            </w:tr>
            <w:tr w14:paraId="51F82B0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7" w:type="pct"/>
                  <w:tcBorders>
                    <w:tl2br w:val="nil"/>
                    <w:tr2bl w:val="nil"/>
                  </w:tcBorders>
                  <w:vAlign w:val="center"/>
                </w:tcPr>
                <w:p w14:paraId="489179BD">
                  <w:pPr>
                    <w:pStyle w:val="86"/>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rPr>
                  </w:pPr>
                  <w:r>
                    <w:rPr>
                      <w:rFonts w:hint="eastAsia" w:cs="Times New Roman" w:eastAsiaTheme="minorEastAsia"/>
                      <w:color w:val="auto"/>
                      <w:sz w:val="18"/>
                      <w:szCs w:val="18"/>
                      <w:highlight w:val="none"/>
                      <w:lang w:val="en-US" w:eastAsia="zh-CN"/>
                    </w:rPr>
                    <w:t>2</w:t>
                  </w:r>
                  <w:r>
                    <w:rPr>
                      <w:rFonts w:hint="default" w:ascii="Times New Roman" w:hAnsi="Times New Roman" w:cs="Times New Roman" w:eastAsiaTheme="minorEastAsia"/>
                      <w:color w:val="auto"/>
                      <w:sz w:val="18"/>
                      <w:szCs w:val="18"/>
                      <w:highlight w:val="none"/>
                    </w:rPr>
                    <w:t>类</w:t>
                  </w:r>
                </w:p>
              </w:tc>
              <w:tc>
                <w:tcPr>
                  <w:tcW w:w="1744" w:type="pct"/>
                  <w:tcBorders>
                    <w:tl2br w:val="nil"/>
                    <w:tr2bl w:val="nil"/>
                  </w:tcBorders>
                  <w:vAlign w:val="center"/>
                </w:tcPr>
                <w:p w14:paraId="70A66D0A">
                  <w:pPr>
                    <w:pStyle w:val="86"/>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60</w:t>
                  </w:r>
                </w:p>
              </w:tc>
              <w:tc>
                <w:tcPr>
                  <w:tcW w:w="1768" w:type="pct"/>
                  <w:tcBorders>
                    <w:tl2br w:val="nil"/>
                    <w:tr2bl w:val="nil"/>
                  </w:tcBorders>
                  <w:vAlign w:val="center"/>
                </w:tcPr>
                <w:p w14:paraId="0D57AB90">
                  <w:pPr>
                    <w:pStyle w:val="86"/>
                    <w:keepNext w:val="0"/>
                    <w:keepLines w:val="0"/>
                    <w:suppressLineNumbers w:val="0"/>
                    <w:spacing w:before="0" w:beforeAutospacing="0" w:after="0" w:afterAutospacing="0" w:line="240" w:lineRule="auto"/>
                    <w:ind w:left="0" w:right="0"/>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50</w:t>
                  </w:r>
                </w:p>
              </w:tc>
            </w:tr>
          </w:tbl>
          <w:p w14:paraId="5967555D">
            <w:pPr>
              <w:keepNext w:val="0"/>
              <w:keepLines w:val="0"/>
              <w:widowControl/>
              <w:suppressLineNumbers w:val="0"/>
              <w:spacing w:before="0" w:beforeAutospacing="0" w:after="0" w:afterAutospacing="0" w:line="360" w:lineRule="auto"/>
              <w:ind w:left="0" w:right="0" w:firstLine="422" w:firstLineChars="200"/>
              <w:rPr>
                <w:rFonts w:hint="default" w:ascii="Times New Roman" w:hAnsi="Times New Roman" w:cs="Times New Roman"/>
                <w:color w:val="auto"/>
                <w:kern w:val="21"/>
                <w:szCs w:val="21"/>
                <w:highlight w:val="none"/>
              </w:rPr>
            </w:pPr>
            <w:r>
              <w:rPr>
                <w:rFonts w:hint="default" w:ascii="Times New Roman" w:hAnsi="Times New Roman" w:cs="Times New Roman"/>
                <w:b/>
                <w:bCs/>
                <w:color w:val="auto"/>
                <w:kern w:val="21"/>
                <w:szCs w:val="21"/>
                <w:highlight w:val="none"/>
              </w:rPr>
              <w:t>4、固体废物</w:t>
            </w:r>
          </w:p>
          <w:p w14:paraId="31D0A53B">
            <w:pPr>
              <w:keepNext w:val="0"/>
              <w:keepLines w:val="0"/>
              <w:widowControl/>
              <w:suppressLineNumbers w:val="0"/>
              <w:spacing w:before="0" w:beforeAutospacing="0" w:after="0" w:afterAutospacing="0" w:line="360" w:lineRule="auto"/>
              <w:ind w:left="0" w:right="0" w:firstLine="420" w:firstLineChars="200"/>
              <w:rPr>
                <w:rFonts w:hint="default" w:ascii="Times New Roman" w:hAnsi="Times New Roman" w:cs="Times New Roman"/>
                <w:color w:val="auto"/>
                <w:kern w:val="0"/>
                <w:szCs w:val="21"/>
                <w:highlight w:val="none"/>
              </w:rPr>
            </w:pPr>
            <w:r>
              <w:rPr>
                <w:rFonts w:hint="default" w:ascii="Times New Roman" w:hAnsi="Times New Roman" w:cs="Times New Roman"/>
                <w:color w:val="auto"/>
                <w:kern w:val="21"/>
                <w:szCs w:val="21"/>
                <w:highlight w:val="none"/>
              </w:rPr>
              <w:t>一般固体废物处置执行《一般工业固体废物贮存和填埋污染控制标准》（GB18599-2020）</w:t>
            </w:r>
            <w:r>
              <w:rPr>
                <w:rFonts w:hint="eastAsia" w:ascii="Times New Roman" w:hAnsi="Times New Roman" w:eastAsia="宋体" w:cs="Times New Roman"/>
                <w:b w:val="0"/>
                <w:bCs w:val="0"/>
                <w:color w:val="auto"/>
                <w:sz w:val="21"/>
                <w:szCs w:val="21"/>
                <w:highlight w:val="none"/>
                <w:lang w:val="en-US" w:eastAsia="zh-CN"/>
              </w:rPr>
              <w:t>、</w:t>
            </w:r>
            <w:r>
              <w:rPr>
                <w:rFonts w:hint="eastAsia"/>
                <w:bCs/>
                <w:color w:val="auto"/>
                <w:szCs w:val="21"/>
                <w:highlight w:val="none"/>
              </w:rPr>
              <w:t>《固体废物分类与代码</w:t>
            </w:r>
            <w:r>
              <w:rPr>
                <w:rFonts w:hint="eastAsia"/>
                <w:bCs/>
                <w:color w:val="auto"/>
                <w:szCs w:val="21"/>
                <w:highlight w:val="none"/>
                <w:lang w:eastAsia="zh-CN"/>
              </w:rPr>
              <w:t>目录</w:t>
            </w:r>
            <w:r>
              <w:rPr>
                <w:rFonts w:hint="eastAsia"/>
                <w:bCs/>
                <w:color w:val="auto"/>
                <w:szCs w:val="21"/>
                <w:highlight w:val="none"/>
              </w:rPr>
              <w:t>》（</w:t>
            </w:r>
            <w:r>
              <w:rPr>
                <w:rFonts w:hint="eastAsia"/>
                <w:bCs/>
                <w:color w:val="auto"/>
                <w:szCs w:val="21"/>
                <w:highlight w:val="none"/>
                <w:lang w:eastAsia="zh-CN"/>
              </w:rPr>
              <w:t>公告</w:t>
            </w:r>
            <w:r>
              <w:rPr>
                <w:rFonts w:hint="eastAsia"/>
                <w:bCs/>
                <w:color w:val="auto"/>
                <w:szCs w:val="21"/>
                <w:highlight w:val="none"/>
                <w:lang w:val="en-US" w:eastAsia="zh-CN"/>
              </w:rPr>
              <w:t>2024年第4号</w:t>
            </w:r>
            <w:r>
              <w:rPr>
                <w:rFonts w:hint="eastAsia"/>
                <w:bCs/>
                <w:color w:val="auto"/>
                <w:szCs w:val="21"/>
                <w:highlight w:val="none"/>
              </w:rPr>
              <w:t>）</w:t>
            </w:r>
            <w:r>
              <w:rPr>
                <w:rFonts w:hint="default" w:ascii="Times New Roman" w:hAnsi="Times New Roman" w:cs="Times New Roman"/>
                <w:color w:val="auto"/>
                <w:kern w:val="21"/>
                <w:szCs w:val="21"/>
                <w:highlight w:val="none"/>
              </w:rPr>
              <w:t>。</w:t>
            </w:r>
          </w:p>
        </w:tc>
      </w:tr>
      <w:tr w14:paraId="2D9520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07" w:hRule="atLeast"/>
          <w:jc w:val="center"/>
        </w:trPr>
        <w:tc>
          <w:tcPr>
            <w:tcW w:w="452" w:type="pct"/>
            <w:tcBorders>
              <w:bottom w:val="single" w:color="auto" w:sz="4" w:space="0"/>
            </w:tcBorders>
            <w:vAlign w:val="center"/>
          </w:tcPr>
          <w:p w14:paraId="245EAB31">
            <w:pPr>
              <w:keepNext w:val="0"/>
              <w:keepLines w:val="0"/>
              <w:suppressLineNumbers w:val="0"/>
              <w:adjustRightInd w:val="0"/>
              <w:snapToGrid w:val="0"/>
              <w:spacing w:before="0" w:beforeAutospacing="0" w:after="0" w:afterAutospacing="0"/>
              <w:ind w:left="0" w:right="0"/>
              <w:jc w:val="center"/>
              <w:rPr>
                <w:rFonts w:hint="default" w:ascii="Times New Roman" w:hAnsi="Times New Roman" w:cs="Times New Roman"/>
                <w:color w:val="auto"/>
                <w:kern w:val="0"/>
                <w:szCs w:val="21"/>
                <w:highlight w:val="none"/>
              </w:rPr>
            </w:pPr>
            <w:r>
              <w:rPr>
                <w:rFonts w:hint="default" w:ascii="Times New Roman" w:hAnsi="Times New Roman" w:cs="Times New Roman"/>
                <w:color w:val="auto"/>
                <w:kern w:val="0"/>
                <w:szCs w:val="21"/>
                <w:highlight w:val="none"/>
              </w:rPr>
              <w:t>总量控制指标</w:t>
            </w:r>
          </w:p>
        </w:tc>
        <w:tc>
          <w:tcPr>
            <w:tcW w:w="4547" w:type="pct"/>
            <w:tcBorders>
              <w:bottom w:val="single" w:color="auto" w:sz="4" w:space="0"/>
            </w:tcBorders>
            <w:vAlign w:val="center"/>
          </w:tcPr>
          <w:p w14:paraId="06BFE4B0">
            <w:pPr>
              <w:keepNext w:val="0"/>
              <w:keepLines w:val="0"/>
              <w:widowControl/>
              <w:suppressLineNumbers w:val="0"/>
              <w:spacing w:before="0" w:beforeAutospacing="0" w:after="0" w:afterAutospacing="0" w:line="240" w:lineRule="auto"/>
              <w:ind w:left="0" w:right="0" w:firstLine="422" w:firstLineChars="200"/>
              <w:jc w:val="center"/>
              <w:rPr>
                <w:rFonts w:hint="eastAsia" w:eastAsia="宋体"/>
                <w:b/>
                <w:color w:val="auto"/>
                <w:szCs w:val="21"/>
                <w:highlight w:val="none"/>
                <w:lang w:eastAsia="zh-CN"/>
              </w:rPr>
            </w:pPr>
            <w:r>
              <w:rPr>
                <w:rFonts w:hint="eastAsia"/>
                <w:b/>
                <w:color w:val="auto"/>
                <w:szCs w:val="21"/>
                <w:highlight w:val="none"/>
              </w:rPr>
              <w:t>表</w:t>
            </w:r>
            <w:r>
              <w:rPr>
                <w:rFonts w:hint="default"/>
                <w:b/>
                <w:color w:val="auto"/>
                <w:szCs w:val="21"/>
                <w:highlight w:val="none"/>
              </w:rPr>
              <w:t>3</w:t>
            </w:r>
            <w:r>
              <w:rPr>
                <w:rFonts w:hint="eastAsia"/>
                <w:b/>
                <w:color w:val="auto"/>
                <w:szCs w:val="21"/>
                <w:highlight w:val="none"/>
                <w:lang w:val="en-US" w:eastAsia="zh-CN"/>
              </w:rPr>
              <w:t xml:space="preserve">-11 </w:t>
            </w:r>
            <w:r>
              <w:rPr>
                <w:rFonts w:hint="eastAsia"/>
                <w:b/>
                <w:color w:val="auto"/>
                <w:szCs w:val="21"/>
                <w:highlight w:val="none"/>
              </w:rPr>
              <w:t>总量控制表</w:t>
            </w:r>
            <w:r>
              <w:rPr>
                <w:rFonts w:hint="default"/>
                <w:b/>
                <w:color w:val="auto"/>
                <w:szCs w:val="21"/>
                <w:highlight w:val="none"/>
              </w:rPr>
              <w:t xml:space="preserve">  </w:t>
            </w:r>
            <w:r>
              <w:rPr>
                <w:rFonts w:hint="eastAsia"/>
                <w:b/>
                <w:color w:val="auto"/>
                <w:szCs w:val="21"/>
                <w:highlight w:val="none"/>
              </w:rPr>
              <w:t>单位：</w:t>
            </w:r>
            <w:r>
              <w:rPr>
                <w:rFonts w:hint="default"/>
                <w:b/>
                <w:color w:val="auto"/>
                <w:szCs w:val="21"/>
                <w:highlight w:val="none"/>
              </w:rPr>
              <w:t>t/a</w:t>
            </w:r>
          </w:p>
          <w:tbl>
            <w:tblPr>
              <w:tblStyle w:val="34"/>
              <w:tblW w:w="803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989"/>
              <w:gridCol w:w="2583"/>
              <w:gridCol w:w="2467"/>
            </w:tblGrid>
            <w:tr w14:paraId="60D6EEB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3" w:hRule="atLeast"/>
                <w:jc w:val="center"/>
              </w:trPr>
              <w:tc>
                <w:tcPr>
                  <w:tcW w:w="2989" w:type="dxa"/>
                  <w:noWrap w:val="0"/>
                  <w:vAlign w:val="center"/>
                </w:tcPr>
                <w:p w14:paraId="38894824">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default"/>
                      <w:bCs/>
                      <w:color w:val="auto"/>
                      <w:sz w:val="18"/>
                      <w:szCs w:val="18"/>
                      <w:highlight w:val="none"/>
                    </w:rPr>
                    <w:t>名称</w:t>
                  </w:r>
                </w:p>
              </w:tc>
              <w:tc>
                <w:tcPr>
                  <w:tcW w:w="2583" w:type="dxa"/>
                  <w:noWrap w:val="0"/>
                  <w:vAlign w:val="center"/>
                </w:tcPr>
                <w:p w14:paraId="080EC290">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lang w:eastAsia="zh-CN"/>
                    </w:rPr>
                    <w:t>预测排放量</w:t>
                  </w:r>
                  <w:r>
                    <w:rPr>
                      <w:rFonts w:hint="default"/>
                      <w:color w:val="auto"/>
                      <w:sz w:val="18"/>
                      <w:szCs w:val="18"/>
                      <w:highlight w:val="none"/>
                    </w:rPr>
                    <w:t>（t/a）</w:t>
                  </w:r>
                </w:p>
              </w:tc>
              <w:tc>
                <w:tcPr>
                  <w:tcW w:w="2467" w:type="dxa"/>
                  <w:noWrap w:val="0"/>
                  <w:vAlign w:val="center"/>
                </w:tcPr>
                <w:p w14:paraId="59E2B161">
                  <w:pPr>
                    <w:keepNext w:val="0"/>
                    <w:keepLines w:val="0"/>
                    <w:suppressLineNumbers w:val="0"/>
                    <w:spacing w:before="0" w:beforeAutospacing="0" w:after="0" w:afterAutospacing="0"/>
                    <w:ind w:left="0" w:right="0"/>
                    <w:jc w:val="center"/>
                    <w:rPr>
                      <w:rFonts w:hint="default"/>
                      <w:color w:val="auto"/>
                      <w:sz w:val="18"/>
                      <w:szCs w:val="18"/>
                      <w:highlight w:val="none"/>
                    </w:rPr>
                  </w:pPr>
                  <w:r>
                    <w:rPr>
                      <w:rFonts w:hint="eastAsia"/>
                      <w:color w:val="auto"/>
                      <w:sz w:val="18"/>
                      <w:szCs w:val="18"/>
                      <w:highlight w:val="none"/>
                      <w:lang w:eastAsia="zh-CN"/>
                    </w:rPr>
                    <w:t>核定排放量</w:t>
                  </w:r>
                  <w:r>
                    <w:rPr>
                      <w:rFonts w:hint="default"/>
                      <w:color w:val="auto"/>
                      <w:sz w:val="18"/>
                      <w:szCs w:val="18"/>
                      <w:highlight w:val="none"/>
                    </w:rPr>
                    <w:t>（t/a）</w:t>
                  </w:r>
                </w:p>
              </w:tc>
            </w:tr>
            <w:tr w14:paraId="44EA3F1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2989" w:type="dxa"/>
                  <w:noWrap w:val="0"/>
                  <w:vAlign w:val="center"/>
                </w:tcPr>
                <w:p w14:paraId="4A8C962C">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kern w:val="0"/>
                      <w:sz w:val="18"/>
                      <w:szCs w:val="18"/>
                      <w:highlight w:val="none"/>
                    </w:rPr>
                    <w:t>颗粒物</w:t>
                  </w:r>
                </w:p>
              </w:tc>
              <w:tc>
                <w:tcPr>
                  <w:tcW w:w="2583" w:type="dxa"/>
                  <w:noWrap w:val="0"/>
                  <w:vAlign w:val="center"/>
                </w:tcPr>
                <w:p w14:paraId="1E5C38EF">
                  <w:pPr>
                    <w:keepNext w:val="0"/>
                    <w:keepLines w:val="0"/>
                    <w:suppressLineNumbers w:val="0"/>
                    <w:spacing w:before="0" w:beforeAutospacing="0" w:after="0" w:afterAutospacing="0"/>
                    <w:ind w:left="0" w:leftChars="0" w:right="0" w:rightChars="0"/>
                    <w:jc w:val="center"/>
                    <w:rPr>
                      <w:rFonts w:hint="default"/>
                      <w:color w:val="auto"/>
                      <w:kern w:val="0"/>
                      <w:sz w:val="18"/>
                      <w:szCs w:val="18"/>
                      <w:highlight w:val="none"/>
                      <w:lang w:val="en-US" w:eastAsia="zh-CN" w:bidi="ar-SA"/>
                    </w:rPr>
                  </w:pPr>
                  <w:r>
                    <w:rPr>
                      <w:rFonts w:hint="eastAsia"/>
                      <w:color w:val="auto"/>
                      <w:kern w:val="0"/>
                      <w:sz w:val="18"/>
                      <w:szCs w:val="18"/>
                      <w:highlight w:val="none"/>
                      <w:lang w:val="en-US" w:eastAsia="zh-CN" w:bidi="ar-SA"/>
                    </w:rPr>
                    <w:t>4.258</w:t>
                  </w:r>
                </w:p>
              </w:tc>
              <w:tc>
                <w:tcPr>
                  <w:tcW w:w="2467" w:type="dxa"/>
                  <w:noWrap w:val="0"/>
                  <w:vAlign w:val="center"/>
                </w:tcPr>
                <w:p w14:paraId="40643E0A">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4.512</w:t>
                  </w:r>
                </w:p>
              </w:tc>
            </w:tr>
            <w:tr w14:paraId="617ECB3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2989" w:type="dxa"/>
                  <w:noWrap w:val="0"/>
                  <w:vAlign w:val="center"/>
                </w:tcPr>
                <w:p w14:paraId="59CEDC5B">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eastAsia="宋体" w:cs="Times New Roman"/>
                      <w:color w:val="auto"/>
                      <w:spacing w:val="0"/>
                      <w:position w:val="0"/>
                      <w:sz w:val="18"/>
                      <w:szCs w:val="18"/>
                      <w:highlight w:val="none"/>
                    </w:rPr>
                    <w:t>SO</w:t>
                  </w:r>
                  <w:r>
                    <w:rPr>
                      <w:rFonts w:hint="default" w:ascii="Times New Roman" w:hAnsi="Times New Roman" w:eastAsia="宋体" w:cs="Times New Roman"/>
                      <w:color w:val="auto"/>
                      <w:spacing w:val="0"/>
                      <w:position w:val="0"/>
                      <w:sz w:val="18"/>
                      <w:szCs w:val="18"/>
                      <w:highlight w:val="none"/>
                      <w:vertAlign w:val="subscript"/>
                    </w:rPr>
                    <w:t>2</w:t>
                  </w:r>
                </w:p>
              </w:tc>
              <w:tc>
                <w:tcPr>
                  <w:tcW w:w="2583" w:type="dxa"/>
                  <w:noWrap w:val="0"/>
                  <w:vAlign w:val="center"/>
                </w:tcPr>
                <w:p w14:paraId="2097BFB2">
                  <w:pPr>
                    <w:keepNext w:val="0"/>
                    <w:keepLines w:val="0"/>
                    <w:suppressLineNumbers w:val="0"/>
                    <w:spacing w:before="0" w:beforeAutospacing="0" w:after="0" w:afterAutospacing="0"/>
                    <w:ind w:left="0" w:leftChars="0" w:right="0" w:rightChars="0"/>
                    <w:jc w:val="center"/>
                    <w:rPr>
                      <w:rFonts w:hint="default"/>
                      <w:color w:val="auto"/>
                      <w:kern w:val="0"/>
                      <w:sz w:val="18"/>
                      <w:szCs w:val="18"/>
                      <w:highlight w:val="none"/>
                      <w:lang w:val="en-US" w:eastAsia="zh-CN" w:bidi="ar-SA"/>
                    </w:rPr>
                  </w:pPr>
                  <w:r>
                    <w:rPr>
                      <w:rFonts w:hint="eastAsia"/>
                      <w:color w:val="auto"/>
                      <w:kern w:val="0"/>
                      <w:sz w:val="18"/>
                      <w:szCs w:val="18"/>
                      <w:highlight w:val="none"/>
                      <w:lang w:val="en-US" w:eastAsia="zh-CN" w:bidi="ar-SA"/>
                    </w:rPr>
                    <w:t>2.182</w:t>
                  </w:r>
                </w:p>
              </w:tc>
              <w:tc>
                <w:tcPr>
                  <w:tcW w:w="2467" w:type="dxa"/>
                  <w:noWrap w:val="0"/>
                  <w:vAlign w:val="center"/>
                </w:tcPr>
                <w:p w14:paraId="3CD120A2">
                  <w:pPr>
                    <w:keepNext w:val="0"/>
                    <w:keepLines w:val="0"/>
                    <w:suppressLineNumbers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6.788</w:t>
                  </w:r>
                </w:p>
              </w:tc>
            </w:tr>
            <w:tr w14:paraId="3F05B3D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2989" w:type="dxa"/>
                  <w:noWrap w:val="0"/>
                  <w:vAlign w:val="center"/>
                </w:tcPr>
                <w:p w14:paraId="45964A38">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eastAsia="宋体" w:cs="Times New Roman"/>
                      <w:color w:val="auto"/>
                      <w:spacing w:val="0"/>
                      <w:position w:val="0"/>
                      <w:sz w:val="18"/>
                      <w:szCs w:val="18"/>
                      <w:highlight w:val="none"/>
                    </w:rPr>
                    <w:t>NO</w:t>
                  </w:r>
                  <w:r>
                    <w:rPr>
                      <w:rFonts w:hint="default" w:ascii="Times New Roman" w:hAnsi="Times New Roman" w:eastAsia="宋体" w:cs="Times New Roman"/>
                      <w:color w:val="auto"/>
                      <w:spacing w:val="0"/>
                      <w:position w:val="0"/>
                      <w:sz w:val="18"/>
                      <w:szCs w:val="18"/>
                      <w:highlight w:val="none"/>
                      <w:lang w:val="en-US" w:eastAsia="zh-CN"/>
                    </w:rPr>
                    <w:t>x</w:t>
                  </w:r>
                </w:p>
              </w:tc>
              <w:tc>
                <w:tcPr>
                  <w:tcW w:w="2583" w:type="dxa"/>
                  <w:noWrap w:val="0"/>
                  <w:vAlign w:val="center"/>
                </w:tcPr>
                <w:p w14:paraId="2BE293C9">
                  <w:pPr>
                    <w:keepNext w:val="0"/>
                    <w:keepLines w:val="0"/>
                    <w:suppressLineNumbers w:val="0"/>
                    <w:spacing w:before="0" w:beforeAutospacing="0" w:after="0" w:afterAutospacing="0"/>
                    <w:ind w:left="0" w:leftChars="0" w:right="0" w:rightChars="0"/>
                    <w:jc w:val="center"/>
                    <w:rPr>
                      <w:rFonts w:hint="default"/>
                      <w:color w:val="auto"/>
                      <w:kern w:val="0"/>
                      <w:sz w:val="18"/>
                      <w:szCs w:val="18"/>
                      <w:highlight w:val="none"/>
                      <w:lang w:val="en-US" w:eastAsia="zh-CN" w:bidi="ar-SA"/>
                    </w:rPr>
                  </w:pPr>
                  <w:r>
                    <w:rPr>
                      <w:rFonts w:hint="eastAsia"/>
                      <w:color w:val="auto"/>
                      <w:kern w:val="0"/>
                      <w:sz w:val="18"/>
                      <w:szCs w:val="18"/>
                      <w:highlight w:val="none"/>
                      <w:lang w:val="en-US" w:eastAsia="zh-CN" w:bidi="ar-SA"/>
                    </w:rPr>
                    <w:t>8.244</w:t>
                  </w:r>
                </w:p>
              </w:tc>
              <w:tc>
                <w:tcPr>
                  <w:tcW w:w="2467" w:type="dxa"/>
                  <w:noWrap w:val="0"/>
                  <w:vAlign w:val="center"/>
                </w:tcPr>
                <w:p w14:paraId="3BC85EC6">
                  <w:pPr>
                    <w:keepNext w:val="0"/>
                    <w:keepLines w:val="0"/>
                    <w:suppressLineNumbers w:val="0"/>
                    <w:spacing w:before="0" w:beforeAutospacing="0" w:after="0" w:afterAutospacing="0"/>
                    <w:ind w:left="0" w:right="0"/>
                    <w:jc w:val="center"/>
                    <w:rPr>
                      <w:rFonts w:hint="default"/>
                      <w:color w:val="auto"/>
                      <w:sz w:val="18"/>
                      <w:szCs w:val="18"/>
                      <w:highlight w:val="none"/>
                      <w:lang w:val="en-US" w:eastAsia="zh-CN"/>
                    </w:rPr>
                  </w:pPr>
                  <w:r>
                    <w:rPr>
                      <w:rFonts w:hint="eastAsia"/>
                      <w:color w:val="auto"/>
                      <w:sz w:val="18"/>
                      <w:szCs w:val="18"/>
                      <w:highlight w:val="none"/>
                      <w:lang w:val="en-US" w:eastAsia="zh-CN"/>
                    </w:rPr>
                    <w:t>20.35</w:t>
                  </w:r>
                </w:p>
              </w:tc>
            </w:tr>
          </w:tbl>
          <w:p w14:paraId="534448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textAlignment w:val="auto"/>
              <w:rPr>
                <w:rFonts w:hint="eastAsia" w:ascii="Times New Roman" w:hAnsi="Times New Roman" w:eastAsia="宋体" w:cs="Times New Roman"/>
                <w:color w:val="auto"/>
                <w:kern w:val="0"/>
                <w:szCs w:val="21"/>
                <w:highlight w:val="none"/>
                <w:lang w:val="en-US" w:eastAsia="zh-CN"/>
              </w:rPr>
            </w:pPr>
          </w:p>
        </w:tc>
      </w:tr>
    </w:tbl>
    <w:p w14:paraId="28684B25">
      <w:pPr>
        <w:pStyle w:val="30"/>
        <w:spacing w:before="0" w:beforeAutospacing="0" w:after="158" w:afterLines="50" w:afterAutospacing="0"/>
        <w:jc w:val="center"/>
        <w:outlineLvl w:val="0"/>
        <w:rPr>
          <w:rFonts w:hint="eastAsia" w:ascii="宋体" w:hAnsi="宋体" w:eastAsia="宋体" w:cs="宋体"/>
          <w:snapToGrid w:val="0"/>
          <w:color w:val="auto"/>
          <w:kern w:val="21"/>
          <w:sz w:val="30"/>
          <w:szCs w:val="30"/>
          <w:highlight w:val="none"/>
        </w:rPr>
      </w:pPr>
      <w:r>
        <w:rPr>
          <w:rFonts w:hint="default" w:ascii="Times New Roman" w:hAnsi="Times New Roman" w:eastAsia="黑体" w:cs="Times New Roman"/>
          <w:snapToGrid w:val="0"/>
          <w:color w:val="auto"/>
          <w:kern w:val="2"/>
          <w:sz w:val="36"/>
          <w:szCs w:val="36"/>
          <w:highlight w:val="none"/>
        </w:rPr>
        <w:br w:type="page"/>
      </w:r>
      <w:bookmarkStart w:id="6" w:name="_Toc17537"/>
      <w:r>
        <w:rPr>
          <w:rFonts w:hint="eastAsia" w:ascii="宋体" w:hAnsi="宋体" w:eastAsia="宋体" w:cs="宋体"/>
          <w:snapToGrid w:val="0"/>
          <w:color w:val="auto"/>
          <w:kern w:val="21"/>
          <w:sz w:val="30"/>
          <w:szCs w:val="30"/>
          <w:highlight w:val="none"/>
        </w:rPr>
        <w:t>四、主要环境影响和保护措施</w:t>
      </w:r>
      <w:bookmarkEnd w:id="6"/>
    </w:p>
    <w:tbl>
      <w:tblPr>
        <w:tblStyle w:val="34"/>
        <w:tblW w:w="914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66"/>
        <w:gridCol w:w="8874"/>
      </w:tblGrid>
      <w:tr w14:paraId="1A30E2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6" w:type="dxa"/>
            <w:noWrap w:val="0"/>
            <w:tcMar>
              <w:left w:w="28" w:type="dxa"/>
              <w:right w:w="28" w:type="dxa"/>
            </w:tcMar>
            <w:vAlign w:val="center"/>
          </w:tcPr>
          <w:p w14:paraId="27ACFD1B">
            <w:pPr>
              <w:pStyle w:val="30"/>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施工</w:t>
            </w:r>
          </w:p>
          <w:p w14:paraId="47BE4E13">
            <w:pPr>
              <w:pStyle w:val="30"/>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期环</w:t>
            </w:r>
          </w:p>
          <w:p w14:paraId="6A609E83">
            <w:pPr>
              <w:pStyle w:val="30"/>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境保</w:t>
            </w:r>
          </w:p>
          <w:p w14:paraId="0E55A105">
            <w:pPr>
              <w:pStyle w:val="30"/>
              <w:keepNext w:val="0"/>
              <w:keepLines w:val="0"/>
              <w:suppressLineNumbers w:val="0"/>
              <w:adjustRightInd w:val="0"/>
              <w:snapToGrid w:val="0"/>
              <w:spacing w:before="0" w:beforeAutospacing="0" w:after="0" w:afterAutospacing="0"/>
              <w:ind w:left="0" w:right="0"/>
              <w:jc w:val="center"/>
              <w:rPr>
                <w:rFonts w:hint="default" w:ascii="Times New Roman" w:hAnsi="Times New Roman"/>
                <w:color w:val="auto"/>
                <w:kern w:val="2"/>
                <w:sz w:val="21"/>
                <w:szCs w:val="21"/>
                <w:highlight w:val="none"/>
              </w:rPr>
            </w:pPr>
            <w:r>
              <w:rPr>
                <w:rFonts w:hint="default" w:ascii="Times New Roman" w:hAnsi="Times New Roman"/>
                <w:color w:val="auto"/>
                <w:kern w:val="2"/>
                <w:sz w:val="21"/>
                <w:szCs w:val="21"/>
                <w:highlight w:val="none"/>
              </w:rPr>
              <w:t>护措</w:t>
            </w:r>
          </w:p>
          <w:p w14:paraId="4EED1EDE">
            <w:pPr>
              <w:pStyle w:val="30"/>
              <w:keepNext w:val="0"/>
              <w:keepLines w:val="0"/>
              <w:suppressLineNumbers w:val="0"/>
              <w:adjustRightInd w:val="0"/>
              <w:snapToGrid w:val="0"/>
              <w:spacing w:before="0" w:beforeAutospacing="0" w:after="0" w:afterAutospacing="0"/>
              <w:ind w:left="0" w:right="0"/>
              <w:jc w:val="center"/>
              <w:rPr>
                <w:rFonts w:hint="default" w:ascii="Times New Roman" w:hAnsi="Times New Roman"/>
                <w:bCs/>
                <w:color w:val="auto"/>
                <w:kern w:val="2"/>
                <w:sz w:val="21"/>
                <w:szCs w:val="21"/>
                <w:highlight w:val="none"/>
              </w:rPr>
            </w:pPr>
            <w:r>
              <w:rPr>
                <w:rFonts w:hint="default" w:ascii="Times New Roman" w:hAnsi="Times New Roman"/>
                <w:color w:val="auto"/>
                <w:kern w:val="2"/>
                <w:sz w:val="21"/>
                <w:szCs w:val="21"/>
                <w:highlight w:val="none"/>
              </w:rPr>
              <w:t>施</w:t>
            </w:r>
          </w:p>
        </w:tc>
        <w:tc>
          <w:tcPr>
            <w:tcW w:w="8874" w:type="dxa"/>
            <w:noWrap w:val="0"/>
            <w:vAlign w:val="center"/>
          </w:tcPr>
          <w:p w14:paraId="5F0D23C3">
            <w:pPr>
              <w:pStyle w:val="18"/>
              <w:keepNext w:val="0"/>
              <w:keepLines w:val="0"/>
              <w:widowControl/>
              <w:suppressLineNumbers w:val="0"/>
              <w:spacing w:before="0" w:beforeAutospacing="0" w:after="0" w:afterAutospacing="0" w:line="360" w:lineRule="auto"/>
              <w:ind w:left="0" w:right="0"/>
              <w:rPr>
                <w:rFonts w:hint="default" w:hAnsi="Times New Roman"/>
                <w:b/>
                <w:bCs/>
                <w:color w:val="auto"/>
                <w:highlight w:val="none"/>
              </w:rPr>
            </w:pPr>
            <w:r>
              <w:rPr>
                <w:rFonts w:hint="default" w:hAnsi="Times New Roman"/>
                <w:b/>
                <w:bCs/>
                <w:color w:val="auto"/>
                <w:highlight w:val="none"/>
              </w:rPr>
              <w:t>一、大气污染防治措施</w:t>
            </w:r>
          </w:p>
          <w:p w14:paraId="06C1116C">
            <w:pPr>
              <w:pStyle w:val="20"/>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rPr>
                <w:rFonts w:hint="default"/>
                <w:color w:val="auto"/>
                <w:highlight w:val="none"/>
              </w:rPr>
            </w:pPr>
            <w:r>
              <w:rPr>
                <w:rFonts w:hint="default"/>
                <w:color w:val="auto"/>
                <w:highlight w:val="none"/>
              </w:rPr>
              <w:t>本项目施工期废气主要为场地平整，施工机械和施工运输车辆产生的机动车尾气。</w:t>
            </w:r>
          </w:p>
          <w:p w14:paraId="2B05B351">
            <w:pPr>
              <w:pStyle w:val="20"/>
              <w:keepNext w:val="0"/>
              <w:keepLines w:val="0"/>
              <w:pageBreakBefore w:val="0"/>
              <w:widowControl/>
              <w:suppressLineNumbers w:val="0"/>
              <w:kinsoku/>
              <w:wordWrap/>
              <w:overflowPunct/>
              <w:topLinePunct w:val="0"/>
              <w:autoSpaceDE/>
              <w:autoSpaceDN/>
              <w:bidi w:val="0"/>
              <w:spacing w:before="0" w:beforeAutospacing="0" w:after="0" w:afterAutospacing="0" w:line="360" w:lineRule="auto"/>
              <w:ind w:left="0" w:leftChars="0" w:right="0" w:firstLine="420" w:firstLineChars="200"/>
              <w:rPr>
                <w:rFonts w:hint="default"/>
                <w:color w:val="auto"/>
                <w:sz w:val="21"/>
                <w:highlight w:val="none"/>
              </w:rPr>
            </w:pPr>
            <w:r>
              <w:rPr>
                <w:rFonts w:hint="default"/>
                <w:color w:val="auto"/>
                <w:sz w:val="21"/>
                <w:highlight w:val="none"/>
              </w:rPr>
              <w:t>治理措施：</w:t>
            </w:r>
          </w:p>
          <w:p w14:paraId="4997C4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sz w:val="21"/>
                <w:highlight w:val="none"/>
              </w:rPr>
            </w:pPr>
            <w:r>
              <w:rPr>
                <w:rFonts w:hint="default"/>
                <w:color w:val="auto"/>
                <w:sz w:val="21"/>
                <w:highlight w:val="none"/>
              </w:rPr>
              <w:t>1）施工扬尘</w:t>
            </w:r>
          </w:p>
          <w:p w14:paraId="4C7473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①针对施工任务和施工场地环境状况，制定合理的施工计划，采取集中力量逐段施工方法，缩短施工周期，减少施工现场的工作面，减轻施工扬尘对环境的影响。</w:t>
            </w:r>
          </w:p>
          <w:p w14:paraId="2F5651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③施工车辆采取篷布加盖措施，施工车辆运输路线选择尽量避绕人口密集区、学校、医院等敏感点。</w:t>
            </w:r>
          </w:p>
          <w:p w14:paraId="5B7499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④运输</w:t>
            </w:r>
            <w:r>
              <w:rPr>
                <w:rFonts w:hint="eastAsia"/>
                <w:color w:val="auto"/>
                <w:highlight w:val="none"/>
                <w:lang w:eastAsia="zh-CN"/>
              </w:rPr>
              <w:t>建筑</w:t>
            </w:r>
            <w:r>
              <w:rPr>
                <w:rFonts w:hint="default"/>
                <w:color w:val="auto"/>
                <w:highlight w:val="none"/>
              </w:rPr>
              <w:t>垃圾的车辆装载高度应低于车辆上沿，不得超高超载。实行封闭运输，以免车辆颠簸撒漏。坚持文明装卸，运输车辆装卸完货后应清洗车厢。</w:t>
            </w:r>
          </w:p>
          <w:p w14:paraId="3B4C657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⑤在施工场地上设置专人负责建筑垃圾、建筑材料的处置、清运和堆放，堆放场地加盖蓬布或洒水，防止二次扬尘。</w:t>
            </w:r>
          </w:p>
          <w:p w14:paraId="5B1ED4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⑥对建筑垃圾应及时处理、清运、以减少占地，防止扬尘污染，改善施工场地的环境。</w:t>
            </w:r>
          </w:p>
          <w:p w14:paraId="7E1A41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⑦施工过程中，在施工现场周围，连续设置不低于1.5m高的围挡，并做到坚固美观。</w:t>
            </w:r>
          </w:p>
          <w:p w14:paraId="1194A5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⑧在施工场地安排员工定期对施工场地洒水以减少扬尘量，洒水次数根据天气状况而定，一般每天洒水1~2次，若遇到大风或干燥天气可适当增加洒水次数。</w:t>
            </w:r>
          </w:p>
          <w:p w14:paraId="26C6865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⑨施工结束后，应尽早对场区内的裸露地面进行绿化、硬化工作，减少扬尘的产生量和预防水土流失。可选取栽种易存活、好管理的本地品种，尽可能增大场区内、外的绿化面积，做到草、灌、木相结合。</w:t>
            </w:r>
          </w:p>
          <w:p w14:paraId="732974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2）机械设备、车辆燃油废气防治措施如下：</w:t>
            </w:r>
          </w:p>
          <w:p w14:paraId="1745B7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①选用先进的施工机械，减少油耗和燃油废气污染；</w:t>
            </w:r>
          </w:p>
          <w:p w14:paraId="60723C5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②尽量使用电气化设备，少使用燃油设备；</w:t>
            </w:r>
          </w:p>
          <w:p w14:paraId="0FEC12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③做好设备的维修和养护工作，使机械设备处于良好的工作状态，减少油耗，同时降低污染。</w:t>
            </w:r>
          </w:p>
          <w:p w14:paraId="2D0DC15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szCs w:val="21"/>
                <w:highlight w:val="none"/>
              </w:rPr>
            </w:pPr>
            <w:r>
              <w:rPr>
                <w:rFonts w:hint="default"/>
                <w:color w:val="auto"/>
                <w:szCs w:val="21"/>
                <w:highlight w:val="none"/>
              </w:rPr>
              <w:t>经上述治理后，施工期产生的粉尘、扬尘对环境空气的影响较小。满足《大气污染物综合排放标准》（GB16297-1996）表2中无组织排放标准要求。</w:t>
            </w:r>
          </w:p>
          <w:p w14:paraId="1235F4B3">
            <w:pPr>
              <w:pStyle w:val="18"/>
              <w:keepNext w:val="0"/>
              <w:keepLines w:val="0"/>
              <w:widowControl/>
              <w:suppressLineNumbers w:val="0"/>
              <w:spacing w:before="0" w:beforeAutospacing="0" w:after="0" w:afterAutospacing="0" w:line="360" w:lineRule="auto"/>
              <w:ind w:left="0" w:right="0" w:firstLine="0" w:firstLineChars="0"/>
              <w:rPr>
                <w:rFonts w:hint="default" w:hAnsi="Times New Roman"/>
                <w:b/>
                <w:bCs/>
                <w:color w:val="auto"/>
                <w:highlight w:val="none"/>
              </w:rPr>
            </w:pPr>
            <w:r>
              <w:rPr>
                <w:rFonts w:hint="default" w:hAnsi="Times New Roman"/>
                <w:b/>
                <w:bCs/>
                <w:color w:val="auto"/>
                <w:highlight w:val="none"/>
              </w:rPr>
              <w:t>二、水环境污染防治措施</w:t>
            </w:r>
          </w:p>
          <w:p w14:paraId="29A776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auto"/>
                <w:highlight w:val="none"/>
              </w:rPr>
            </w:pPr>
            <w:r>
              <w:rPr>
                <w:rFonts w:hint="default"/>
                <w:color w:val="auto"/>
                <w:highlight w:val="none"/>
              </w:rPr>
              <w:t>1、施工废水</w:t>
            </w:r>
          </w:p>
          <w:p w14:paraId="22C4A5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textAlignment w:val="auto"/>
              <w:rPr>
                <w:rFonts w:hint="default"/>
                <w:color w:val="auto"/>
                <w:highlight w:val="none"/>
              </w:rPr>
            </w:pPr>
            <w:r>
              <w:rPr>
                <w:rFonts w:hint="default"/>
                <w:color w:val="auto"/>
                <w:highlight w:val="none"/>
              </w:rPr>
              <w:t>当建设施工队伍进入施工现场进行砂、石子冲洗等施工作业过程中将会有施工泥浆废水产生，因此要求施工方在施工现场开挖修建临时废水储存池，使施工泥浆废水经过沉淀澄清处理后，上清液回收利用，不外排，池内泥浆定时挖出与建筑垃圾合并，运到管理部门指定的建筑渣土堆放场地妥善堆存处理。</w:t>
            </w:r>
          </w:p>
          <w:p w14:paraId="3F7F00E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auto"/>
                <w:highlight w:val="none"/>
              </w:rPr>
            </w:pPr>
            <w:r>
              <w:rPr>
                <w:rFonts w:hint="default"/>
                <w:color w:val="auto"/>
                <w:highlight w:val="none"/>
              </w:rPr>
              <w:t>2、生活污水</w:t>
            </w:r>
          </w:p>
          <w:p w14:paraId="2C4AF2B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auto"/>
                <w:szCs w:val="21"/>
                <w:highlight w:val="none"/>
              </w:rPr>
            </w:pPr>
            <w:r>
              <w:rPr>
                <w:rFonts w:hint="default"/>
                <w:color w:val="auto"/>
                <w:highlight w:val="none"/>
              </w:rPr>
              <w:t>施工人员生活污水排入</w:t>
            </w:r>
            <w:r>
              <w:rPr>
                <w:rFonts w:hint="default"/>
                <w:color w:val="auto"/>
                <w:szCs w:val="21"/>
                <w:highlight w:val="none"/>
              </w:rPr>
              <w:t>防渗</w:t>
            </w:r>
            <w:r>
              <w:rPr>
                <w:rFonts w:hint="eastAsia"/>
                <w:color w:val="auto"/>
                <w:szCs w:val="21"/>
                <w:highlight w:val="none"/>
                <w:lang w:val="en-US" w:eastAsia="zh-CN"/>
              </w:rPr>
              <w:t>旱厕</w:t>
            </w:r>
            <w:r>
              <w:rPr>
                <w:rFonts w:hint="default"/>
                <w:color w:val="auto"/>
                <w:szCs w:val="21"/>
                <w:highlight w:val="none"/>
              </w:rPr>
              <w:t>，定期清掏、外运堆肥，不外排。</w:t>
            </w:r>
          </w:p>
          <w:p w14:paraId="692D92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rPr>
                <w:rFonts w:hint="default"/>
                <w:color w:val="auto"/>
                <w:szCs w:val="21"/>
                <w:highlight w:val="none"/>
              </w:rPr>
            </w:pPr>
            <w:r>
              <w:rPr>
                <w:rFonts w:hint="default"/>
                <w:color w:val="auto"/>
                <w:szCs w:val="21"/>
                <w:highlight w:val="none"/>
              </w:rPr>
              <w:t>在认真落实上述措施的基础上，施工废水对施工现场周围的环境影响较小，伴随施工期的结束也将结束。</w:t>
            </w:r>
          </w:p>
          <w:p w14:paraId="2421C23E">
            <w:pPr>
              <w:pStyle w:val="18"/>
              <w:keepNext w:val="0"/>
              <w:keepLines w:val="0"/>
              <w:widowControl/>
              <w:suppressLineNumbers w:val="0"/>
              <w:spacing w:before="0" w:beforeAutospacing="0" w:after="0" w:afterAutospacing="0" w:line="360" w:lineRule="auto"/>
              <w:ind w:left="0" w:right="0" w:firstLine="0" w:firstLineChars="0"/>
              <w:rPr>
                <w:rFonts w:hint="default" w:hAnsi="Times New Roman"/>
                <w:b/>
                <w:bCs/>
                <w:color w:val="auto"/>
                <w:highlight w:val="none"/>
              </w:rPr>
            </w:pPr>
            <w:r>
              <w:rPr>
                <w:rFonts w:hint="default" w:hAnsi="Times New Roman"/>
                <w:b/>
                <w:bCs/>
                <w:color w:val="auto"/>
                <w:highlight w:val="none"/>
              </w:rPr>
              <w:t>三、声环境防治措施</w:t>
            </w:r>
          </w:p>
          <w:p w14:paraId="112C2E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highlight w:val="none"/>
              </w:rPr>
            </w:pPr>
            <w:r>
              <w:rPr>
                <w:rFonts w:hint="default"/>
                <w:color w:val="auto"/>
                <w:sz w:val="21"/>
                <w:highlight w:val="none"/>
              </w:rPr>
              <w:t>施工期噪声主要为</w:t>
            </w:r>
            <w:r>
              <w:rPr>
                <w:rFonts w:hint="eastAsia"/>
                <w:color w:val="auto"/>
                <w:sz w:val="21"/>
                <w:highlight w:val="none"/>
                <w:lang w:val="en-US" w:eastAsia="zh-CN"/>
              </w:rPr>
              <w:t>设备安装、</w:t>
            </w:r>
            <w:r>
              <w:rPr>
                <w:rFonts w:hint="default"/>
                <w:color w:val="auto"/>
                <w:sz w:val="21"/>
                <w:highlight w:val="none"/>
              </w:rPr>
              <w:t>施工机械及车辆运行造成的。</w:t>
            </w:r>
          </w:p>
          <w:p w14:paraId="026AA4B6">
            <w:pPr>
              <w:pStyle w:val="9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auto"/>
                <w:sz w:val="21"/>
                <w:highlight w:val="none"/>
              </w:rPr>
            </w:pPr>
            <w:r>
              <w:rPr>
                <w:rFonts w:hint="default"/>
                <w:color w:val="auto"/>
                <w:sz w:val="21"/>
                <w:highlight w:val="none"/>
              </w:rPr>
              <w:t>治理措施：①加强施工管理，合理安排施工作业时间，严格按照施工噪声管理的有关规定执行。施工现场施工单位必须执行《建筑施工场界环境噪声排放标准》（GB12523-2011）中的各项规定。将打桩等高噪声作业尽量安排在白天进行，杜绝夜间（22：00-7：00）施工噪声扰民。</w:t>
            </w:r>
          </w:p>
          <w:p w14:paraId="3AD82C97">
            <w:pPr>
              <w:pStyle w:val="9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auto"/>
                <w:sz w:val="21"/>
                <w:highlight w:val="none"/>
              </w:rPr>
            </w:pPr>
            <w:r>
              <w:rPr>
                <w:rFonts w:hint="default"/>
                <w:color w:val="auto"/>
                <w:sz w:val="21"/>
                <w:highlight w:val="none"/>
              </w:rPr>
              <w:t>②尽量采用低噪声的施工工具，如以液压工具代替气压工具，同时尽可能采用施工噪声低的施工方法</w:t>
            </w:r>
            <w:r>
              <w:rPr>
                <w:rFonts w:hint="eastAsia"/>
                <w:color w:val="auto"/>
                <w:sz w:val="21"/>
                <w:highlight w:val="none"/>
                <w:lang w:eastAsia="zh-CN"/>
              </w:rPr>
              <w:t>，</w:t>
            </w:r>
            <w:r>
              <w:rPr>
                <w:rFonts w:hint="default"/>
                <w:color w:val="auto"/>
                <w:sz w:val="21"/>
                <w:highlight w:val="none"/>
              </w:rPr>
              <w:t>如在项目施工过程中合理调配施工设备，将噪声较大的设备、项目主入口设置于远离环境敏感点的位置。</w:t>
            </w:r>
          </w:p>
          <w:p w14:paraId="2700EFF4">
            <w:pPr>
              <w:pStyle w:val="9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auto"/>
                <w:sz w:val="21"/>
                <w:highlight w:val="none"/>
              </w:rPr>
            </w:pPr>
            <w:r>
              <w:rPr>
                <w:rFonts w:hint="default"/>
                <w:color w:val="auto"/>
                <w:sz w:val="21"/>
                <w:highlight w:val="none"/>
              </w:rPr>
              <w:t>③合理进行施工总平面布置，高噪设备进行隔声、减振，施工现场设置隔挡，在特殊点施工时安装隔声屏障。</w:t>
            </w:r>
          </w:p>
          <w:p w14:paraId="20D67A3A">
            <w:pPr>
              <w:pStyle w:val="9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auto"/>
                <w:sz w:val="21"/>
                <w:highlight w:val="none"/>
              </w:rPr>
            </w:pPr>
            <w:r>
              <w:rPr>
                <w:rFonts w:hint="default"/>
                <w:color w:val="auto"/>
                <w:sz w:val="21"/>
                <w:highlight w:val="none"/>
              </w:rPr>
              <w:t>④混凝土需要连续浇灌作业前，应做好各项准备工作，将搅拌机运行时间压到最低限度。</w:t>
            </w:r>
          </w:p>
          <w:p w14:paraId="7BE0C70B">
            <w:pPr>
              <w:pStyle w:val="9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auto"/>
                <w:sz w:val="21"/>
                <w:highlight w:val="none"/>
              </w:rPr>
            </w:pPr>
            <w:r>
              <w:rPr>
                <w:rFonts w:hint="default"/>
                <w:color w:val="auto"/>
                <w:sz w:val="21"/>
                <w:highlight w:val="none"/>
              </w:rPr>
              <w:t>⑤定期对机械、设备进行维护、检修。</w:t>
            </w:r>
          </w:p>
          <w:p w14:paraId="18200505">
            <w:pPr>
              <w:pStyle w:val="9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textAlignment w:val="auto"/>
              <w:rPr>
                <w:rFonts w:hint="default"/>
                <w:color w:val="auto"/>
                <w:sz w:val="21"/>
                <w:highlight w:val="none"/>
              </w:rPr>
            </w:pPr>
            <w:r>
              <w:rPr>
                <w:rFonts w:hint="default"/>
                <w:color w:val="auto"/>
                <w:sz w:val="21"/>
                <w:highlight w:val="none"/>
              </w:rPr>
              <w:t>⑥加强对运输车辆的管理，施工过程中各种运输车辆的运行，还将会引起公路沿线噪声级的增加。因此，应加强对运输车辆的管理，制订合理运输路线，采取控制车速和禁鸣笛等措施，减少运输噪声污染。</w:t>
            </w:r>
          </w:p>
          <w:p w14:paraId="4BDAFE7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rPr>
            </w:pPr>
            <w:r>
              <w:rPr>
                <w:rFonts w:hint="default"/>
                <w:color w:val="auto"/>
                <w:sz w:val="21"/>
                <w:highlight w:val="none"/>
              </w:rPr>
              <w:t>各施工阶段的设备产生的噪声具有阶段性、临时性和不固定性，不同的施工阶段有不同的噪声源。通过采取上述措施，施工期噪声对周边环境影响较小，基本不会产生扰民现象，并会随着施工期结束而消失。采取以上措施后，施工场界声环境可满足《建筑施工场界环境噪声排放标准》（GB12523-2011）中规定的标准。</w:t>
            </w:r>
          </w:p>
          <w:p w14:paraId="330DEC7B">
            <w:pPr>
              <w:keepNext w:val="0"/>
              <w:keepLines w:val="0"/>
              <w:widowControl/>
              <w:suppressLineNumbers w:val="0"/>
              <w:spacing w:before="0" w:beforeAutospacing="0" w:after="0" w:afterAutospacing="0" w:line="360" w:lineRule="auto"/>
              <w:ind w:left="0" w:right="0" w:firstLine="0" w:firstLineChars="0"/>
              <w:rPr>
                <w:rFonts w:hint="default"/>
                <w:b/>
                <w:bCs/>
                <w:color w:val="auto"/>
                <w:highlight w:val="none"/>
              </w:rPr>
            </w:pPr>
            <w:r>
              <w:rPr>
                <w:rFonts w:hint="default"/>
                <w:b/>
                <w:bCs/>
                <w:color w:val="auto"/>
                <w:highlight w:val="none"/>
              </w:rPr>
              <w:t>四、固体废物影响分析</w:t>
            </w:r>
          </w:p>
          <w:p w14:paraId="2071DAC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360" w:lineRule="auto"/>
              <w:ind w:left="0" w:right="0" w:firstLine="420" w:firstLineChars="200"/>
              <w:textAlignment w:val="auto"/>
              <w:rPr>
                <w:rFonts w:hint="default"/>
                <w:color w:val="auto"/>
                <w:sz w:val="21"/>
                <w:highlight w:val="none"/>
              </w:rPr>
            </w:pPr>
            <w:r>
              <w:rPr>
                <w:rFonts w:hint="default"/>
                <w:color w:val="auto"/>
                <w:sz w:val="21"/>
                <w:highlight w:val="none"/>
              </w:rPr>
              <w:t>施工期产生的固体废物主要包括建筑废弃材料和施工人员生活垃圾</w:t>
            </w:r>
            <w:r>
              <w:rPr>
                <w:rFonts w:hint="default"/>
                <w:color w:val="auto"/>
                <w:sz w:val="21"/>
                <w:szCs w:val="21"/>
                <w:highlight w:val="none"/>
              </w:rPr>
              <w:t>。</w:t>
            </w:r>
          </w:p>
          <w:p w14:paraId="04BA61E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360" w:lineRule="auto"/>
              <w:ind w:left="0" w:right="0" w:firstLine="420" w:firstLineChars="200"/>
              <w:textAlignment w:val="auto"/>
              <w:rPr>
                <w:rFonts w:hint="default"/>
                <w:color w:val="auto"/>
                <w:sz w:val="21"/>
                <w:highlight w:val="none"/>
              </w:rPr>
            </w:pPr>
            <w:r>
              <w:rPr>
                <w:rFonts w:hint="default"/>
                <w:color w:val="auto"/>
                <w:sz w:val="21"/>
                <w:highlight w:val="none"/>
              </w:rPr>
              <w:t>对施工产生的废料首先应考虑废料的回收利用，如钢筋、钢板、木材等下角料可分类回收，由废物收购站处理；建筑垃圾，如混凝土废料、含砖、石、砂的杂土应集中堆放，定时清运，送建筑废渣专用堆放场，以免影响施工和环境卫生。</w:t>
            </w:r>
          </w:p>
          <w:p w14:paraId="53E55187">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360" w:lineRule="auto"/>
              <w:ind w:left="0" w:right="0" w:firstLine="420" w:firstLineChars="200"/>
              <w:textAlignment w:val="auto"/>
              <w:rPr>
                <w:rFonts w:hint="default"/>
                <w:color w:val="auto"/>
                <w:sz w:val="21"/>
                <w:highlight w:val="none"/>
              </w:rPr>
            </w:pPr>
            <w:r>
              <w:rPr>
                <w:rFonts w:hint="default"/>
                <w:color w:val="auto"/>
                <w:sz w:val="21"/>
                <w:highlight w:val="none"/>
              </w:rPr>
              <w:t>施工人员生活垃圾设置专门的储存设施，集中收集后交由市政部门处理。</w:t>
            </w:r>
          </w:p>
          <w:p w14:paraId="7FE1A36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color w:val="auto"/>
                <w:sz w:val="21"/>
                <w:highlight w:val="none"/>
              </w:rPr>
            </w:pPr>
            <w:r>
              <w:rPr>
                <w:rFonts w:hint="default"/>
                <w:color w:val="auto"/>
                <w:sz w:val="21"/>
                <w:szCs w:val="21"/>
                <w:highlight w:val="none"/>
              </w:rPr>
              <w:t>施工期固体废物处置率100%。</w:t>
            </w:r>
          </w:p>
          <w:p w14:paraId="3162D1C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color w:val="auto"/>
                <w:highlight w:val="none"/>
                <w:lang w:val="en-US" w:eastAsia="zh-CN"/>
              </w:rPr>
            </w:pPr>
            <w:r>
              <w:rPr>
                <w:rFonts w:hint="default"/>
                <w:color w:val="auto"/>
                <w:sz w:val="21"/>
                <w:highlight w:val="none"/>
              </w:rPr>
              <w:t>施工期的环境影响是短暂的，只要建设施工单位加强全员职工的环境保护意识，并从施工设备的技术和管理两个方面做到文明施工、清洁施工，本项目在建设施工期对周围环境所产生的污染影响可控制在国家有关规定的允许范围内。当本项目建设施工结束后，上述对环境的污染影响可得到消除。</w:t>
            </w:r>
          </w:p>
        </w:tc>
      </w:tr>
      <w:tr w14:paraId="2138AB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266" w:type="dxa"/>
            <w:noWrap w:val="0"/>
            <w:tcMar>
              <w:left w:w="28" w:type="dxa"/>
              <w:right w:w="28" w:type="dxa"/>
            </w:tcMar>
            <w:vAlign w:val="center"/>
          </w:tcPr>
          <w:p w14:paraId="4D682A5C">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运营</w:t>
            </w:r>
          </w:p>
          <w:p w14:paraId="26F4716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期环</w:t>
            </w:r>
          </w:p>
          <w:p w14:paraId="4BEE4973">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境影</w:t>
            </w:r>
          </w:p>
          <w:p w14:paraId="021AF35A">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响和</w:t>
            </w:r>
          </w:p>
          <w:p w14:paraId="0AAFEF64">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保护</w:t>
            </w:r>
          </w:p>
          <w:p w14:paraId="14F65BBB">
            <w:pPr>
              <w:keepNext w:val="0"/>
              <w:keepLines w:val="0"/>
              <w:suppressLineNumbers w:val="0"/>
              <w:adjustRightInd w:val="0"/>
              <w:snapToGrid w:val="0"/>
              <w:spacing w:before="0" w:beforeAutospacing="0" w:after="0" w:afterAutospacing="0"/>
              <w:ind w:left="0" w:right="0"/>
              <w:jc w:val="center"/>
              <w:rPr>
                <w:rFonts w:hint="default"/>
                <w:bCs/>
                <w:color w:val="auto"/>
                <w:szCs w:val="21"/>
                <w:highlight w:val="none"/>
              </w:rPr>
            </w:pPr>
            <w:r>
              <w:rPr>
                <w:rFonts w:hint="default"/>
                <w:bCs/>
                <w:color w:val="auto"/>
                <w:szCs w:val="21"/>
                <w:highlight w:val="none"/>
              </w:rPr>
              <w:t>措施</w:t>
            </w:r>
          </w:p>
        </w:tc>
        <w:tc>
          <w:tcPr>
            <w:tcW w:w="8874" w:type="dxa"/>
            <w:noWrap w:val="0"/>
            <w:vAlign w:val="top"/>
          </w:tcPr>
          <w:p w14:paraId="3D67B552">
            <w:pPr>
              <w:keepNext w:val="0"/>
              <w:keepLines w:val="0"/>
              <w:suppressLineNumbers w:val="0"/>
              <w:spacing w:before="0" w:beforeAutospacing="0" w:after="0" w:afterAutospacing="0" w:line="360" w:lineRule="auto"/>
              <w:ind w:left="0" w:right="0" w:firstLine="422" w:firstLineChars="200"/>
              <w:rPr>
                <w:rFonts w:hint="default" w:ascii="Times New Roman" w:hAnsi="Times New Roman" w:cs="Times New Roman"/>
                <w:b/>
                <w:bCs/>
                <w:color w:val="auto"/>
                <w:kern w:val="21"/>
                <w:szCs w:val="21"/>
                <w:highlight w:val="none"/>
              </w:rPr>
            </w:pPr>
            <w:r>
              <w:rPr>
                <w:rFonts w:hint="default" w:ascii="Times New Roman" w:hAnsi="Times New Roman" w:cs="Times New Roman"/>
                <w:b/>
                <w:bCs/>
                <w:color w:val="auto"/>
                <w:kern w:val="21"/>
                <w:szCs w:val="21"/>
                <w:highlight w:val="none"/>
              </w:rPr>
              <w:t>1、废气</w:t>
            </w:r>
          </w:p>
          <w:p w14:paraId="41FCB941">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1</w:t>
            </w:r>
            <w:r>
              <w:rPr>
                <w:rFonts w:hint="default" w:ascii="Times New Roman" w:hAnsi="Times New Roman" w:cs="Times New Roman"/>
                <w:bCs/>
                <w:color w:val="auto"/>
                <w:szCs w:val="21"/>
                <w:highlight w:val="none"/>
              </w:rPr>
              <w:t>）项目废气污染源</w:t>
            </w:r>
          </w:p>
          <w:p w14:paraId="2A8CD145">
            <w:pPr>
              <w:pStyle w:val="143"/>
              <w:keepNext w:val="0"/>
              <w:keepLines w:val="0"/>
              <w:suppressLineNumbers w:val="0"/>
              <w:spacing w:before="0" w:beforeAutospacing="0" w:after="0" w:afterAutospacing="0" w:line="240" w:lineRule="auto"/>
              <w:ind w:left="0" w:right="0"/>
              <w:jc w:val="center"/>
              <w:rPr>
                <w:rFonts w:hint="eastAsia" w:ascii="宋体" w:eastAsia="宋体" w:cs="宋体"/>
                <w:b/>
                <w:color w:val="auto"/>
                <w:sz w:val="21"/>
                <w:szCs w:val="21"/>
                <w:highlight w:val="none"/>
              </w:rPr>
            </w:pPr>
            <w:r>
              <w:rPr>
                <w:rFonts w:hint="eastAsia" w:ascii="宋体" w:eastAsia="宋体" w:cs="宋体"/>
                <w:b/>
                <w:color w:val="auto"/>
                <w:sz w:val="21"/>
                <w:szCs w:val="21"/>
                <w:highlight w:val="none"/>
              </w:rPr>
              <w:t>表</w:t>
            </w:r>
            <w:r>
              <w:rPr>
                <w:rFonts w:hint="default" w:ascii="Times New Roman" w:hAnsi="Times New Roman" w:eastAsia="宋体" w:cs="Times New Roman"/>
                <w:b/>
                <w:color w:val="auto"/>
                <w:sz w:val="21"/>
                <w:szCs w:val="21"/>
                <w:highlight w:val="none"/>
              </w:rPr>
              <w:t>4-</w:t>
            </w:r>
            <w:r>
              <w:rPr>
                <w:rFonts w:hint="default" w:ascii="Times New Roman" w:hAnsi="Times New Roman" w:eastAsia="宋体" w:cs="Times New Roman"/>
                <w:b/>
                <w:color w:val="auto"/>
                <w:sz w:val="21"/>
                <w:szCs w:val="21"/>
                <w:highlight w:val="none"/>
                <w:lang w:val="en-US" w:eastAsia="zh-CN"/>
              </w:rPr>
              <w:t>1</w:t>
            </w:r>
            <w:r>
              <w:rPr>
                <w:rFonts w:hint="eastAsia" w:ascii="宋体" w:eastAsia="宋体" w:cs="宋体"/>
                <w:b/>
                <w:color w:val="auto"/>
                <w:sz w:val="21"/>
                <w:szCs w:val="21"/>
                <w:highlight w:val="none"/>
              </w:rPr>
              <w:t>废气污染源源强核算结果及相关参数一览表</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9"/>
              <w:gridCol w:w="366"/>
              <w:gridCol w:w="609"/>
              <w:gridCol w:w="649"/>
              <w:gridCol w:w="757"/>
              <w:gridCol w:w="726"/>
              <w:gridCol w:w="662"/>
              <w:gridCol w:w="887"/>
              <w:gridCol w:w="480"/>
              <w:gridCol w:w="7"/>
              <w:gridCol w:w="835"/>
              <w:gridCol w:w="870"/>
              <w:gridCol w:w="757"/>
              <w:gridCol w:w="674"/>
            </w:tblGrid>
            <w:tr w14:paraId="0C9DB0B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gridSpan w:val="2"/>
                  <w:vMerge w:val="restart"/>
                  <w:noWrap w:val="0"/>
                  <w:vAlign w:val="center"/>
                </w:tcPr>
                <w:p w14:paraId="2DCA3A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p w14:paraId="2917EF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排放源</w:t>
                  </w:r>
                </w:p>
              </w:tc>
              <w:tc>
                <w:tcPr>
                  <w:tcW w:w="351" w:type="pct"/>
                  <w:vMerge w:val="restart"/>
                  <w:noWrap w:val="0"/>
                  <w:vAlign w:val="center"/>
                </w:tcPr>
                <w:p w14:paraId="47F62B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w:t>
                  </w:r>
                </w:p>
              </w:tc>
              <w:tc>
                <w:tcPr>
                  <w:tcW w:w="1613" w:type="pct"/>
                  <w:gridSpan w:val="4"/>
                  <w:noWrap w:val="0"/>
                  <w:vAlign w:val="center"/>
                </w:tcPr>
                <w:p w14:paraId="10DC9DB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污染物产生</w:t>
                  </w:r>
                </w:p>
              </w:tc>
              <w:tc>
                <w:tcPr>
                  <w:tcW w:w="789" w:type="pct"/>
                  <w:gridSpan w:val="2"/>
                  <w:noWrap w:val="0"/>
                  <w:vAlign w:val="center"/>
                </w:tcPr>
                <w:p w14:paraId="6DAE7AE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治理措施</w:t>
                  </w:r>
                </w:p>
              </w:tc>
              <w:tc>
                <w:tcPr>
                  <w:tcW w:w="1815" w:type="pct"/>
                  <w:gridSpan w:val="5"/>
                  <w:noWrap w:val="0"/>
                  <w:vAlign w:val="center"/>
                </w:tcPr>
                <w:p w14:paraId="3AC862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污染物排放</w:t>
                  </w:r>
                </w:p>
              </w:tc>
            </w:tr>
            <w:tr w14:paraId="6D753E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0" w:type="pct"/>
                  <w:gridSpan w:val="2"/>
                  <w:vMerge w:val="continue"/>
                  <w:noWrap w:val="0"/>
                  <w:vAlign w:val="center"/>
                </w:tcPr>
                <w:p w14:paraId="4C02AFD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51" w:type="pct"/>
                  <w:vMerge w:val="continue"/>
                  <w:noWrap w:val="0"/>
                  <w:vAlign w:val="center"/>
                </w:tcPr>
                <w:p w14:paraId="721F1F1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374" w:type="pct"/>
                  <w:noWrap w:val="0"/>
                  <w:vAlign w:val="center"/>
                </w:tcPr>
                <w:p w14:paraId="7641C7C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废气量m</w:t>
                  </w:r>
                  <w:r>
                    <w:rPr>
                      <w:rFonts w:hint="default" w:ascii="Times New Roman" w:hAnsi="Times New Roman" w:eastAsia="宋体" w:cs="Times New Roman"/>
                      <w:color w:val="auto"/>
                      <w:spacing w:val="0"/>
                      <w:kern w:val="0"/>
                      <w:position w:val="0"/>
                      <w:sz w:val="18"/>
                      <w:szCs w:val="18"/>
                      <w:highlight w:val="none"/>
                      <w:vertAlign w:val="superscript"/>
                    </w:rPr>
                    <w:t>3</w:t>
                  </w:r>
                  <w:r>
                    <w:rPr>
                      <w:rFonts w:hint="default" w:ascii="Times New Roman" w:hAnsi="Times New Roman" w:eastAsia="宋体" w:cs="Times New Roman"/>
                      <w:color w:val="auto"/>
                      <w:spacing w:val="0"/>
                      <w:kern w:val="0"/>
                      <w:position w:val="0"/>
                      <w:sz w:val="18"/>
                      <w:szCs w:val="18"/>
                      <w:highlight w:val="none"/>
                    </w:rPr>
                    <w:t>/h</w:t>
                  </w:r>
                </w:p>
              </w:tc>
              <w:tc>
                <w:tcPr>
                  <w:tcW w:w="437" w:type="pct"/>
                  <w:noWrap w:val="0"/>
                  <w:vAlign w:val="center"/>
                </w:tcPr>
                <w:p w14:paraId="0B6890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w:t>
                  </w:r>
                </w:p>
                <w:p w14:paraId="5A6DF8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浓度mg/m</w:t>
                  </w:r>
                  <w:r>
                    <w:rPr>
                      <w:rFonts w:hint="default" w:ascii="Times New Roman" w:hAnsi="Times New Roman" w:eastAsia="宋体" w:cs="Times New Roman"/>
                      <w:color w:val="auto"/>
                      <w:spacing w:val="0"/>
                      <w:kern w:val="0"/>
                      <w:position w:val="0"/>
                      <w:sz w:val="18"/>
                      <w:szCs w:val="18"/>
                      <w:highlight w:val="none"/>
                      <w:vertAlign w:val="superscript"/>
                    </w:rPr>
                    <w:t>3</w:t>
                  </w:r>
                </w:p>
              </w:tc>
              <w:tc>
                <w:tcPr>
                  <w:tcW w:w="419" w:type="pct"/>
                  <w:noWrap w:val="0"/>
                  <w:vAlign w:val="center"/>
                </w:tcPr>
                <w:p w14:paraId="4B79B50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产生速率kg/h</w:t>
                  </w:r>
                </w:p>
              </w:tc>
              <w:tc>
                <w:tcPr>
                  <w:tcW w:w="382" w:type="pct"/>
                  <w:noWrap w:val="0"/>
                  <w:vAlign w:val="center"/>
                </w:tcPr>
                <w:p w14:paraId="1A1865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产生量</w:t>
                  </w:r>
                </w:p>
                <w:p w14:paraId="72BB59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t/a</w:t>
                  </w:r>
                </w:p>
              </w:tc>
              <w:tc>
                <w:tcPr>
                  <w:tcW w:w="512" w:type="pct"/>
                  <w:noWrap w:val="0"/>
                  <w:vAlign w:val="center"/>
                </w:tcPr>
                <w:p w14:paraId="2FAAD28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工艺</w:t>
                  </w:r>
                </w:p>
              </w:tc>
              <w:tc>
                <w:tcPr>
                  <w:tcW w:w="281" w:type="pct"/>
                  <w:gridSpan w:val="2"/>
                  <w:noWrap w:val="0"/>
                  <w:vAlign w:val="center"/>
                </w:tcPr>
                <w:p w14:paraId="18B70C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效率%</w:t>
                  </w:r>
                </w:p>
              </w:tc>
              <w:tc>
                <w:tcPr>
                  <w:tcW w:w="482" w:type="pct"/>
                  <w:noWrap w:val="0"/>
                  <w:vAlign w:val="center"/>
                </w:tcPr>
                <w:p w14:paraId="56FAAC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废气量m</w:t>
                  </w:r>
                  <w:r>
                    <w:rPr>
                      <w:rFonts w:hint="default" w:ascii="Times New Roman" w:hAnsi="Times New Roman" w:eastAsia="宋体" w:cs="Times New Roman"/>
                      <w:color w:val="auto"/>
                      <w:spacing w:val="0"/>
                      <w:kern w:val="0"/>
                      <w:position w:val="0"/>
                      <w:sz w:val="18"/>
                      <w:szCs w:val="18"/>
                      <w:highlight w:val="none"/>
                      <w:vertAlign w:val="superscript"/>
                    </w:rPr>
                    <w:t>3</w:t>
                  </w:r>
                  <w:r>
                    <w:rPr>
                      <w:rFonts w:hint="default" w:ascii="Times New Roman" w:hAnsi="Times New Roman" w:eastAsia="宋体" w:cs="Times New Roman"/>
                      <w:color w:val="auto"/>
                      <w:spacing w:val="0"/>
                      <w:kern w:val="0"/>
                      <w:position w:val="0"/>
                      <w:sz w:val="18"/>
                      <w:szCs w:val="18"/>
                      <w:highlight w:val="none"/>
                    </w:rPr>
                    <w:t>/h</w:t>
                  </w:r>
                </w:p>
              </w:tc>
              <w:tc>
                <w:tcPr>
                  <w:tcW w:w="502" w:type="pct"/>
                  <w:noWrap w:val="0"/>
                  <w:vAlign w:val="center"/>
                </w:tcPr>
                <w:p w14:paraId="3B98DDC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w:t>
                  </w:r>
                </w:p>
                <w:p w14:paraId="03D372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浓度mg/m</w:t>
                  </w:r>
                  <w:r>
                    <w:rPr>
                      <w:rFonts w:hint="default" w:ascii="Times New Roman" w:hAnsi="Times New Roman" w:eastAsia="宋体" w:cs="Times New Roman"/>
                      <w:color w:val="auto"/>
                      <w:spacing w:val="0"/>
                      <w:kern w:val="0"/>
                      <w:position w:val="0"/>
                      <w:sz w:val="18"/>
                      <w:szCs w:val="18"/>
                      <w:highlight w:val="none"/>
                      <w:vertAlign w:val="superscript"/>
                    </w:rPr>
                    <w:t>3</w:t>
                  </w:r>
                </w:p>
              </w:tc>
              <w:tc>
                <w:tcPr>
                  <w:tcW w:w="437" w:type="pct"/>
                  <w:noWrap w:val="0"/>
                  <w:vAlign w:val="center"/>
                </w:tcPr>
                <w:p w14:paraId="2EBD4E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eastAsia" w:cs="Times New Roman"/>
                      <w:color w:val="auto"/>
                      <w:spacing w:val="0"/>
                      <w:kern w:val="0"/>
                      <w:position w:val="0"/>
                      <w:sz w:val="18"/>
                      <w:szCs w:val="18"/>
                      <w:highlight w:val="none"/>
                      <w:lang w:val="en-US" w:eastAsia="zh-CN"/>
                    </w:rPr>
                    <w:t>排放</w:t>
                  </w:r>
                  <w:r>
                    <w:rPr>
                      <w:rFonts w:hint="default" w:ascii="Times New Roman" w:hAnsi="Times New Roman" w:eastAsia="宋体" w:cs="Times New Roman"/>
                      <w:color w:val="auto"/>
                      <w:spacing w:val="0"/>
                      <w:kern w:val="0"/>
                      <w:position w:val="0"/>
                      <w:sz w:val="18"/>
                      <w:szCs w:val="18"/>
                      <w:highlight w:val="none"/>
                    </w:rPr>
                    <w:t>速率kg/h</w:t>
                  </w:r>
                </w:p>
              </w:tc>
              <w:tc>
                <w:tcPr>
                  <w:tcW w:w="389" w:type="pct"/>
                  <w:noWrap w:val="0"/>
                  <w:vAlign w:val="center"/>
                </w:tcPr>
                <w:p w14:paraId="6A8ECEB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排放量</w:t>
                  </w:r>
                </w:p>
                <w:p w14:paraId="556258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default" w:ascii="Times New Roman" w:hAnsi="Times New Roman" w:eastAsia="宋体" w:cs="Times New Roman"/>
                      <w:color w:val="auto"/>
                      <w:spacing w:val="0"/>
                      <w:kern w:val="0"/>
                      <w:position w:val="0"/>
                      <w:sz w:val="18"/>
                      <w:szCs w:val="18"/>
                      <w:highlight w:val="none"/>
                    </w:rPr>
                    <w:t>t/a</w:t>
                  </w:r>
                </w:p>
              </w:tc>
            </w:tr>
            <w:tr w14:paraId="04E946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 w:type="pct"/>
                  <w:vMerge w:val="restart"/>
                  <w:noWrap w:val="0"/>
                  <w:vAlign w:val="center"/>
                </w:tcPr>
                <w:p w14:paraId="2D641A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有组织排放</w:t>
                  </w:r>
                </w:p>
              </w:tc>
              <w:tc>
                <w:tcPr>
                  <w:tcW w:w="211" w:type="pct"/>
                  <w:vMerge w:val="restart"/>
                  <w:noWrap w:val="0"/>
                  <w:vAlign w:val="center"/>
                </w:tcPr>
                <w:p w14:paraId="1E65E4BF">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eastAsia"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DA001</w:t>
                  </w:r>
                </w:p>
              </w:tc>
              <w:tc>
                <w:tcPr>
                  <w:tcW w:w="351" w:type="pct"/>
                  <w:noWrap w:val="0"/>
                  <w:vAlign w:val="center"/>
                </w:tcPr>
                <w:p w14:paraId="56C8F9F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颗粒物</w:t>
                  </w:r>
                </w:p>
              </w:tc>
              <w:tc>
                <w:tcPr>
                  <w:tcW w:w="374" w:type="pct"/>
                  <w:vMerge w:val="restart"/>
                  <w:noWrap w:val="0"/>
                  <w:vAlign w:val="center"/>
                </w:tcPr>
                <w:p w14:paraId="0B2816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5227.276</w:t>
                  </w:r>
                </w:p>
              </w:tc>
              <w:tc>
                <w:tcPr>
                  <w:tcW w:w="437" w:type="pct"/>
                  <w:noWrap w:val="0"/>
                  <w:vAlign w:val="center"/>
                </w:tcPr>
                <w:p w14:paraId="52AF5D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4123</w:t>
                  </w:r>
                </w:p>
              </w:tc>
              <w:tc>
                <w:tcPr>
                  <w:tcW w:w="419" w:type="pct"/>
                  <w:noWrap w:val="0"/>
                  <w:vAlign w:val="center"/>
                </w:tcPr>
                <w:p w14:paraId="706A9D1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21.556</w:t>
                  </w:r>
                </w:p>
              </w:tc>
              <w:tc>
                <w:tcPr>
                  <w:tcW w:w="382" w:type="pct"/>
                  <w:noWrap w:val="0"/>
                  <w:vAlign w:val="center"/>
                </w:tcPr>
                <w:p w14:paraId="5CE94DC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position w:val="0"/>
                      <w:sz w:val="18"/>
                      <w:szCs w:val="18"/>
                      <w:highlight w:val="none"/>
                      <w:lang w:val="en-US" w:eastAsia="zh-CN"/>
                    </w:rPr>
                    <w:t>129.339</w:t>
                  </w:r>
                </w:p>
              </w:tc>
              <w:tc>
                <w:tcPr>
                  <w:tcW w:w="512" w:type="pct"/>
                  <w:noWrap w:val="0"/>
                  <w:vAlign w:val="center"/>
                </w:tcPr>
                <w:p w14:paraId="598B0437">
                  <w:pPr>
                    <w:pStyle w:val="5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布袋除尘器</w:t>
                  </w:r>
                </w:p>
              </w:tc>
              <w:tc>
                <w:tcPr>
                  <w:tcW w:w="281" w:type="pct"/>
                  <w:gridSpan w:val="2"/>
                  <w:noWrap w:val="0"/>
                  <w:vAlign w:val="center"/>
                </w:tcPr>
                <w:p w14:paraId="24486CF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99</w:t>
                  </w:r>
                </w:p>
              </w:tc>
              <w:tc>
                <w:tcPr>
                  <w:tcW w:w="482" w:type="pct"/>
                  <w:vMerge w:val="restart"/>
                  <w:shd w:val="clear" w:color="auto" w:fill="auto"/>
                  <w:noWrap w:val="0"/>
                  <w:vAlign w:val="center"/>
                </w:tcPr>
                <w:p w14:paraId="6CBFC79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5227.276</w:t>
                  </w:r>
                </w:p>
              </w:tc>
              <w:tc>
                <w:tcPr>
                  <w:tcW w:w="502" w:type="pct"/>
                  <w:noWrap w:val="0"/>
                  <w:vAlign w:val="center"/>
                </w:tcPr>
                <w:p w14:paraId="202E308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41.238</w:t>
                  </w:r>
                </w:p>
              </w:tc>
              <w:tc>
                <w:tcPr>
                  <w:tcW w:w="437" w:type="pct"/>
                  <w:noWrap w:val="0"/>
                  <w:vAlign w:val="center"/>
                </w:tcPr>
                <w:p w14:paraId="36F0EC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position w:val="0"/>
                      <w:sz w:val="18"/>
                      <w:szCs w:val="18"/>
                      <w:highlight w:val="none"/>
                      <w:lang w:val="en-US" w:eastAsia="zh-CN"/>
                    </w:rPr>
                    <w:t>0.216</w:t>
                  </w:r>
                </w:p>
              </w:tc>
              <w:tc>
                <w:tcPr>
                  <w:tcW w:w="389" w:type="pct"/>
                  <w:noWrap w:val="0"/>
                  <w:vAlign w:val="center"/>
                </w:tcPr>
                <w:p w14:paraId="4661876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1.293</w:t>
                  </w:r>
                </w:p>
              </w:tc>
            </w:tr>
            <w:tr w14:paraId="1EFA6D0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 w:type="pct"/>
                  <w:vMerge w:val="continue"/>
                  <w:noWrap w:val="0"/>
                  <w:vAlign w:val="center"/>
                </w:tcPr>
                <w:p w14:paraId="6952F4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11" w:type="pct"/>
                  <w:vMerge w:val="continue"/>
                  <w:noWrap w:val="0"/>
                  <w:vAlign w:val="center"/>
                </w:tcPr>
                <w:p w14:paraId="05842308">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351" w:type="pct"/>
                  <w:noWrap w:val="0"/>
                  <w:vAlign w:val="center"/>
                </w:tcPr>
                <w:p w14:paraId="1D2A615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SO</w:t>
                  </w:r>
                  <w:r>
                    <w:rPr>
                      <w:rFonts w:hint="default" w:ascii="Times New Roman" w:hAnsi="Times New Roman" w:eastAsia="宋体" w:cs="Times New Roman"/>
                      <w:color w:val="auto"/>
                      <w:spacing w:val="0"/>
                      <w:position w:val="0"/>
                      <w:sz w:val="18"/>
                      <w:szCs w:val="18"/>
                      <w:highlight w:val="none"/>
                      <w:vertAlign w:val="subscript"/>
                    </w:rPr>
                    <w:t>2</w:t>
                  </w:r>
                </w:p>
              </w:tc>
              <w:tc>
                <w:tcPr>
                  <w:tcW w:w="374" w:type="pct"/>
                  <w:vMerge w:val="continue"/>
                  <w:noWrap w:val="0"/>
                  <w:vAlign w:val="center"/>
                </w:tcPr>
                <w:p w14:paraId="0EAEBF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37" w:type="pct"/>
                  <w:noWrap w:val="0"/>
                  <w:vAlign w:val="center"/>
                </w:tcPr>
                <w:p w14:paraId="7AF84AD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rPr>
                    <w:t>34.788</w:t>
                  </w:r>
                </w:p>
              </w:tc>
              <w:tc>
                <w:tcPr>
                  <w:tcW w:w="419" w:type="pct"/>
                  <w:noWrap w:val="0"/>
                  <w:vAlign w:val="center"/>
                </w:tcPr>
                <w:p w14:paraId="029678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position w:val="0"/>
                      <w:sz w:val="18"/>
                      <w:szCs w:val="18"/>
                      <w:highlight w:val="none"/>
                      <w:lang w:val="en-US" w:eastAsia="zh-CN"/>
                    </w:rPr>
                    <w:t>0.182</w:t>
                  </w:r>
                </w:p>
              </w:tc>
              <w:tc>
                <w:tcPr>
                  <w:tcW w:w="382" w:type="pct"/>
                  <w:noWrap w:val="0"/>
                  <w:vAlign w:val="center"/>
                </w:tcPr>
                <w:p w14:paraId="758D3D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position w:val="0"/>
                      <w:sz w:val="18"/>
                      <w:szCs w:val="18"/>
                      <w:highlight w:val="none"/>
                      <w:lang w:val="en-US" w:eastAsia="zh-CN"/>
                    </w:rPr>
                    <w:t>1.091</w:t>
                  </w:r>
                </w:p>
              </w:tc>
              <w:tc>
                <w:tcPr>
                  <w:tcW w:w="512" w:type="pct"/>
                  <w:noWrap w:val="0"/>
                  <w:vAlign w:val="center"/>
                </w:tcPr>
                <w:p w14:paraId="718E19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281" w:type="pct"/>
                  <w:gridSpan w:val="2"/>
                  <w:noWrap w:val="0"/>
                  <w:vAlign w:val="center"/>
                </w:tcPr>
                <w:p w14:paraId="5C58AD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default" w:ascii="Times New Roman" w:hAnsi="Times New Roman" w:eastAsia="宋体" w:cs="Times New Roman"/>
                      <w:color w:val="auto"/>
                      <w:spacing w:val="0"/>
                      <w:position w:val="0"/>
                      <w:sz w:val="18"/>
                      <w:szCs w:val="18"/>
                      <w:highlight w:val="none"/>
                    </w:rPr>
                    <w:t>/</w:t>
                  </w:r>
                </w:p>
              </w:tc>
              <w:tc>
                <w:tcPr>
                  <w:tcW w:w="482" w:type="pct"/>
                  <w:vMerge w:val="continue"/>
                  <w:noWrap w:val="0"/>
                  <w:vAlign w:val="center"/>
                </w:tcPr>
                <w:p w14:paraId="0C8A4A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502" w:type="pct"/>
                  <w:noWrap w:val="0"/>
                  <w:vAlign w:val="center"/>
                </w:tcPr>
                <w:p w14:paraId="2A9279B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34.788</w:t>
                  </w:r>
                </w:p>
              </w:tc>
              <w:tc>
                <w:tcPr>
                  <w:tcW w:w="437" w:type="pct"/>
                  <w:noWrap w:val="0"/>
                  <w:vAlign w:val="center"/>
                </w:tcPr>
                <w:p w14:paraId="0486DE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position w:val="0"/>
                      <w:sz w:val="18"/>
                      <w:szCs w:val="18"/>
                      <w:highlight w:val="none"/>
                      <w:lang w:val="en-US" w:eastAsia="zh-CN"/>
                    </w:rPr>
                    <w:t>0.182</w:t>
                  </w:r>
                </w:p>
              </w:tc>
              <w:tc>
                <w:tcPr>
                  <w:tcW w:w="389" w:type="pct"/>
                  <w:noWrap w:val="0"/>
                  <w:vAlign w:val="center"/>
                </w:tcPr>
                <w:p w14:paraId="2578284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position w:val="0"/>
                      <w:sz w:val="18"/>
                      <w:szCs w:val="18"/>
                      <w:highlight w:val="none"/>
                      <w:lang w:val="en-US" w:eastAsia="zh-CN"/>
                    </w:rPr>
                    <w:t>1.091</w:t>
                  </w:r>
                </w:p>
              </w:tc>
            </w:tr>
            <w:tr w14:paraId="119EF8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 w:type="pct"/>
                  <w:vMerge w:val="continue"/>
                  <w:noWrap w:val="0"/>
                  <w:vAlign w:val="center"/>
                </w:tcPr>
                <w:p w14:paraId="0B88423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11" w:type="pct"/>
                  <w:vMerge w:val="continue"/>
                  <w:noWrap w:val="0"/>
                  <w:vAlign w:val="center"/>
                </w:tcPr>
                <w:p w14:paraId="5AA3C04F">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351" w:type="pct"/>
                  <w:noWrap w:val="0"/>
                  <w:vAlign w:val="center"/>
                </w:tcPr>
                <w:p w14:paraId="573F4C9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NO</w:t>
                  </w:r>
                  <w:r>
                    <w:rPr>
                      <w:rFonts w:hint="default" w:ascii="Times New Roman" w:hAnsi="Times New Roman" w:eastAsia="宋体" w:cs="Times New Roman"/>
                      <w:color w:val="auto"/>
                      <w:spacing w:val="0"/>
                      <w:position w:val="0"/>
                      <w:sz w:val="18"/>
                      <w:szCs w:val="18"/>
                      <w:highlight w:val="none"/>
                      <w:lang w:val="en-US" w:eastAsia="zh-CN"/>
                    </w:rPr>
                    <w:t>x</w:t>
                  </w:r>
                </w:p>
              </w:tc>
              <w:tc>
                <w:tcPr>
                  <w:tcW w:w="374" w:type="pct"/>
                  <w:vMerge w:val="continue"/>
                  <w:noWrap w:val="0"/>
                  <w:vAlign w:val="center"/>
                </w:tcPr>
                <w:p w14:paraId="0E7873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37" w:type="pct"/>
                  <w:noWrap w:val="0"/>
                  <w:vAlign w:val="center"/>
                </w:tcPr>
                <w:p w14:paraId="6F0E051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rPr>
                    <w:t>131.42</w:t>
                  </w:r>
                </w:p>
              </w:tc>
              <w:tc>
                <w:tcPr>
                  <w:tcW w:w="419" w:type="pct"/>
                  <w:noWrap w:val="0"/>
                  <w:vAlign w:val="center"/>
                </w:tcPr>
                <w:p w14:paraId="1DE35D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position w:val="0"/>
                      <w:sz w:val="18"/>
                      <w:szCs w:val="18"/>
                      <w:highlight w:val="none"/>
                      <w:lang w:val="en-US" w:eastAsia="zh-CN"/>
                    </w:rPr>
                    <w:t>0.687</w:t>
                  </w:r>
                </w:p>
              </w:tc>
              <w:tc>
                <w:tcPr>
                  <w:tcW w:w="382" w:type="pct"/>
                  <w:noWrap w:val="0"/>
                  <w:vAlign w:val="center"/>
                </w:tcPr>
                <w:p w14:paraId="5D316F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position w:val="0"/>
                      <w:sz w:val="18"/>
                      <w:szCs w:val="18"/>
                      <w:highlight w:val="none"/>
                      <w:lang w:val="en-US" w:eastAsia="zh-CN"/>
                    </w:rPr>
                    <w:t>4.122</w:t>
                  </w:r>
                </w:p>
              </w:tc>
              <w:tc>
                <w:tcPr>
                  <w:tcW w:w="512" w:type="pct"/>
                  <w:noWrap w:val="0"/>
                  <w:vAlign w:val="center"/>
                </w:tcPr>
                <w:p w14:paraId="73839A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281" w:type="pct"/>
                  <w:gridSpan w:val="2"/>
                  <w:noWrap w:val="0"/>
                  <w:vAlign w:val="center"/>
                </w:tcPr>
                <w:p w14:paraId="30BE60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w:t>
                  </w:r>
                </w:p>
              </w:tc>
              <w:tc>
                <w:tcPr>
                  <w:tcW w:w="482" w:type="pct"/>
                  <w:vMerge w:val="continue"/>
                  <w:noWrap w:val="0"/>
                  <w:vAlign w:val="center"/>
                </w:tcPr>
                <w:p w14:paraId="128F219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502" w:type="pct"/>
                  <w:noWrap w:val="0"/>
                  <w:vAlign w:val="center"/>
                </w:tcPr>
                <w:p w14:paraId="56A6E50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131.42</w:t>
                  </w:r>
                </w:p>
              </w:tc>
              <w:tc>
                <w:tcPr>
                  <w:tcW w:w="437" w:type="pct"/>
                  <w:noWrap w:val="0"/>
                  <w:vAlign w:val="center"/>
                </w:tcPr>
                <w:p w14:paraId="049CFFA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position w:val="0"/>
                      <w:sz w:val="18"/>
                      <w:szCs w:val="18"/>
                      <w:highlight w:val="none"/>
                      <w:lang w:val="en-US" w:eastAsia="zh-CN"/>
                    </w:rPr>
                    <w:t>0.687</w:t>
                  </w:r>
                </w:p>
              </w:tc>
              <w:tc>
                <w:tcPr>
                  <w:tcW w:w="389" w:type="pct"/>
                  <w:noWrap w:val="0"/>
                  <w:vAlign w:val="center"/>
                </w:tcPr>
                <w:p w14:paraId="551224A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position w:val="0"/>
                      <w:sz w:val="18"/>
                      <w:szCs w:val="18"/>
                      <w:highlight w:val="none"/>
                      <w:lang w:val="en-US" w:eastAsia="zh-CN"/>
                    </w:rPr>
                    <w:t>4.122</w:t>
                  </w:r>
                </w:p>
              </w:tc>
            </w:tr>
            <w:tr w14:paraId="0D86B5E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 w:type="pct"/>
                  <w:vMerge w:val="continue"/>
                  <w:noWrap w:val="0"/>
                  <w:vAlign w:val="center"/>
                </w:tcPr>
                <w:p w14:paraId="6CB6CF7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11" w:type="pct"/>
                  <w:vMerge w:val="restart"/>
                  <w:shd w:val="clear" w:color="auto" w:fill="auto"/>
                  <w:noWrap w:val="0"/>
                  <w:vAlign w:val="center"/>
                </w:tcPr>
                <w:p w14:paraId="29E36C0A">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kern w:val="2"/>
                      <w:position w:val="0"/>
                      <w:sz w:val="18"/>
                      <w:szCs w:val="18"/>
                      <w:highlight w:val="none"/>
                      <w:lang w:val="en-US" w:eastAsia="zh-CN" w:bidi="ar-SA"/>
                    </w:rPr>
                  </w:pPr>
                  <w:r>
                    <w:rPr>
                      <w:rFonts w:hint="eastAsia" w:cs="Times New Roman"/>
                      <w:color w:val="auto"/>
                      <w:spacing w:val="0"/>
                      <w:position w:val="0"/>
                      <w:sz w:val="18"/>
                      <w:szCs w:val="18"/>
                      <w:highlight w:val="none"/>
                      <w:lang w:val="en-US" w:eastAsia="zh-CN"/>
                    </w:rPr>
                    <w:t>DA003</w:t>
                  </w:r>
                </w:p>
              </w:tc>
              <w:tc>
                <w:tcPr>
                  <w:tcW w:w="351" w:type="pct"/>
                  <w:noWrap w:val="0"/>
                  <w:vAlign w:val="center"/>
                </w:tcPr>
                <w:p w14:paraId="1D436EF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eastAsia" w:cs="Times New Roman"/>
                      <w:color w:val="auto"/>
                      <w:spacing w:val="0"/>
                      <w:position w:val="0"/>
                      <w:sz w:val="18"/>
                      <w:szCs w:val="18"/>
                      <w:highlight w:val="none"/>
                      <w:lang w:val="en-US" w:eastAsia="zh-CN"/>
                    </w:rPr>
                    <w:t>颗粒物</w:t>
                  </w:r>
                </w:p>
              </w:tc>
              <w:tc>
                <w:tcPr>
                  <w:tcW w:w="374" w:type="pct"/>
                  <w:vMerge w:val="restart"/>
                  <w:shd w:val="clear" w:color="auto" w:fill="auto"/>
                  <w:noWrap w:val="0"/>
                  <w:vAlign w:val="center"/>
                </w:tcPr>
                <w:p w14:paraId="1160A10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rPr>
                    <w:t>5227.276</w:t>
                  </w:r>
                </w:p>
              </w:tc>
              <w:tc>
                <w:tcPr>
                  <w:tcW w:w="437" w:type="pct"/>
                  <w:noWrap w:val="0"/>
                  <w:vAlign w:val="center"/>
                </w:tcPr>
                <w:p w14:paraId="7FAFD8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4123</w:t>
                  </w:r>
                </w:p>
              </w:tc>
              <w:tc>
                <w:tcPr>
                  <w:tcW w:w="419" w:type="pct"/>
                  <w:noWrap w:val="0"/>
                  <w:vAlign w:val="center"/>
                </w:tcPr>
                <w:p w14:paraId="4455C3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21.556</w:t>
                  </w:r>
                </w:p>
              </w:tc>
              <w:tc>
                <w:tcPr>
                  <w:tcW w:w="382" w:type="pct"/>
                  <w:noWrap w:val="0"/>
                  <w:vAlign w:val="center"/>
                </w:tcPr>
                <w:p w14:paraId="00BB83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position w:val="0"/>
                      <w:sz w:val="18"/>
                      <w:szCs w:val="18"/>
                      <w:highlight w:val="none"/>
                      <w:lang w:val="en-US" w:eastAsia="zh-CN"/>
                    </w:rPr>
                  </w:pPr>
                  <w:r>
                    <w:rPr>
                      <w:rFonts w:hint="eastAsia" w:cs="Times New Roman"/>
                      <w:color w:val="auto"/>
                      <w:position w:val="0"/>
                      <w:sz w:val="18"/>
                      <w:szCs w:val="18"/>
                      <w:highlight w:val="none"/>
                      <w:lang w:val="en-US" w:eastAsia="zh-CN"/>
                    </w:rPr>
                    <w:t>129.339</w:t>
                  </w:r>
                </w:p>
              </w:tc>
              <w:tc>
                <w:tcPr>
                  <w:tcW w:w="512" w:type="pct"/>
                  <w:noWrap w:val="0"/>
                  <w:vAlign w:val="center"/>
                </w:tcPr>
                <w:p w14:paraId="3AE79856">
                  <w:pPr>
                    <w:pStyle w:val="50"/>
                    <w:keepNext w:val="0"/>
                    <w:keepLines w:val="0"/>
                    <w:pageBreakBefore w:val="0"/>
                    <w:widowControl w:val="0"/>
                    <w:suppressLineNumbers w:val="0"/>
                    <w:kinsoku/>
                    <w:wordWrap/>
                    <w:overflowPunct/>
                    <w:topLinePunct w:val="0"/>
                    <w:autoSpaceDE/>
                    <w:autoSpaceDN/>
                    <w:bidi w:val="0"/>
                    <w:adjustRightInd/>
                    <w:snapToGrid/>
                    <w:spacing w:before="0" w:beforeLines="0" w:beforeAutospacing="0" w:after="0" w:afterLines="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eastAsia" w:cs="Times New Roman"/>
                      <w:color w:val="auto"/>
                      <w:spacing w:val="0"/>
                      <w:position w:val="0"/>
                      <w:sz w:val="18"/>
                      <w:szCs w:val="18"/>
                      <w:highlight w:val="none"/>
                      <w:lang w:val="en-US" w:eastAsia="zh-CN"/>
                    </w:rPr>
                    <w:t>布袋除尘器</w:t>
                  </w:r>
                </w:p>
              </w:tc>
              <w:tc>
                <w:tcPr>
                  <w:tcW w:w="281" w:type="pct"/>
                  <w:gridSpan w:val="2"/>
                  <w:noWrap w:val="0"/>
                  <w:vAlign w:val="center"/>
                </w:tcPr>
                <w:p w14:paraId="02891BAB">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eastAsia" w:cs="Times New Roman"/>
                      <w:color w:val="auto"/>
                      <w:spacing w:val="0"/>
                      <w:position w:val="0"/>
                      <w:sz w:val="18"/>
                      <w:szCs w:val="18"/>
                      <w:highlight w:val="none"/>
                      <w:lang w:val="en-US" w:eastAsia="zh-CN"/>
                    </w:rPr>
                    <w:t>99</w:t>
                  </w:r>
                </w:p>
              </w:tc>
              <w:tc>
                <w:tcPr>
                  <w:tcW w:w="482" w:type="pct"/>
                  <w:vMerge w:val="restart"/>
                  <w:shd w:val="clear" w:color="auto" w:fill="auto"/>
                  <w:noWrap w:val="0"/>
                  <w:vAlign w:val="center"/>
                </w:tcPr>
                <w:p w14:paraId="17F427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rPr>
                    <w:t>5227.276</w:t>
                  </w:r>
                </w:p>
              </w:tc>
              <w:tc>
                <w:tcPr>
                  <w:tcW w:w="502" w:type="pct"/>
                  <w:noWrap w:val="0"/>
                  <w:vAlign w:val="center"/>
                </w:tcPr>
                <w:p w14:paraId="14FAA4A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41.238</w:t>
                  </w:r>
                </w:p>
              </w:tc>
              <w:tc>
                <w:tcPr>
                  <w:tcW w:w="437" w:type="pct"/>
                  <w:noWrap w:val="0"/>
                  <w:vAlign w:val="center"/>
                </w:tcPr>
                <w:p w14:paraId="715814C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position w:val="0"/>
                      <w:sz w:val="18"/>
                      <w:szCs w:val="18"/>
                      <w:highlight w:val="none"/>
                      <w:lang w:val="en-US" w:eastAsia="zh-CN"/>
                    </w:rPr>
                  </w:pPr>
                  <w:r>
                    <w:rPr>
                      <w:rFonts w:hint="eastAsia" w:cs="Times New Roman"/>
                      <w:color w:val="auto"/>
                      <w:position w:val="0"/>
                      <w:sz w:val="18"/>
                      <w:szCs w:val="18"/>
                      <w:highlight w:val="none"/>
                      <w:lang w:val="en-US" w:eastAsia="zh-CN"/>
                    </w:rPr>
                    <w:t>0.216</w:t>
                  </w:r>
                </w:p>
              </w:tc>
              <w:tc>
                <w:tcPr>
                  <w:tcW w:w="389" w:type="pct"/>
                  <w:noWrap w:val="0"/>
                  <w:vAlign w:val="center"/>
                </w:tcPr>
                <w:p w14:paraId="3389CC8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1.293</w:t>
                  </w:r>
                </w:p>
              </w:tc>
            </w:tr>
            <w:tr w14:paraId="44516A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 w:type="pct"/>
                  <w:vMerge w:val="continue"/>
                  <w:noWrap w:val="0"/>
                  <w:vAlign w:val="center"/>
                </w:tcPr>
                <w:p w14:paraId="595B206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11" w:type="pct"/>
                  <w:vMerge w:val="continue"/>
                  <w:noWrap w:val="0"/>
                  <w:vAlign w:val="center"/>
                </w:tcPr>
                <w:p w14:paraId="4E9BED8D">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351" w:type="pct"/>
                  <w:noWrap w:val="0"/>
                  <w:vAlign w:val="center"/>
                </w:tcPr>
                <w:p w14:paraId="1B304F6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SO</w:t>
                  </w:r>
                  <w:r>
                    <w:rPr>
                      <w:rFonts w:hint="default" w:ascii="Times New Roman" w:hAnsi="Times New Roman" w:eastAsia="宋体" w:cs="Times New Roman"/>
                      <w:color w:val="auto"/>
                      <w:spacing w:val="0"/>
                      <w:position w:val="0"/>
                      <w:sz w:val="18"/>
                      <w:szCs w:val="18"/>
                      <w:highlight w:val="none"/>
                      <w:vertAlign w:val="subscript"/>
                    </w:rPr>
                    <w:t>2</w:t>
                  </w:r>
                </w:p>
              </w:tc>
              <w:tc>
                <w:tcPr>
                  <w:tcW w:w="374" w:type="pct"/>
                  <w:vMerge w:val="continue"/>
                  <w:noWrap w:val="0"/>
                  <w:vAlign w:val="center"/>
                </w:tcPr>
                <w:p w14:paraId="17A5A4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37" w:type="pct"/>
                  <w:noWrap w:val="0"/>
                  <w:vAlign w:val="center"/>
                </w:tcPr>
                <w:p w14:paraId="6BE3123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34.788</w:t>
                  </w:r>
                </w:p>
              </w:tc>
              <w:tc>
                <w:tcPr>
                  <w:tcW w:w="419" w:type="pct"/>
                  <w:noWrap w:val="0"/>
                  <w:vAlign w:val="center"/>
                </w:tcPr>
                <w:p w14:paraId="44E3CF1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position w:val="0"/>
                      <w:sz w:val="18"/>
                      <w:szCs w:val="18"/>
                      <w:highlight w:val="none"/>
                      <w:lang w:val="en-US" w:eastAsia="zh-CN"/>
                    </w:rPr>
                  </w:pPr>
                  <w:r>
                    <w:rPr>
                      <w:rFonts w:hint="eastAsia" w:cs="Times New Roman"/>
                      <w:color w:val="auto"/>
                      <w:position w:val="0"/>
                      <w:sz w:val="18"/>
                      <w:szCs w:val="18"/>
                      <w:highlight w:val="none"/>
                      <w:lang w:val="en-US" w:eastAsia="zh-CN"/>
                    </w:rPr>
                    <w:t>0.182</w:t>
                  </w:r>
                </w:p>
              </w:tc>
              <w:tc>
                <w:tcPr>
                  <w:tcW w:w="382" w:type="pct"/>
                  <w:noWrap w:val="0"/>
                  <w:vAlign w:val="center"/>
                </w:tcPr>
                <w:p w14:paraId="5014D9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position w:val="0"/>
                      <w:sz w:val="18"/>
                      <w:szCs w:val="18"/>
                      <w:highlight w:val="none"/>
                      <w:lang w:val="en-US" w:eastAsia="zh-CN"/>
                    </w:rPr>
                  </w:pPr>
                  <w:r>
                    <w:rPr>
                      <w:rFonts w:hint="eastAsia" w:cs="Times New Roman"/>
                      <w:color w:val="auto"/>
                      <w:position w:val="0"/>
                      <w:sz w:val="18"/>
                      <w:szCs w:val="18"/>
                      <w:highlight w:val="none"/>
                      <w:lang w:val="en-US" w:eastAsia="zh-CN"/>
                    </w:rPr>
                    <w:t>1.091</w:t>
                  </w:r>
                </w:p>
              </w:tc>
              <w:tc>
                <w:tcPr>
                  <w:tcW w:w="512" w:type="pct"/>
                  <w:noWrap w:val="0"/>
                  <w:vAlign w:val="center"/>
                </w:tcPr>
                <w:p w14:paraId="63927C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281" w:type="pct"/>
                  <w:gridSpan w:val="2"/>
                  <w:noWrap w:val="0"/>
                  <w:vAlign w:val="center"/>
                </w:tcPr>
                <w:p w14:paraId="1D2E80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482" w:type="pct"/>
                  <w:vMerge w:val="continue"/>
                  <w:noWrap w:val="0"/>
                  <w:vAlign w:val="center"/>
                </w:tcPr>
                <w:p w14:paraId="2F08927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502" w:type="pct"/>
                  <w:noWrap w:val="0"/>
                  <w:vAlign w:val="center"/>
                </w:tcPr>
                <w:p w14:paraId="55B50BC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34.788</w:t>
                  </w:r>
                </w:p>
              </w:tc>
              <w:tc>
                <w:tcPr>
                  <w:tcW w:w="437" w:type="pct"/>
                  <w:noWrap w:val="0"/>
                  <w:vAlign w:val="center"/>
                </w:tcPr>
                <w:p w14:paraId="267B021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position w:val="0"/>
                      <w:sz w:val="18"/>
                      <w:szCs w:val="18"/>
                      <w:highlight w:val="none"/>
                      <w:lang w:val="en-US" w:eastAsia="zh-CN"/>
                    </w:rPr>
                  </w:pPr>
                  <w:r>
                    <w:rPr>
                      <w:rFonts w:hint="eastAsia" w:cs="Times New Roman"/>
                      <w:color w:val="auto"/>
                      <w:position w:val="0"/>
                      <w:sz w:val="18"/>
                      <w:szCs w:val="18"/>
                      <w:highlight w:val="none"/>
                      <w:lang w:val="en-US" w:eastAsia="zh-CN"/>
                    </w:rPr>
                    <w:t>0.182</w:t>
                  </w:r>
                </w:p>
              </w:tc>
              <w:tc>
                <w:tcPr>
                  <w:tcW w:w="389" w:type="pct"/>
                  <w:noWrap w:val="0"/>
                  <w:vAlign w:val="center"/>
                </w:tcPr>
                <w:p w14:paraId="243147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position w:val="0"/>
                      <w:sz w:val="18"/>
                      <w:szCs w:val="18"/>
                      <w:highlight w:val="none"/>
                      <w:lang w:val="en-US" w:eastAsia="zh-CN"/>
                    </w:rPr>
                  </w:pPr>
                  <w:r>
                    <w:rPr>
                      <w:rFonts w:hint="eastAsia" w:cs="Times New Roman"/>
                      <w:color w:val="auto"/>
                      <w:position w:val="0"/>
                      <w:sz w:val="18"/>
                      <w:szCs w:val="18"/>
                      <w:highlight w:val="none"/>
                      <w:lang w:val="en-US" w:eastAsia="zh-CN"/>
                    </w:rPr>
                    <w:t>1.091</w:t>
                  </w:r>
                </w:p>
              </w:tc>
            </w:tr>
            <w:tr w14:paraId="53DD5F1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 w:type="pct"/>
                  <w:vMerge w:val="continue"/>
                  <w:noWrap w:val="0"/>
                  <w:vAlign w:val="center"/>
                </w:tcPr>
                <w:p w14:paraId="6C1A95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11" w:type="pct"/>
                  <w:vMerge w:val="continue"/>
                  <w:noWrap w:val="0"/>
                  <w:vAlign w:val="center"/>
                </w:tcPr>
                <w:p w14:paraId="121480C4">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rPr>
                  </w:pPr>
                </w:p>
              </w:tc>
              <w:tc>
                <w:tcPr>
                  <w:tcW w:w="351" w:type="pct"/>
                  <w:noWrap w:val="0"/>
                  <w:vAlign w:val="center"/>
                </w:tcPr>
                <w:p w14:paraId="0081A93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NO</w:t>
                  </w:r>
                  <w:r>
                    <w:rPr>
                      <w:rFonts w:hint="default" w:ascii="Times New Roman" w:hAnsi="Times New Roman" w:eastAsia="宋体" w:cs="Times New Roman"/>
                      <w:color w:val="auto"/>
                      <w:spacing w:val="0"/>
                      <w:position w:val="0"/>
                      <w:sz w:val="18"/>
                      <w:szCs w:val="18"/>
                      <w:highlight w:val="none"/>
                      <w:lang w:val="en-US" w:eastAsia="zh-CN"/>
                    </w:rPr>
                    <w:t>x</w:t>
                  </w:r>
                </w:p>
              </w:tc>
              <w:tc>
                <w:tcPr>
                  <w:tcW w:w="374" w:type="pct"/>
                  <w:vMerge w:val="continue"/>
                  <w:noWrap w:val="0"/>
                  <w:vAlign w:val="center"/>
                </w:tcPr>
                <w:p w14:paraId="77E8F8F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437" w:type="pct"/>
                  <w:noWrap w:val="0"/>
                  <w:vAlign w:val="center"/>
                </w:tcPr>
                <w:p w14:paraId="3837C9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131.42</w:t>
                  </w:r>
                </w:p>
              </w:tc>
              <w:tc>
                <w:tcPr>
                  <w:tcW w:w="419" w:type="pct"/>
                  <w:noWrap w:val="0"/>
                  <w:vAlign w:val="center"/>
                </w:tcPr>
                <w:p w14:paraId="52D00A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position w:val="0"/>
                      <w:sz w:val="18"/>
                      <w:szCs w:val="18"/>
                      <w:highlight w:val="none"/>
                      <w:lang w:val="en-US" w:eastAsia="zh-CN"/>
                    </w:rPr>
                  </w:pPr>
                  <w:r>
                    <w:rPr>
                      <w:rFonts w:hint="eastAsia" w:cs="Times New Roman"/>
                      <w:color w:val="auto"/>
                      <w:position w:val="0"/>
                      <w:sz w:val="18"/>
                      <w:szCs w:val="18"/>
                      <w:highlight w:val="none"/>
                      <w:lang w:val="en-US" w:eastAsia="zh-CN"/>
                    </w:rPr>
                    <w:t>0.687</w:t>
                  </w:r>
                </w:p>
              </w:tc>
              <w:tc>
                <w:tcPr>
                  <w:tcW w:w="382" w:type="pct"/>
                  <w:noWrap w:val="0"/>
                  <w:vAlign w:val="center"/>
                </w:tcPr>
                <w:p w14:paraId="1286CB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position w:val="0"/>
                      <w:sz w:val="18"/>
                      <w:szCs w:val="18"/>
                      <w:highlight w:val="none"/>
                      <w:lang w:val="en-US" w:eastAsia="zh-CN"/>
                    </w:rPr>
                  </w:pPr>
                  <w:r>
                    <w:rPr>
                      <w:rFonts w:hint="eastAsia" w:cs="Times New Roman"/>
                      <w:color w:val="auto"/>
                      <w:position w:val="0"/>
                      <w:sz w:val="18"/>
                      <w:szCs w:val="18"/>
                      <w:highlight w:val="none"/>
                      <w:lang w:val="en-US" w:eastAsia="zh-CN"/>
                    </w:rPr>
                    <w:t>4.122</w:t>
                  </w:r>
                </w:p>
              </w:tc>
              <w:tc>
                <w:tcPr>
                  <w:tcW w:w="512" w:type="pct"/>
                  <w:noWrap w:val="0"/>
                  <w:vAlign w:val="center"/>
                </w:tcPr>
                <w:p w14:paraId="52061BA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281" w:type="pct"/>
                  <w:gridSpan w:val="2"/>
                  <w:noWrap w:val="0"/>
                  <w:vAlign w:val="center"/>
                </w:tcPr>
                <w:p w14:paraId="5299D0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default" w:ascii="Times New Roman" w:hAnsi="Times New Roman" w:eastAsia="宋体" w:cs="Times New Roman"/>
                      <w:color w:val="auto"/>
                      <w:spacing w:val="0"/>
                      <w:position w:val="0"/>
                      <w:sz w:val="18"/>
                      <w:szCs w:val="18"/>
                      <w:highlight w:val="none"/>
                    </w:rPr>
                    <w:t>/</w:t>
                  </w:r>
                </w:p>
              </w:tc>
              <w:tc>
                <w:tcPr>
                  <w:tcW w:w="482" w:type="pct"/>
                  <w:vMerge w:val="continue"/>
                  <w:noWrap w:val="0"/>
                  <w:vAlign w:val="center"/>
                </w:tcPr>
                <w:p w14:paraId="781DC55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p>
              </w:tc>
              <w:tc>
                <w:tcPr>
                  <w:tcW w:w="502" w:type="pct"/>
                  <w:noWrap w:val="0"/>
                  <w:vAlign w:val="center"/>
                </w:tcPr>
                <w:p w14:paraId="397183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131.42</w:t>
                  </w:r>
                </w:p>
              </w:tc>
              <w:tc>
                <w:tcPr>
                  <w:tcW w:w="437" w:type="pct"/>
                  <w:noWrap w:val="0"/>
                  <w:vAlign w:val="center"/>
                </w:tcPr>
                <w:p w14:paraId="663DFE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position w:val="0"/>
                      <w:sz w:val="18"/>
                      <w:szCs w:val="18"/>
                      <w:highlight w:val="none"/>
                      <w:lang w:val="en-US" w:eastAsia="zh-CN"/>
                    </w:rPr>
                  </w:pPr>
                  <w:r>
                    <w:rPr>
                      <w:rFonts w:hint="eastAsia" w:cs="Times New Roman"/>
                      <w:color w:val="auto"/>
                      <w:position w:val="0"/>
                      <w:sz w:val="18"/>
                      <w:szCs w:val="18"/>
                      <w:highlight w:val="none"/>
                      <w:lang w:val="en-US" w:eastAsia="zh-CN"/>
                    </w:rPr>
                    <w:t>0.687</w:t>
                  </w:r>
                </w:p>
              </w:tc>
              <w:tc>
                <w:tcPr>
                  <w:tcW w:w="389" w:type="pct"/>
                  <w:noWrap w:val="0"/>
                  <w:vAlign w:val="center"/>
                </w:tcPr>
                <w:p w14:paraId="1A10E0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position w:val="0"/>
                      <w:sz w:val="18"/>
                      <w:szCs w:val="18"/>
                      <w:highlight w:val="none"/>
                      <w:lang w:val="en-US" w:eastAsia="zh-CN"/>
                    </w:rPr>
                  </w:pPr>
                  <w:r>
                    <w:rPr>
                      <w:rFonts w:hint="eastAsia" w:cs="Times New Roman"/>
                      <w:color w:val="auto"/>
                      <w:position w:val="0"/>
                      <w:sz w:val="18"/>
                      <w:szCs w:val="18"/>
                      <w:highlight w:val="none"/>
                      <w:lang w:val="en-US" w:eastAsia="zh-CN"/>
                    </w:rPr>
                    <w:t>4.122</w:t>
                  </w:r>
                </w:p>
              </w:tc>
            </w:tr>
            <w:tr w14:paraId="7D6F0E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 w:type="pct"/>
                  <w:vMerge w:val="continue"/>
                  <w:noWrap w:val="0"/>
                  <w:vAlign w:val="center"/>
                </w:tcPr>
                <w:p w14:paraId="18057D9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11" w:type="pct"/>
                  <w:noWrap w:val="0"/>
                  <w:vAlign w:val="center"/>
                </w:tcPr>
                <w:p w14:paraId="71563390">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eastAsia" w:ascii="Times New Roman" w:hAnsi="Times New Roman" w:eastAsia="宋体" w:cs="Times New Roman"/>
                      <w:color w:val="auto"/>
                      <w:spacing w:val="0"/>
                      <w:position w:val="0"/>
                      <w:sz w:val="18"/>
                      <w:szCs w:val="18"/>
                      <w:highlight w:val="none"/>
                      <w:lang w:val="en-US" w:eastAsia="zh-CN"/>
                    </w:rPr>
                  </w:pPr>
                  <w:r>
                    <w:rPr>
                      <w:rFonts w:hint="eastAsia" w:cs="Times New Roman"/>
                      <w:bCs/>
                      <w:color w:val="auto"/>
                      <w:kern w:val="0"/>
                      <w:sz w:val="18"/>
                      <w:szCs w:val="18"/>
                      <w:highlight w:val="none"/>
                      <w:lang w:val="en-US" w:eastAsia="zh-CN"/>
                    </w:rPr>
                    <w:t>DA002</w:t>
                  </w:r>
                </w:p>
              </w:tc>
              <w:tc>
                <w:tcPr>
                  <w:tcW w:w="351" w:type="pct"/>
                  <w:noWrap w:val="0"/>
                  <w:vAlign w:val="center"/>
                </w:tcPr>
                <w:p w14:paraId="08C5302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eastAsia" w:cs="Times New Roman"/>
                      <w:color w:val="auto"/>
                      <w:spacing w:val="0"/>
                      <w:position w:val="0"/>
                      <w:sz w:val="18"/>
                      <w:szCs w:val="18"/>
                      <w:highlight w:val="none"/>
                      <w:lang w:val="en-US" w:eastAsia="zh-CN"/>
                    </w:rPr>
                    <w:t>颗粒物</w:t>
                  </w:r>
                </w:p>
              </w:tc>
              <w:tc>
                <w:tcPr>
                  <w:tcW w:w="374" w:type="pct"/>
                  <w:noWrap w:val="0"/>
                  <w:vAlign w:val="center"/>
                </w:tcPr>
                <w:p w14:paraId="36A9F2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5</w:t>
                  </w:r>
                  <w:r>
                    <w:rPr>
                      <w:rFonts w:hint="eastAsia" w:ascii="Times New Roman" w:hAnsi="Times New Roman" w:eastAsia="宋体" w:cs="Times New Roman"/>
                      <w:color w:val="auto"/>
                      <w:spacing w:val="0"/>
                      <w:kern w:val="0"/>
                      <w:position w:val="0"/>
                      <w:sz w:val="18"/>
                      <w:szCs w:val="18"/>
                      <w:highlight w:val="none"/>
                      <w:lang w:val="en-US" w:eastAsia="zh-CN"/>
                    </w:rPr>
                    <w:t>000</w:t>
                  </w:r>
                </w:p>
              </w:tc>
              <w:tc>
                <w:tcPr>
                  <w:tcW w:w="437" w:type="pct"/>
                  <w:noWrap w:val="0"/>
                  <w:vAlign w:val="center"/>
                </w:tcPr>
                <w:p w14:paraId="59F4E25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200.7</w:t>
                  </w:r>
                </w:p>
              </w:tc>
              <w:tc>
                <w:tcPr>
                  <w:tcW w:w="419" w:type="pct"/>
                  <w:noWrap w:val="0"/>
                  <w:vAlign w:val="center"/>
                </w:tcPr>
                <w:p w14:paraId="3D0CFBC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position w:val="0"/>
                      <w:sz w:val="18"/>
                      <w:szCs w:val="18"/>
                      <w:highlight w:val="none"/>
                      <w:lang w:val="en-US" w:eastAsia="zh-CN"/>
                    </w:rPr>
                  </w:pPr>
                  <w:r>
                    <w:rPr>
                      <w:rFonts w:hint="eastAsia" w:cs="Times New Roman"/>
                      <w:color w:val="auto"/>
                      <w:sz w:val="18"/>
                      <w:szCs w:val="18"/>
                      <w:highlight w:val="none"/>
                      <w:lang w:val="en-US" w:eastAsia="zh-CN"/>
                    </w:rPr>
                    <w:t>1.004</w:t>
                  </w:r>
                </w:p>
              </w:tc>
              <w:tc>
                <w:tcPr>
                  <w:tcW w:w="382" w:type="pct"/>
                  <w:noWrap w:val="0"/>
                  <w:vAlign w:val="center"/>
                </w:tcPr>
                <w:p w14:paraId="1A22F1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6.021</w:t>
                  </w:r>
                </w:p>
              </w:tc>
              <w:tc>
                <w:tcPr>
                  <w:tcW w:w="512" w:type="pct"/>
                  <w:noWrap w:val="0"/>
                  <w:vAlign w:val="center"/>
                </w:tcPr>
                <w:p w14:paraId="74DDBDC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rPr>
                  </w:pPr>
                  <w:r>
                    <w:rPr>
                      <w:rFonts w:hint="eastAsia" w:cs="Times New Roman"/>
                      <w:color w:val="auto"/>
                      <w:spacing w:val="0"/>
                      <w:position w:val="0"/>
                      <w:sz w:val="18"/>
                      <w:szCs w:val="18"/>
                      <w:highlight w:val="none"/>
                      <w:lang w:val="en-US" w:eastAsia="zh-CN"/>
                    </w:rPr>
                    <w:t>集尘装置+布袋除尘器</w:t>
                  </w:r>
                </w:p>
              </w:tc>
              <w:tc>
                <w:tcPr>
                  <w:tcW w:w="281" w:type="pct"/>
                  <w:gridSpan w:val="2"/>
                  <w:noWrap w:val="0"/>
                  <w:vAlign w:val="center"/>
                </w:tcPr>
                <w:p w14:paraId="100EB7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90/</w:t>
                  </w:r>
                  <w:r>
                    <w:rPr>
                      <w:rFonts w:hint="eastAsia" w:ascii="Times New Roman" w:hAnsi="Times New Roman" w:eastAsia="宋体" w:cs="Times New Roman"/>
                      <w:color w:val="auto"/>
                      <w:spacing w:val="0"/>
                      <w:position w:val="0"/>
                      <w:sz w:val="18"/>
                      <w:szCs w:val="18"/>
                      <w:highlight w:val="none"/>
                      <w:lang w:val="en-US" w:eastAsia="zh-CN"/>
                    </w:rPr>
                    <w:t>92</w:t>
                  </w:r>
                </w:p>
              </w:tc>
              <w:tc>
                <w:tcPr>
                  <w:tcW w:w="482" w:type="pct"/>
                  <w:shd w:val="clear" w:color="auto" w:fill="auto"/>
                  <w:noWrap w:val="0"/>
                  <w:vAlign w:val="center"/>
                </w:tcPr>
                <w:p w14:paraId="02523C8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eastAsia" w:cs="Times New Roman"/>
                      <w:color w:val="auto"/>
                      <w:spacing w:val="0"/>
                      <w:kern w:val="0"/>
                      <w:position w:val="0"/>
                      <w:sz w:val="18"/>
                      <w:szCs w:val="18"/>
                      <w:highlight w:val="none"/>
                      <w:lang w:val="en-US" w:eastAsia="zh-CN"/>
                    </w:rPr>
                    <w:t>5</w:t>
                  </w:r>
                  <w:r>
                    <w:rPr>
                      <w:rFonts w:hint="eastAsia" w:ascii="Times New Roman" w:hAnsi="Times New Roman" w:eastAsia="宋体" w:cs="Times New Roman"/>
                      <w:color w:val="auto"/>
                      <w:spacing w:val="0"/>
                      <w:kern w:val="0"/>
                      <w:position w:val="0"/>
                      <w:sz w:val="18"/>
                      <w:szCs w:val="18"/>
                      <w:highlight w:val="none"/>
                      <w:lang w:val="en-US" w:eastAsia="zh-CN"/>
                    </w:rPr>
                    <w:t>000</w:t>
                  </w:r>
                </w:p>
              </w:tc>
              <w:tc>
                <w:tcPr>
                  <w:tcW w:w="502" w:type="pct"/>
                  <w:noWrap w:val="0"/>
                  <w:vAlign w:val="center"/>
                </w:tcPr>
                <w:p w14:paraId="31133F1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spacing w:val="0"/>
                      <w:kern w:val="0"/>
                      <w:position w:val="0"/>
                      <w:sz w:val="18"/>
                      <w:szCs w:val="18"/>
                      <w:highlight w:val="none"/>
                      <w:lang w:val="en-US" w:eastAsia="zh-CN"/>
                    </w:rPr>
                  </w:pPr>
                  <w:r>
                    <w:rPr>
                      <w:rFonts w:hint="eastAsia" w:cs="Times New Roman"/>
                      <w:color w:val="auto"/>
                      <w:sz w:val="18"/>
                      <w:szCs w:val="18"/>
                      <w:highlight w:val="none"/>
                      <w:lang w:val="en-US" w:eastAsia="zh-CN"/>
                    </w:rPr>
                    <w:t>16.056</w:t>
                  </w:r>
                </w:p>
              </w:tc>
              <w:tc>
                <w:tcPr>
                  <w:tcW w:w="437" w:type="pct"/>
                  <w:noWrap w:val="0"/>
                  <w:vAlign w:val="center"/>
                </w:tcPr>
                <w:p w14:paraId="3E3E407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position w:val="0"/>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08</w:t>
                  </w:r>
                </w:p>
              </w:tc>
              <w:tc>
                <w:tcPr>
                  <w:tcW w:w="389" w:type="pct"/>
                  <w:noWrap w:val="0"/>
                  <w:vAlign w:val="center"/>
                </w:tcPr>
                <w:p w14:paraId="2C8728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spacing w:val="0"/>
                      <w:kern w:val="0"/>
                      <w:position w:val="0"/>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r>
                    <w:rPr>
                      <w:rFonts w:hint="eastAsia"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482</w:t>
                  </w:r>
                </w:p>
              </w:tc>
            </w:tr>
            <w:tr w14:paraId="5B17800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 w:type="pct"/>
                  <w:vMerge w:val="continue"/>
                  <w:noWrap w:val="0"/>
                  <w:vAlign w:val="center"/>
                </w:tcPr>
                <w:p w14:paraId="09D5F9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p>
              </w:tc>
              <w:tc>
                <w:tcPr>
                  <w:tcW w:w="211" w:type="pct"/>
                  <w:noWrap w:val="0"/>
                  <w:vAlign w:val="center"/>
                </w:tcPr>
                <w:p w14:paraId="7F5CD98B">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DA004</w:t>
                  </w:r>
                </w:p>
              </w:tc>
              <w:tc>
                <w:tcPr>
                  <w:tcW w:w="351" w:type="pct"/>
                  <w:noWrap w:val="0"/>
                  <w:vAlign w:val="center"/>
                </w:tcPr>
                <w:p w14:paraId="053471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eastAsia" w:cs="Times New Roman"/>
                      <w:color w:val="auto"/>
                      <w:spacing w:val="0"/>
                      <w:position w:val="0"/>
                      <w:sz w:val="18"/>
                      <w:szCs w:val="18"/>
                      <w:highlight w:val="none"/>
                      <w:lang w:val="en-US" w:eastAsia="zh-CN"/>
                    </w:rPr>
                    <w:t>颗粒物</w:t>
                  </w:r>
                </w:p>
              </w:tc>
              <w:tc>
                <w:tcPr>
                  <w:tcW w:w="374" w:type="pct"/>
                  <w:noWrap w:val="0"/>
                  <w:vAlign w:val="center"/>
                </w:tcPr>
                <w:p w14:paraId="185BA1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5</w:t>
                  </w:r>
                  <w:r>
                    <w:rPr>
                      <w:rFonts w:hint="eastAsia" w:ascii="Times New Roman" w:hAnsi="Times New Roman" w:eastAsia="宋体" w:cs="Times New Roman"/>
                      <w:color w:val="auto"/>
                      <w:spacing w:val="0"/>
                      <w:kern w:val="0"/>
                      <w:position w:val="0"/>
                      <w:sz w:val="18"/>
                      <w:szCs w:val="18"/>
                      <w:highlight w:val="none"/>
                      <w:lang w:val="en-US" w:eastAsia="zh-CN"/>
                    </w:rPr>
                    <w:t>000</w:t>
                  </w:r>
                </w:p>
              </w:tc>
              <w:tc>
                <w:tcPr>
                  <w:tcW w:w="437" w:type="pct"/>
                  <w:noWrap w:val="0"/>
                  <w:vAlign w:val="center"/>
                </w:tcPr>
                <w:p w14:paraId="504C888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200.7</w:t>
                  </w:r>
                </w:p>
              </w:tc>
              <w:tc>
                <w:tcPr>
                  <w:tcW w:w="419" w:type="pct"/>
                  <w:noWrap w:val="0"/>
                  <w:vAlign w:val="center"/>
                </w:tcPr>
                <w:p w14:paraId="1DCE0D3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position w:val="0"/>
                      <w:sz w:val="18"/>
                      <w:szCs w:val="18"/>
                      <w:highlight w:val="none"/>
                      <w:lang w:val="en-US" w:eastAsia="zh-CN"/>
                    </w:rPr>
                  </w:pPr>
                  <w:r>
                    <w:rPr>
                      <w:rFonts w:hint="eastAsia" w:cs="Times New Roman"/>
                      <w:color w:val="auto"/>
                      <w:sz w:val="18"/>
                      <w:szCs w:val="18"/>
                      <w:highlight w:val="none"/>
                      <w:lang w:val="en-US" w:eastAsia="zh-CN"/>
                    </w:rPr>
                    <w:t>1.004</w:t>
                  </w:r>
                </w:p>
              </w:tc>
              <w:tc>
                <w:tcPr>
                  <w:tcW w:w="382" w:type="pct"/>
                  <w:noWrap w:val="0"/>
                  <w:vAlign w:val="center"/>
                </w:tcPr>
                <w:p w14:paraId="0BEE4D2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6.021</w:t>
                  </w:r>
                </w:p>
              </w:tc>
              <w:tc>
                <w:tcPr>
                  <w:tcW w:w="512" w:type="pct"/>
                  <w:noWrap w:val="0"/>
                  <w:vAlign w:val="center"/>
                </w:tcPr>
                <w:p w14:paraId="174178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eastAsia" w:cs="Times New Roman"/>
                      <w:color w:val="auto"/>
                      <w:spacing w:val="0"/>
                      <w:position w:val="0"/>
                      <w:sz w:val="18"/>
                      <w:szCs w:val="18"/>
                      <w:highlight w:val="none"/>
                      <w:lang w:val="en-US" w:eastAsia="zh-CN"/>
                    </w:rPr>
                    <w:t>集尘装置+布袋除尘器</w:t>
                  </w:r>
                </w:p>
              </w:tc>
              <w:tc>
                <w:tcPr>
                  <w:tcW w:w="281" w:type="pct"/>
                  <w:gridSpan w:val="2"/>
                  <w:noWrap w:val="0"/>
                  <w:vAlign w:val="center"/>
                </w:tcPr>
                <w:p w14:paraId="36BAB80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90/</w:t>
                  </w:r>
                  <w:r>
                    <w:rPr>
                      <w:rFonts w:hint="eastAsia" w:ascii="Times New Roman" w:hAnsi="Times New Roman" w:eastAsia="宋体" w:cs="Times New Roman"/>
                      <w:color w:val="auto"/>
                      <w:spacing w:val="0"/>
                      <w:position w:val="0"/>
                      <w:sz w:val="18"/>
                      <w:szCs w:val="18"/>
                      <w:highlight w:val="none"/>
                      <w:lang w:val="en-US" w:eastAsia="zh-CN"/>
                    </w:rPr>
                    <w:t>92</w:t>
                  </w:r>
                </w:p>
              </w:tc>
              <w:tc>
                <w:tcPr>
                  <w:tcW w:w="482" w:type="pct"/>
                  <w:noWrap w:val="0"/>
                  <w:vAlign w:val="center"/>
                </w:tcPr>
                <w:p w14:paraId="2ACEE01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rPr>
                  </w:pPr>
                  <w:r>
                    <w:rPr>
                      <w:rFonts w:hint="eastAsia" w:cs="Times New Roman"/>
                      <w:color w:val="auto"/>
                      <w:spacing w:val="0"/>
                      <w:kern w:val="0"/>
                      <w:position w:val="0"/>
                      <w:sz w:val="18"/>
                      <w:szCs w:val="18"/>
                      <w:highlight w:val="none"/>
                      <w:lang w:val="en-US" w:eastAsia="zh-CN"/>
                    </w:rPr>
                    <w:t>5</w:t>
                  </w:r>
                  <w:r>
                    <w:rPr>
                      <w:rFonts w:hint="eastAsia" w:ascii="Times New Roman" w:hAnsi="Times New Roman" w:eastAsia="宋体" w:cs="Times New Roman"/>
                      <w:color w:val="auto"/>
                      <w:spacing w:val="0"/>
                      <w:kern w:val="0"/>
                      <w:position w:val="0"/>
                      <w:sz w:val="18"/>
                      <w:szCs w:val="18"/>
                      <w:highlight w:val="none"/>
                      <w:lang w:val="en-US" w:eastAsia="zh-CN"/>
                    </w:rPr>
                    <w:t>000</w:t>
                  </w:r>
                </w:p>
              </w:tc>
              <w:tc>
                <w:tcPr>
                  <w:tcW w:w="502" w:type="pct"/>
                  <w:noWrap w:val="0"/>
                  <w:vAlign w:val="center"/>
                </w:tcPr>
                <w:p w14:paraId="2E52FDD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spacing w:val="0"/>
                      <w:kern w:val="0"/>
                      <w:position w:val="0"/>
                      <w:sz w:val="18"/>
                      <w:szCs w:val="18"/>
                      <w:highlight w:val="none"/>
                      <w:lang w:val="en-US" w:eastAsia="zh-CN"/>
                    </w:rPr>
                  </w:pPr>
                  <w:r>
                    <w:rPr>
                      <w:rFonts w:hint="eastAsia" w:cs="Times New Roman"/>
                      <w:color w:val="auto"/>
                      <w:sz w:val="18"/>
                      <w:szCs w:val="18"/>
                      <w:highlight w:val="none"/>
                      <w:lang w:val="en-US" w:eastAsia="zh-CN"/>
                    </w:rPr>
                    <w:t>16.056</w:t>
                  </w:r>
                </w:p>
              </w:tc>
              <w:tc>
                <w:tcPr>
                  <w:tcW w:w="437" w:type="pct"/>
                  <w:noWrap w:val="0"/>
                  <w:vAlign w:val="center"/>
                </w:tcPr>
                <w:p w14:paraId="3EFF28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position w:val="0"/>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r>
                    <w:rPr>
                      <w:rFonts w:hint="eastAsia" w:cs="Times New Roman"/>
                      <w:color w:val="auto"/>
                      <w:sz w:val="18"/>
                      <w:szCs w:val="18"/>
                      <w:highlight w:val="none"/>
                      <w:lang w:val="en-US" w:eastAsia="zh-CN"/>
                    </w:rPr>
                    <w:t>08</w:t>
                  </w:r>
                </w:p>
              </w:tc>
              <w:tc>
                <w:tcPr>
                  <w:tcW w:w="389" w:type="pct"/>
                  <w:noWrap w:val="0"/>
                  <w:vAlign w:val="center"/>
                </w:tcPr>
                <w:p w14:paraId="593D7C4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spacing w:val="0"/>
                      <w:kern w:val="0"/>
                      <w:position w:val="0"/>
                      <w:sz w:val="18"/>
                      <w:szCs w:val="18"/>
                      <w:highlight w:val="none"/>
                      <w:lang w:val="en-US" w:eastAsia="zh-CN"/>
                    </w:rPr>
                  </w:pPr>
                  <w:r>
                    <w:rPr>
                      <w:rFonts w:hint="default" w:ascii="Times New Roman" w:hAnsi="Times New Roman" w:cs="Times New Roman"/>
                      <w:color w:val="auto"/>
                      <w:sz w:val="18"/>
                      <w:szCs w:val="18"/>
                      <w:highlight w:val="none"/>
                      <w:lang w:val="en-US" w:eastAsia="zh-CN"/>
                    </w:rPr>
                    <w:t>0</w:t>
                  </w:r>
                  <w:r>
                    <w:rPr>
                      <w:rFonts w:hint="eastAsia"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482</w:t>
                  </w:r>
                </w:p>
              </w:tc>
            </w:tr>
            <w:tr w14:paraId="6C2F62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 w:type="pct"/>
                  <w:vMerge w:val="restart"/>
                  <w:noWrap w:val="0"/>
                  <w:vAlign w:val="center"/>
                </w:tcPr>
                <w:p w14:paraId="06E8922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无组织排放</w:t>
                  </w:r>
                </w:p>
              </w:tc>
              <w:tc>
                <w:tcPr>
                  <w:tcW w:w="211" w:type="pct"/>
                  <w:noWrap w:val="0"/>
                  <w:vAlign w:val="center"/>
                </w:tcPr>
                <w:p w14:paraId="33A6430E">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pacing w:val="0"/>
                      <w:position w:val="0"/>
                      <w:sz w:val="18"/>
                      <w:szCs w:val="18"/>
                      <w:highlight w:val="none"/>
                      <w:lang w:val="en-US"/>
                    </w:rPr>
                  </w:pPr>
                  <w:r>
                    <w:rPr>
                      <w:rFonts w:hint="eastAsia" w:cs="Times New Roman"/>
                      <w:bCs/>
                      <w:color w:val="auto"/>
                      <w:kern w:val="0"/>
                      <w:sz w:val="18"/>
                      <w:szCs w:val="18"/>
                      <w:highlight w:val="none"/>
                      <w:lang w:val="en-US" w:eastAsia="zh-CN"/>
                    </w:rPr>
                    <w:t>1号生产车间</w:t>
                  </w:r>
                </w:p>
              </w:tc>
              <w:tc>
                <w:tcPr>
                  <w:tcW w:w="351" w:type="pct"/>
                  <w:noWrap w:val="0"/>
                  <w:vAlign w:val="center"/>
                </w:tcPr>
                <w:p w14:paraId="52FFFA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颗粒物</w:t>
                  </w:r>
                </w:p>
              </w:tc>
              <w:tc>
                <w:tcPr>
                  <w:tcW w:w="374" w:type="pct"/>
                  <w:noWrap w:val="0"/>
                  <w:vAlign w:val="center"/>
                </w:tcPr>
                <w:p w14:paraId="12D4DD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37" w:type="pct"/>
                  <w:noWrap w:val="0"/>
                  <w:vAlign w:val="center"/>
                </w:tcPr>
                <w:p w14:paraId="4F33EC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19" w:type="pct"/>
                  <w:noWrap w:val="0"/>
                  <w:vAlign w:val="center"/>
                </w:tcPr>
                <w:p w14:paraId="57D60AA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0.112</w:t>
                  </w:r>
                </w:p>
              </w:tc>
              <w:tc>
                <w:tcPr>
                  <w:tcW w:w="382" w:type="pct"/>
                  <w:noWrap w:val="0"/>
                  <w:vAlign w:val="center"/>
                </w:tcPr>
                <w:p w14:paraId="63603C3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0.669</w:t>
                  </w:r>
                </w:p>
              </w:tc>
              <w:tc>
                <w:tcPr>
                  <w:tcW w:w="512" w:type="pct"/>
                  <w:vMerge w:val="restart"/>
                  <w:noWrap w:val="0"/>
                  <w:vAlign w:val="center"/>
                </w:tcPr>
                <w:p w14:paraId="3A39AEA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车间设备全密闭</w:t>
                  </w:r>
                </w:p>
              </w:tc>
              <w:tc>
                <w:tcPr>
                  <w:tcW w:w="281" w:type="pct"/>
                  <w:gridSpan w:val="2"/>
                  <w:noWrap w:val="0"/>
                  <w:vAlign w:val="center"/>
                </w:tcPr>
                <w:p w14:paraId="087EE92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w:t>
                  </w:r>
                </w:p>
              </w:tc>
              <w:tc>
                <w:tcPr>
                  <w:tcW w:w="482" w:type="pct"/>
                  <w:noWrap w:val="0"/>
                  <w:vAlign w:val="center"/>
                </w:tcPr>
                <w:p w14:paraId="157A0FF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502" w:type="pct"/>
                  <w:noWrap w:val="0"/>
                  <w:vAlign w:val="center"/>
                </w:tcPr>
                <w:p w14:paraId="33B3238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37" w:type="pct"/>
                  <w:noWrap w:val="0"/>
                  <w:vAlign w:val="center"/>
                </w:tcPr>
                <w:p w14:paraId="4CDD41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rPr>
                  </w:pPr>
                  <w:r>
                    <w:rPr>
                      <w:rFonts w:hint="eastAsia" w:cs="Times New Roman"/>
                      <w:color w:val="auto"/>
                      <w:sz w:val="18"/>
                      <w:szCs w:val="18"/>
                      <w:highlight w:val="none"/>
                      <w:lang w:val="en-US" w:eastAsia="zh-CN"/>
                    </w:rPr>
                    <w:t>0.022</w:t>
                  </w:r>
                </w:p>
              </w:tc>
              <w:tc>
                <w:tcPr>
                  <w:tcW w:w="389" w:type="pct"/>
                  <w:noWrap w:val="0"/>
                  <w:vAlign w:val="center"/>
                </w:tcPr>
                <w:p w14:paraId="2508A3C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rPr>
                  </w:pPr>
                  <w:r>
                    <w:rPr>
                      <w:rFonts w:hint="eastAsia" w:cs="Times New Roman"/>
                      <w:color w:val="auto"/>
                      <w:sz w:val="18"/>
                      <w:szCs w:val="18"/>
                      <w:highlight w:val="none"/>
                      <w:lang w:val="en-US" w:eastAsia="zh-CN"/>
                    </w:rPr>
                    <w:t>0.134</w:t>
                  </w:r>
                </w:p>
              </w:tc>
            </w:tr>
            <w:tr w14:paraId="443620A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 w:type="pct"/>
                  <w:vMerge w:val="continue"/>
                  <w:noWrap w:val="0"/>
                  <w:vAlign w:val="center"/>
                </w:tcPr>
                <w:p w14:paraId="628919A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p>
              </w:tc>
              <w:tc>
                <w:tcPr>
                  <w:tcW w:w="211" w:type="pct"/>
                  <w:noWrap w:val="0"/>
                  <w:vAlign w:val="center"/>
                </w:tcPr>
                <w:p w14:paraId="402F764E">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bCs/>
                      <w:color w:val="auto"/>
                      <w:kern w:val="0"/>
                      <w:sz w:val="18"/>
                      <w:szCs w:val="18"/>
                      <w:highlight w:val="none"/>
                      <w:lang w:val="en-US" w:eastAsia="zh-CN"/>
                    </w:rPr>
                    <w:t>2号生产车间</w:t>
                  </w:r>
                </w:p>
              </w:tc>
              <w:tc>
                <w:tcPr>
                  <w:tcW w:w="351" w:type="pct"/>
                  <w:noWrap w:val="0"/>
                  <w:vAlign w:val="center"/>
                </w:tcPr>
                <w:p w14:paraId="182AEB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rPr>
                  </w:pPr>
                  <w:r>
                    <w:rPr>
                      <w:rFonts w:hint="eastAsia" w:cs="Times New Roman"/>
                      <w:color w:val="auto"/>
                      <w:spacing w:val="0"/>
                      <w:position w:val="0"/>
                      <w:sz w:val="18"/>
                      <w:szCs w:val="18"/>
                      <w:highlight w:val="none"/>
                      <w:lang w:val="en-US" w:eastAsia="zh-CN"/>
                    </w:rPr>
                    <w:t>颗粒物</w:t>
                  </w:r>
                </w:p>
              </w:tc>
              <w:tc>
                <w:tcPr>
                  <w:tcW w:w="374" w:type="pct"/>
                  <w:noWrap w:val="0"/>
                  <w:vAlign w:val="center"/>
                </w:tcPr>
                <w:p w14:paraId="543C552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437" w:type="pct"/>
                  <w:noWrap w:val="0"/>
                  <w:vAlign w:val="center"/>
                </w:tcPr>
                <w:p w14:paraId="68E25E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419" w:type="pct"/>
                  <w:noWrap w:val="0"/>
                  <w:vAlign w:val="center"/>
                </w:tcPr>
                <w:p w14:paraId="205C35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rPr>
                  </w:pPr>
                  <w:r>
                    <w:rPr>
                      <w:rFonts w:hint="eastAsia" w:cs="Times New Roman"/>
                      <w:color w:val="auto"/>
                      <w:sz w:val="18"/>
                      <w:szCs w:val="18"/>
                      <w:highlight w:val="none"/>
                      <w:lang w:val="en-US" w:eastAsia="zh-CN"/>
                    </w:rPr>
                    <w:t>0.112</w:t>
                  </w:r>
                </w:p>
              </w:tc>
              <w:tc>
                <w:tcPr>
                  <w:tcW w:w="382" w:type="pct"/>
                  <w:noWrap w:val="0"/>
                  <w:vAlign w:val="center"/>
                </w:tcPr>
                <w:p w14:paraId="464E943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0.669</w:t>
                  </w:r>
                </w:p>
              </w:tc>
              <w:tc>
                <w:tcPr>
                  <w:tcW w:w="512" w:type="pct"/>
                  <w:vMerge w:val="continue"/>
                  <w:noWrap w:val="0"/>
                  <w:vAlign w:val="center"/>
                </w:tcPr>
                <w:p w14:paraId="435A83C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z w:val="18"/>
                      <w:szCs w:val="18"/>
                      <w:highlight w:val="none"/>
                      <w:lang w:val="en-US" w:eastAsia="zh-CN"/>
                    </w:rPr>
                  </w:pPr>
                </w:p>
              </w:tc>
              <w:tc>
                <w:tcPr>
                  <w:tcW w:w="281" w:type="pct"/>
                  <w:gridSpan w:val="2"/>
                  <w:noWrap w:val="0"/>
                  <w:vAlign w:val="center"/>
                </w:tcPr>
                <w:p w14:paraId="0177603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pacing w:val="0"/>
                      <w:kern w:val="0"/>
                      <w:position w:val="0"/>
                      <w:sz w:val="18"/>
                      <w:szCs w:val="18"/>
                      <w:highlight w:val="none"/>
                      <w:lang w:val="en-US" w:eastAsia="zh-CN"/>
                    </w:rPr>
                  </w:pPr>
                  <w:r>
                    <w:rPr>
                      <w:rFonts w:hint="default" w:ascii="Times New Roman" w:hAnsi="Times New Roman" w:eastAsia="宋体" w:cs="Times New Roman"/>
                      <w:color w:val="auto"/>
                      <w:spacing w:val="0"/>
                      <w:position w:val="0"/>
                      <w:sz w:val="18"/>
                      <w:szCs w:val="18"/>
                      <w:highlight w:val="none"/>
                    </w:rPr>
                    <w:t>/</w:t>
                  </w:r>
                </w:p>
              </w:tc>
              <w:tc>
                <w:tcPr>
                  <w:tcW w:w="482" w:type="pct"/>
                  <w:noWrap w:val="0"/>
                  <w:vAlign w:val="center"/>
                </w:tcPr>
                <w:p w14:paraId="1A3B44D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r>
                    <w:rPr>
                      <w:rFonts w:hint="default" w:ascii="Times New Roman" w:hAnsi="Times New Roman" w:eastAsia="宋体" w:cs="Times New Roman"/>
                      <w:color w:val="auto"/>
                      <w:sz w:val="18"/>
                      <w:szCs w:val="18"/>
                      <w:highlight w:val="none"/>
                    </w:rPr>
                    <w:t>/</w:t>
                  </w:r>
                </w:p>
              </w:tc>
              <w:tc>
                <w:tcPr>
                  <w:tcW w:w="502" w:type="pct"/>
                  <w:noWrap w:val="0"/>
                  <w:vAlign w:val="center"/>
                </w:tcPr>
                <w:p w14:paraId="73E95C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437" w:type="pct"/>
                  <w:noWrap w:val="0"/>
                  <w:vAlign w:val="center"/>
                </w:tcPr>
                <w:p w14:paraId="54064EC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rPr>
                  </w:pPr>
                  <w:r>
                    <w:rPr>
                      <w:rFonts w:hint="eastAsia" w:cs="Times New Roman"/>
                      <w:color w:val="auto"/>
                      <w:sz w:val="18"/>
                      <w:szCs w:val="18"/>
                      <w:highlight w:val="none"/>
                      <w:lang w:val="en-US" w:eastAsia="zh-CN"/>
                    </w:rPr>
                    <w:t>0.022</w:t>
                  </w:r>
                </w:p>
              </w:tc>
              <w:tc>
                <w:tcPr>
                  <w:tcW w:w="389" w:type="pct"/>
                  <w:noWrap w:val="0"/>
                  <w:vAlign w:val="center"/>
                </w:tcPr>
                <w:p w14:paraId="3A632E8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0.134</w:t>
                  </w:r>
                </w:p>
              </w:tc>
            </w:tr>
            <w:tr w14:paraId="318DD9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8" w:type="pct"/>
                  <w:vMerge w:val="continue"/>
                  <w:noWrap w:val="0"/>
                  <w:vAlign w:val="center"/>
                </w:tcPr>
                <w:p w14:paraId="076925C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pacing w:val="0"/>
                      <w:position w:val="0"/>
                      <w:sz w:val="18"/>
                      <w:szCs w:val="18"/>
                      <w:highlight w:val="none"/>
                      <w:lang w:val="en-US" w:eastAsia="zh-CN"/>
                    </w:rPr>
                  </w:pPr>
                </w:p>
              </w:tc>
              <w:tc>
                <w:tcPr>
                  <w:tcW w:w="211" w:type="pct"/>
                  <w:noWrap w:val="0"/>
                  <w:vAlign w:val="center"/>
                </w:tcPr>
                <w:p w14:paraId="325EE621">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auto"/>
                    <w:rPr>
                      <w:rFonts w:hint="eastAsia" w:cs="Times New Roman"/>
                      <w:bCs/>
                      <w:color w:val="auto"/>
                      <w:kern w:val="0"/>
                      <w:sz w:val="18"/>
                      <w:szCs w:val="18"/>
                      <w:highlight w:val="none"/>
                      <w:lang w:val="en-US" w:eastAsia="zh-CN"/>
                    </w:rPr>
                  </w:pPr>
                  <w:r>
                    <w:rPr>
                      <w:rFonts w:hint="eastAsia" w:cs="Times New Roman"/>
                      <w:bCs/>
                      <w:color w:val="auto"/>
                      <w:kern w:val="0"/>
                      <w:sz w:val="18"/>
                      <w:szCs w:val="18"/>
                      <w:highlight w:val="none"/>
                      <w:lang w:val="en-US" w:eastAsia="zh-CN"/>
                    </w:rPr>
                    <w:t>原料堆场</w:t>
                  </w:r>
                </w:p>
              </w:tc>
              <w:tc>
                <w:tcPr>
                  <w:tcW w:w="351" w:type="pct"/>
                  <w:noWrap w:val="0"/>
                  <w:vAlign w:val="center"/>
                </w:tcPr>
                <w:p w14:paraId="44344D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颗粒物</w:t>
                  </w:r>
                </w:p>
              </w:tc>
              <w:tc>
                <w:tcPr>
                  <w:tcW w:w="374" w:type="pct"/>
                  <w:noWrap w:val="0"/>
                  <w:vAlign w:val="center"/>
                </w:tcPr>
                <w:p w14:paraId="65DA38A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437" w:type="pct"/>
                  <w:noWrap w:val="0"/>
                  <w:vAlign w:val="center"/>
                </w:tcPr>
                <w:p w14:paraId="21B924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c>
                <w:tcPr>
                  <w:tcW w:w="419" w:type="pct"/>
                  <w:noWrap w:val="0"/>
                  <w:vAlign w:val="center"/>
                </w:tcPr>
                <w:p w14:paraId="1985F49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2.016</w:t>
                  </w:r>
                </w:p>
              </w:tc>
              <w:tc>
                <w:tcPr>
                  <w:tcW w:w="382" w:type="pct"/>
                  <w:noWrap w:val="0"/>
                  <w:vAlign w:val="center"/>
                </w:tcPr>
                <w:p w14:paraId="4CC8186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4.234</w:t>
                  </w:r>
                </w:p>
              </w:tc>
              <w:tc>
                <w:tcPr>
                  <w:tcW w:w="512" w:type="pct"/>
                  <w:noWrap w:val="0"/>
                  <w:vAlign w:val="center"/>
                </w:tcPr>
                <w:p w14:paraId="2F6B685F">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围挡、洒水降尘</w:t>
                  </w:r>
                </w:p>
              </w:tc>
              <w:tc>
                <w:tcPr>
                  <w:tcW w:w="281" w:type="pct"/>
                  <w:gridSpan w:val="2"/>
                  <w:noWrap w:val="0"/>
                  <w:vAlign w:val="center"/>
                </w:tcPr>
                <w:p w14:paraId="679FA763">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firstLine="0" w:firstLineChars="0"/>
                    <w:jc w:val="center"/>
                    <w:textAlignment w:val="center"/>
                    <w:rPr>
                      <w:rFonts w:hint="default" w:ascii="Times New Roman" w:hAnsi="Times New Roman" w:eastAsia="宋体" w:cs="Times New Roman"/>
                      <w:color w:val="auto"/>
                      <w:spacing w:val="0"/>
                      <w:position w:val="0"/>
                      <w:sz w:val="18"/>
                      <w:szCs w:val="18"/>
                      <w:highlight w:val="none"/>
                      <w:lang w:val="en-US" w:eastAsia="zh-CN"/>
                    </w:rPr>
                  </w:pPr>
                  <w:r>
                    <w:rPr>
                      <w:rFonts w:hint="eastAsia" w:cs="Times New Roman"/>
                      <w:color w:val="auto"/>
                      <w:spacing w:val="0"/>
                      <w:position w:val="0"/>
                      <w:sz w:val="18"/>
                      <w:szCs w:val="18"/>
                      <w:highlight w:val="none"/>
                      <w:lang w:val="en-US" w:eastAsia="zh-CN"/>
                    </w:rPr>
                    <w:t>74/60</w:t>
                  </w:r>
                </w:p>
              </w:tc>
              <w:tc>
                <w:tcPr>
                  <w:tcW w:w="835" w:type="dxa"/>
                  <w:noWrap w:val="0"/>
                  <w:vAlign w:val="center"/>
                </w:tcPr>
                <w:p w14:paraId="507EEF1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870" w:type="dxa"/>
                  <w:noWrap w:val="0"/>
                  <w:vAlign w:val="center"/>
                </w:tcPr>
                <w:p w14:paraId="544423E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t>
                  </w:r>
                </w:p>
              </w:tc>
              <w:tc>
                <w:tcPr>
                  <w:tcW w:w="437" w:type="pct"/>
                  <w:noWrap w:val="0"/>
                  <w:vAlign w:val="center"/>
                </w:tcPr>
                <w:p w14:paraId="3025B0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0.21</w:t>
                  </w:r>
                </w:p>
              </w:tc>
              <w:tc>
                <w:tcPr>
                  <w:tcW w:w="389" w:type="pct"/>
                  <w:noWrap w:val="0"/>
                  <w:vAlign w:val="center"/>
                </w:tcPr>
                <w:p w14:paraId="4E2E6B4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0.44</w:t>
                  </w:r>
                </w:p>
              </w:tc>
            </w:tr>
          </w:tbl>
          <w:p w14:paraId="5349A46D">
            <w:pPr>
              <w:keepNext w:val="0"/>
              <w:keepLines w:val="0"/>
              <w:suppressLineNumbers w:val="0"/>
              <w:spacing w:before="0" w:beforeAutospacing="0" w:after="0" w:afterAutospacing="0"/>
              <w:ind w:left="0" w:right="0"/>
              <w:rPr>
                <w:rFonts w:hint="default" w:ascii="Times New Roman" w:hAnsi="Times New Roman" w:eastAsia="宋体" w:cs="Times New Roman"/>
                <w:b/>
                <w:bCs w:val="0"/>
                <w:color w:val="auto"/>
                <w:kern w:val="0"/>
                <w:sz w:val="18"/>
                <w:szCs w:val="18"/>
                <w:highlight w:val="none"/>
                <w:lang w:val="en-US" w:eastAsia="zh-CN"/>
              </w:rPr>
            </w:pPr>
            <w:r>
              <w:rPr>
                <w:rFonts w:hint="eastAsia" w:cs="Times New Roman"/>
                <w:b/>
                <w:bCs w:val="0"/>
                <w:color w:val="auto"/>
                <w:kern w:val="0"/>
                <w:sz w:val="18"/>
                <w:szCs w:val="18"/>
                <w:highlight w:val="none"/>
                <w:lang w:val="en-US" w:eastAsia="zh-CN"/>
              </w:rPr>
              <w:t>注：DA001、DA003分别为2条生产线生物质燃烧器废气、烘干废气混合排放口。DA002、DA004为生产车间粗破、粉碎、造粒粉尘排放口。</w:t>
            </w:r>
          </w:p>
          <w:p w14:paraId="41BBC951">
            <w:pPr>
              <w:keepNext w:val="0"/>
              <w:keepLines w:val="0"/>
              <w:suppressLineNumbers w:val="0"/>
              <w:spacing w:before="0" w:beforeAutospacing="0" w:after="0" w:afterAutospacing="0"/>
              <w:ind w:left="0" w:right="0" w:firstLine="420" w:firstLineChars="200"/>
              <w:rPr>
                <w:rFonts w:hint="default" w:ascii="Times New Roman" w:hAnsi="Times New Roman" w:eastAsia="宋体" w:cs="Times New Roman"/>
                <w:bCs/>
                <w:color w:val="auto"/>
                <w:kern w:val="0"/>
                <w:sz w:val="21"/>
                <w:szCs w:val="21"/>
                <w:highlight w:val="none"/>
                <w:lang w:eastAsia="zh-CN"/>
              </w:rPr>
            </w:pPr>
            <w:r>
              <w:rPr>
                <w:rFonts w:hint="default" w:ascii="Times New Roman" w:hAnsi="Times New Roman" w:eastAsia="宋体" w:cs="Times New Roman"/>
                <w:bCs/>
                <w:color w:val="auto"/>
                <w:kern w:val="0"/>
                <w:sz w:val="21"/>
                <w:szCs w:val="21"/>
                <w:highlight w:val="none"/>
                <w:lang w:val="en-US" w:eastAsia="zh-CN"/>
              </w:rPr>
              <w:t>1</w:t>
            </w:r>
            <w:r>
              <w:rPr>
                <w:rFonts w:hint="default" w:ascii="Times New Roman" w:hAnsi="Times New Roman" w:eastAsia="宋体" w:cs="Times New Roman"/>
                <w:bCs/>
                <w:color w:val="auto"/>
                <w:kern w:val="0"/>
                <w:sz w:val="21"/>
                <w:szCs w:val="21"/>
                <w:highlight w:val="none"/>
                <w:lang w:eastAsia="zh-CN"/>
              </w:rPr>
              <w:t>）</w:t>
            </w:r>
            <w:r>
              <w:rPr>
                <w:rFonts w:hint="eastAsia" w:cs="Times New Roman"/>
                <w:bCs/>
                <w:color w:val="auto"/>
                <w:kern w:val="0"/>
                <w:sz w:val="21"/>
                <w:szCs w:val="21"/>
                <w:highlight w:val="none"/>
                <w:lang w:val="en-US" w:eastAsia="zh-CN"/>
              </w:rPr>
              <w:t>1号生物质燃烧器</w:t>
            </w:r>
            <w:r>
              <w:rPr>
                <w:rFonts w:hint="default" w:ascii="Times New Roman" w:hAnsi="Times New Roman" w:eastAsia="宋体" w:cs="Times New Roman"/>
                <w:bCs/>
                <w:color w:val="auto"/>
                <w:kern w:val="0"/>
                <w:sz w:val="21"/>
                <w:szCs w:val="21"/>
                <w:highlight w:val="none"/>
                <w:lang w:eastAsia="zh-CN"/>
              </w:rPr>
              <w:t>废气</w:t>
            </w:r>
          </w:p>
          <w:p w14:paraId="5DF794FB">
            <w:pPr>
              <w:keepNext w:val="0"/>
              <w:keepLines w:val="0"/>
              <w:pageBreakBefore w:val="0"/>
              <w:widowControl/>
              <w:numPr>
                <w:ilvl w:val="-1"/>
                <w:numId w:val="0"/>
              </w:numPr>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left"/>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1号</w:t>
            </w:r>
            <w:r>
              <w:rPr>
                <w:rFonts w:hint="eastAsia" w:cs="Times New Roman"/>
                <w:bCs/>
                <w:color w:val="auto"/>
                <w:kern w:val="0"/>
                <w:sz w:val="21"/>
                <w:szCs w:val="21"/>
                <w:highlight w:val="none"/>
                <w:lang w:val="en-US" w:eastAsia="zh-CN"/>
              </w:rPr>
              <w:t>生物质燃烧器</w:t>
            </w:r>
            <w:r>
              <w:rPr>
                <w:rFonts w:hint="eastAsia" w:cs="Times New Roman"/>
                <w:color w:val="auto"/>
                <w:sz w:val="21"/>
                <w:szCs w:val="21"/>
                <w:highlight w:val="none"/>
                <w:lang w:val="en-US" w:eastAsia="zh-CN"/>
              </w:rPr>
              <w:t>燃料量为4041t/a，</w:t>
            </w:r>
            <w:r>
              <w:rPr>
                <w:rFonts w:hint="eastAsia" w:ascii="Times New Roman" w:hAnsi="Times New Roman" w:eastAsia="宋体" w:cs="Times New Roman"/>
                <w:color w:val="auto"/>
                <w:sz w:val="21"/>
                <w:szCs w:val="21"/>
                <w:highlight w:val="none"/>
              </w:rPr>
              <w:t>参照</w:t>
            </w:r>
            <w:r>
              <w:rPr>
                <w:rFonts w:hint="default" w:ascii="Times New Roman" w:hAnsi="Times New Roman" w:eastAsia="宋体" w:cs="Times New Roman"/>
                <w:color w:val="auto"/>
                <w:sz w:val="21"/>
                <w:szCs w:val="21"/>
                <w:highlight w:val="none"/>
              </w:rPr>
              <w:t>《排污许可证申请与核发技术规范 锅炉》</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HJ953-2018</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中相关方法</w:t>
            </w:r>
            <w:r>
              <w:rPr>
                <w:rFonts w:hint="eastAsia" w:ascii="Times New Roman" w:hAnsi="Times New Roman" w:eastAsia="宋体" w:cs="Times New Roman"/>
                <w:color w:val="auto"/>
                <w:sz w:val="21"/>
                <w:szCs w:val="21"/>
                <w:highlight w:val="none"/>
                <w:lang w:eastAsia="zh-CN"/>
              </w:rPr>
              <w:t>计算烟气量</w:t>
            </w:r>
          </w:p>
          <w:p w14:paraId="4BD2962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outlineLvl w:val="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rPr>
              <w:t>①</w:t>
            </w:r>
            <w:r>
              <w:rPr>
                <w:rFonts w:hint="default" w:ascii="Times New Roman" w:hAnsi="Times New Roman" w:eastAsia="宋体" w:cs="Times New Roman"/>
                <w:snapToGrid w:val="0"/>
                <w:color w:val="auto"/>
                <w:sz w:val="21"/>
                <w:szCs w:val="21"/>
                <w:highlight w:val="none"/>
              </w:rPr>
              <w:t>烟气</w:t>
            </w:r>
            <w:r>
              <w:rPr>
                <w:rFonts w:hint="default" w:ascii="Times New Roman" w:hAnsi="Times New Roman" w:eastAsia="宋体" w:cs="Times New Roman"/>
                <w:color w:val="auto"/>
                <w:sz w:val="21"/>
                <w:szCs w:val="21"/>
                <w:highlight w:val="none"/>
              </w:rPr>
              <w:t>排放量</w:t>
            </w:r>
            <w:r>
              <w:rPr>
                <w:rFonts w:hint="default" w:ascii="Times New Roman" w:hAnsi="Times New Roman" w:eastAsia="宋体" w:cs="Times New Roman"/>
                <w:snapToGrid w:val="0"/>
                <w:color w:val="auto"/>
                <w:sz w:val="21"/>
                <w:szCs w:val="21"/>
                <w:highlight w:val="none"/>
              </w:rPr>
              <w:t>：</w:t>
            </w:r>
          </w:p>
          <w:p w14:paraId="06D67D0C">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20" w:firstLineChars="200"/>
              <w:jc w:val="both"/>
              <w:textAlignment w:val="auto"/>
              <w:outlineLvl w:val="2"/>
              <w:rPr>
                <w:rFonts w:hint="default"/>
                <w:color w:val="auto"/>
                <w:highlight w:val="none"/>
              </w:rPr>
            </w:pPr>
            <w:r>
              <w:rPr>
                <w:rFonts w:hint="default" w:ascii="Times New Roman" w:hAnsi="Times New Roman" w:eastAsia="宋体" w:cs="Times New Roman"/>
                <w:color w:val="auto"/>
                <w:sz w:val="21"/>
                <w:szCs w:val="21"/>
                <w:highlight w:val="none"/>
              </w:rPr>
              <w:t>本项目Q</w:t>
            </w:r>
            <w:r>
              <w:rPr>
                <w:rFonts w:hint="default" w:ascii="Times New Roman" w:hAnsi="Times New Roman" w:eastAsia="宋体" w:cs="Times New Roman"/>
                <w:color w:val="auto"/>
                <w:sz w:val="21"/>
                <w:szCs w:val="21"/>
                <w:highlight w:val="none"/>
                <w:vertAlign w:val="subscript"/>
              </w:rPr>
              <w:t>net,ar</w:t>
            </w:r>
            <w:r>
              <w:rPr>
                <w:rFonts w:hint="default" w:ascii="Times New Roman" w:hAnsi="Times New Roman" w:eastAsia="宋体" w:cs="Times New Roman"/>
                <w:color w:val="auto"/>
                <w:sz w:val="21"/>
                <w:szCs w:val="21"/>
                <w:highlight w:val="none"/>
              </w:rPr>
              <w:t>（收到基低位发热量）为</w:t>
            </w:r>
            <w:r>
              <w:rPr>
                <w:rFonts w:hint="eastAsia" w:cs="Times New Roman"/>
                <w:color w:val="auto"/>
                <w:sz w:val="21"/>
                <w:szCs w:val="21"/>
                <w:highlight w:val="none"/>
                <w:lang w:val="en-US" w:eastAsia="zh-CN"/>
              </w:rPr>
              <w:t>17.52</w:t>
            </w:r>
            <w:r>
              <w:rPr>
                <w:rFonts w:hint="default" w:ascii="Times New Roman" w:hAnsi="Times New Roman" w:eastAsia="宋体" w:cs="Times New Roman"/>
                <w:color w:val="auto"/>
                <w:sz w:val="21"/>
                <w:szCs w:val="21"/>
                <w:highlight w:val="none"/>
              </w:rPr>
              <w:t>MJ/kg，V</w:t>
            </w:r>
            <w:r>
              <w:rPr>
                <w:rFonts w:hint="default" w:ascii="Times New Roman" w:hAnsi="Times New Roman" w:eastAsia="宋体" w:cs="Times New Roman"/>
                <w:color w:val="auto"/>
                <w:sz w:val="21"/>
                <w:szCs w:val="21"/>
                <w:highlight w:val="none"/>
                <w:vertAlign w:val="subscript"/>
              </w:rPr>
              <w:t>daf</w:t>
            </w:r>
            <w:r>
              <w:rPr>
                <w:rFonts w:hint="default" w:ascii="Times New Roman" w:hAnsi="Times New Roman" w:eastAsia="宋体" w:cs="Times New Roman"/>
                <w:color w:val="auto"/>
                <w:sz w:val="21"/>
                <w:szCs w:val="21"/>
                <w:highlight w:val="none"/>
              </w:rPr>
              <w:t>&gt;15%，则基准烟气量经验公式可定为V</w:t>
            </w:r>
            <w:r>
              <w:rPr>
                <w:rFonts w:hint="default" w:ascii="Times New Roman" w:hAnsi="Times New Roman" w:eastAsia="宋体" w:cs="Times New Roman"/>
                <w:color w:val="auto"/>
                <w:sz w:val="21"/>
                <w:szCs w:val="21"/>
                <w:highlight w:val="none"/>
                <w:vertAlign w:val="subscript"/>
              </w:rPr>
              <w:t>gy</w:t>
            </w:r>
            <w:r>
              <w:rPr>
                <w:rFonts w:hint="default" w:ascii="Times New Roman" w:hAnsi="Times New Roman" w:eastAsia="宋体" w:cs="Times New Roman"/>
                <w:color w:val="auto"/>
                <w:sz w:val="21"/>
                <w:szCs w:val="21"/>
                <w:highlight w:val="none"/>
              </w:rPr>
              <w:t>=0.393Qnet.ar+0.876。</w:t>
            </w:r>
          </w:p>
          <w:p w14:paraId="0F9E28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rPr>
              <w:t>则本项目的基准烟气量为Vgy=（</w:t>
            </w:r>
            <w:r>
              <w:rPr>
                <w:rFonts w:hint="eastAsia" w:cs="Times New Roman"/>
                <w:color w:val="auto"/>
                <w:sz w:val="21"/>
                <w:highlight w:val="none"/>
                <w:lang w:val="en-US" w:eastAsia="zh-CN"/>
              </w:rPr>
              <w:t>0.393</w:t>
            </w:r>
            <w:r>
              <w:rPr>
                <w:rFonts w:hint="default" w:ascii="Times New Roman" w:hAnsi="Times New Roman" w:eastAsia="宋体" w:cs="Times New Roman"/>
                <w:color w:val="auto"/>
                <w:sz w:val="21"/>
                <w:highlight w:val="none"/>
              </w:rPr>
              <w:t>×</w:t>
            </w:r>
            <w:r>
              <w:rPr>
                <w:rFonts w:hint="eastAsia" w:cs="Times New Roman"/>
                <w:color w:val="auto"/>
                <w:sz w:val="21"/>
                <w:highlight w:val="none"/>
                <w:lang w:val="en-US" w:eastAsia="zh-CN"/>
              </w:rPr>
              <w:t>17.52</w:t>
            </w:r>
            <w:r>
              <w:rPr>
                <w:rFonts w:hint="default" w:ascii="Times New Roman" w:hAnsi="Times New Roman" w:eastAsia="宋体" w:cs="Times New Roman"/>
                <w:color w:val="auto"/>
                <w:sz w:val="21"/>
                <w:highlight w:val="none"/>
              </w:rPr>
              <w:t>+0.</w:t>
            </w:r>
            <w:r>
              <w:rPr>
                <w:rFonts w:hint="eastAsia" w:cs="Times New Roman"/>
                <w:color w:val="auto"/>
                <w:sz w:val="21"/>
                <w:highlight w:val="none"/>
                <w:lang w:val="en-US" w:eastAsia="zh-CN"/>
              </w:rPr>
              <w:t>876</w:t>
            </w:r>
            <w:r>
              <w:rPr>
                <w:rFonts w:hint="default" w:ascii="Times New Roman" w:hAnsi="Times New Roman" w:eastAsia="宋体" w:cs="Times New Roman"/>
                <w:color w:val="auto"/>
                <w:sz w:val="21"/>
                <w:highlight w:val="none"/>
              </w:rPr>
              <w:t>）=</w:t>
            </w:r>
            <w:r>
              <w:rPr>
                <w:rFonts w:hint="eastAsia" w:cs="Times New Roman"/>
                <w:color w:val="auto"/>
                <w:sz w:val="21"/>
                <w:highlight w:val="none"/>
                <w:lang w:val="en-US" w:eastAsia="zh-CN"/>
              </w:rPr>
              <w:t>7.76136</w:t>
            </w:r>
            <w:r>
              <w:rPr>
                <w:rFonts w:hint="default" w:ascii="Times New Roman" w:hAnsi="Times New Roman" w:eastAsia="宋体" w:cs="Times New Roman"/>
                <w:color w:val="auto"/>
                <w:sz w:val="21"/>
                <w:highlight w:val="none"/>
              </w:rPr>
              <w:t>m</w:t>
            </w:r>
            <w:r>
              <w:rPr>
                <w:rFonts w:hint="default" w:ascii="Times New Roman" w:hAnsi="Times New Roman" w:eastAsia="宋体" w:cs="Times New Roman"/>
                <w:color w:val="auto"/>
                <w:sz w:val="21"/>
                <w:highlight w:val="none"/>
                <w:vertAlign w:val="superscript"/>
              </w:rPr>
              <w:t>3</w:t>
            </w:r>
            <w:r>
              <w:rPr>
                <w:rFonts w:hint="default" w:ascii="Times New Roman" w:hAnsi="Times New Roman" w:eastAsia="宋体" w:cs="Times New Roman"/>
                <w:color w:val="auto"/>
                <w:sz w:val="21"/>
                <w:highlight w:val="none"/>
              </w:rPr>
              <w:t>/</w:t>
            </w:r>
            <w:r>
              <w:rPr>
                <w:rFonts w:hint="eastAsia" w:ascii="Times New Roman" w:hAnsi="Times New Roman" w:eastAsia="宋体" w:cs="Times New Roman"/>
                <w:color w:val="auto"/>
                <w:sz w:val="21"/>
                <w:highlight w:val="none"/>
                <w:lang w:val="en-US" w:eastAsia="zh-CN"/>
              </w:rPr>
              <w:t>kg</w:t>
            </w:r>
          </w:p>
          <w:p w14:paraId="18C73F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则总烟气量为：</w:t>
            </w:r>
            <w:r>
              <w:rPr>
                <w:rFonts w:hint="eastAsia" w:cs="Times New Roman"/>
                <w:color w:val="auto"/>
                <w:sz w:val="21"/>
                <w:szCs w:val="21"/>
                <w:highlight w:val="none"/>
                <w:lang w:val="en-US" w:eastAsia="zh-CN"/>
              </w:rPr>
              <w:t>7.76136</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4041</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31363655.76</w:t>
            </w:r>
            <w:r>
              <w:rPr>
                <w:rFonts w:hint="default" w:ascii="Times New Roman" w:hAnsi="Times New Roman" w:eastAsia="宋体" w:cs="Times New Roman"/>
                <w:color w:val="auto"/>
                <w:sz w:val="21"/>
                <w:szCs w:val="21"/>
                <w:highlight w:val="none"/>
              </w:rPr>
              <w:t>Nm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/a</w:t>
            </w:r>
          </w:p>
          <w:p w14:paraId="7DB3187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②颗粒物排放量</w:t>
            </w:r>
          </w:p>
          <w:p w14:paraId="3384ECB1">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56"/>
                <w:sz w:val="21"/>
                <w:szCs w:val="21"/>
                <w:highlight w:val="none"/>
              </w:rPr>
              <w:object>
                <v:shape id="_x0000_i1025" o:spt="75" type="#_x0000_t75" style="height:43.8pt;width:149.25pt;" o:ole="t" filled="f" o:preferrelative="t" stroked="f" coordsize="21600,21600">
                  <v:path/>
                  <v:fill on="f" focussize="0,0"/>
                  <v:stroke on="f"/>
                  <v:imagedata r:id="rId15" o:title=""/>
                  <o:lock v:ext="edit" aspectratio="t"/>
                  <w10:wrap type="none"/>
                  <w10:anchorlock/>
                </v:shape>
                <o:OLEObject Type="Embed" ProgID="Equations" ShapeID="_x0000_i1025" DrawAspect="Content" ObjectID="_1468075725" r:id="rId14">
                  <o:LockedField>false</o:LockedField>
                </o:OLEObject>
              </w:object>
            </w:r>
          </w:p>
          <w:p w14:paraId="157AA3F0">
            <w:pPr>
              <w:pStyle w:val="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式中：E</w:t>
            </w:r>
            <w:r>
              <w:rPr>
                <w:rFonts w:hint="default" w:ascii="Times New Roman" w:hAnsi="Times New Roman" w:eastAsia="宋体" w:cs="Times New Roman"/>
                <w:color w:val="auto"/>
                <w:sz w:val="21"/>
                <w:szCs w:val="21"/>
                <w:highlight w:val="none"/>
                <w:vertAlign w:val="subscript"/>
              </w:rPr>
              <w:t>A</w:t>
            </w:r>
            <w:r>
              <w:rPr>
                <w:rFonts w:hint="default" w:ascii="Times New Roman" w:hAnsi="Times New Roman" w:eastAsia="宋体" w:cs="Times New Roman"/>
                <w:color w:val="auto"/>
                <w:sz w:val="21"/>
                <w:szCs w:val="21"/>
                <w:highlight w:val="none"/>
              </w:rPr>
              <w:t>----核算时段内颗粒物排放量，t；</w:t>
            </w:r>
          </w:p>
          <w:p w14:paraId="11BF45A9">
            <w:pPr>
              <w:pStyle w:val="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R----核算时段内锅炉燃料耗量，</w:t>
            </w:r>
            <w:r>
              <w:rPr>
                <w:rFonts w:hint="eastAsia" w:cs="Times New Roman"/>
                <w:color w:val="auto"/>
                <w:sz w:val="21"/>
                <w:szCs w:val="21"/>
                <w:highlight w:val="none"/>
                <w:lang w:val="en-US" w:eastAsia="zh-CN"/>
              </w:rPr>
              <w:t>4041</w:t>
            </w:r>
            <w:r>
              <w:rPr>
                <w:rFonts w:hint="default" w:ascii="Times New Roman" w:hAnsi="Times New Roman" w:eastAsia="宋体" w:cs="Times New Roman"/>
                <w:color w:val="auto"/>
                <w:sz w:val="21"/>
                <w:szCs w:val="21"/>
                <w:highlight w:val="none"/>
              </w:rPr>
              <w:t>t/a；</w:t>
            </w:r>
          </w:p>
          <w:p w14:paraId="357550BC">
            <w:pPr>
              <w:pStyle w:val="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eastAsia"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vertAlign w:val="subscript"/>
              </w:rPr>
              <w:t>ar</w:t>
            </w:r>
            <w:r>
              <w:rPr>
                <w:rFonts w:hint="default" w:ascii="Times New Roman" w:hAnsi="Times New Roman" w:eastAsia="宋体" w:cs="Times New Roman"/>
                <w:color w:val="auto"/>
                <w:sz w:val="21"/>
                <w:szCs w:val="21"/>
                <w:highlight w:val="none"/>
              </w:rPr>
              <w:t>----收到基灰分的质量分数，%；取</w:t>
            </w:r>
            <w:r>
              <w:rPr>
                <w:rFonts w:hint="eastAsia" w:cs="Times New Roman"/>
                <w:color w:val="auto"/>
                <w:sz w:val="21"/>
                <w:szCs w:val="21"/>
                <w:highlight w:val="none"/>
                <w:lang w:val="en-US" w:eastAsia="zh-CN"/>
              </w:rPr>
              <w:t>3.71%</w:t>
            </w:r>
            <w:r>
              <w:rPr>
                <w:rFonts w:hint="eastAsia" w:cs="Times New Roman"/>
                <w:color w:val="auto"/>
                <w:sz w:val="21"/>
                <w:szCs w:val="21"/>
                <w:highlight w:val="none"/>
                <w:lang w:eastAsia="zh-CN"/>
              </w:rPr>
              <w:t>；</w:t>
            </w:r>
          </w:p>
          <w:p w14:paraId="0DDCC191">
            <w:pPr>
              <w:pStyle w:val="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d</w:t>
            </w:r>
            <w:r>
              <w:rPr>
                <w:rFonts w:hint="default" w:ascii="Times New Roman" w:hAnsi="Times New Roman" w:eastAsia="宋体" w:cs="Times New Roman"/>
                <w:color w:val="auto"/>
                <w:sz w:val="21"/>
                <w:szCs w:val="21"/>
                <w:highlight w:val="none"/>
                <w:vertAlign w:val="subscript"/>
              </w:rPr>
              <w:t>fh</w:t>
            </w:r>
            <w:r>
              <w:rPr>
                <w:rFonts w:hint="default" w:ascii="Times New Roman" w:hAnsi="Times New Roman" w:eastAsia="宋体" w:cs="Times New Roman"/>
                <w:color w:val="auto"/>
                <w:sz w:val="21"/>
                <w:szCs w:val="21"/>
                <w:highlight w:val="none"/>
              </w:rPr>
              <w:t>----锅炉烟气带出的灰分份额，%；取50%。（链条炉排炉灰分份额为10%-20%，本项目取20%，燃生物质时飞灰份额加30%，则最终灰分份额取50%）；</w:t>
            </w:r>
          </w:p>
          <w:p w14:paraId="7E6DA8CA">
            <w:pPr>
              <w:pStyle w:val="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ƞ</w:t>
            </w:r>
            <w:r>
              <w:rPr>
                <w:rFonts w:hint="default" w:ascii="Times New Roman" w:hAnsi="Times New Roman" w:eastAsia="宋体" w:cs="Times New Roman"/>
                <w:color w:val="auto"/>
                <w:sz w:val="21"/>
                <w:szCs w:val="21"/>
                <w:highlight w:val="none"/>
                <w:vertAlign w:val="subscript"/>
              </w:rPr>
              <w:t>c</w:t>
            </w:r>
            <w:r>
              <w:rPr>
                <w:rFonts w:hint="default" w:ascii="Times New Roman" w:hAnsi="Times New Roman" w:eastAsia="宋体" w:cs="Times New Roman"/>
                <w:color w:val="auto"/>
                <w:sz w:val="21"/>
                <w:szCs w:val="21"/>
                <w:highlight w:val="none"/>
              </w:rPr>
              <w:t>----综合除尘效率，%；取</w:t>
            </w:r>
            <w:r>
              <w:rPr>
                <w:rFonts w:hint="eastAsia" w:cs="Times New Roman"/>
                <w:color w:val="auto"/>
                <w:sz w:val="21"/>
                <w:szCs w:val="21"/>
                <w:highlight w:val="none"/>
                <w:lang w:eastAsia="zh-CN"/>
              </w:rPr>
              <w:t>99%</w:t>
            </w:r>
            <w:r>
              <w:rPr>
                <w:rFonts w:hint="default" w:ascii="Times New Roman" w:hAnsi="Times New Roman" w:eastAsia="宋体" w:cs="Times New Roman"/>
                <w:color w:val="auto"/>
                <w:sz w:val="21"/>
                <w:szCs w:val="21"/>
                <w:highlight w:val="none"/>
              </w:rPr>
              <w:t>。</w:t>
            </w:r>
          </w:p>
          <w:p w14:paraId="4575F4D7">
            <w:pPr>
              <w:pStyle w:val="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fh</w:t>
            </w:r>
            <w:r>
              <w:rPr>
                <w:rFonts w:hint="default" w:ascii="Times New Roman" w:hAnsi="Times New Roman" w:eastAsia="宋体" w:cs="Times New Roman"/>
                <w:color w:val="auto"/>
                <w:sz w:val="21"/>
                <w:szCs w:val="21"/>
                <w:highlight w:val="none"/>
              </w:rPr>
              <w:t>----飞灰中可燃物含量，%。取1</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%。（项目使用生物质成型燃料，飞灰中可燃物含量类比烟煤II类，根据《工业锅炉经济运行》（GB/T17954-2007），取1</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w:t>
            </w:r>
          </w:p>
          <w:p w14:paraId="1AE6780C">
            <w:pPr>
              <w:pStyle w:val="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由计算可得出颗粒物排放量为</w:t>
            </w:r>
            <w:r>
              <w:rPr>
                <w:rFonts w:hint="eastAsia" w:cs="Times New Roman"/>
                <w:color w:val="auto"/>
                <w:position w:val="0"/>
                <w:sz w:val="21"/>
                <w:szCs w:val="21"/>
                <w:highlight w:val="none"/>
                <w:lang w:val="en-US" w:eastAsia="zh-CN"/>
              </w:rPr>
              <w:t>0.892</w:t>
            </w:r>
            <w:r>
              <w:rPr>
                <w:rFonts w:hint="default" w:ascii="Times New Roman" w:hAnsi="Times New Roman" w:eastAsia="宋体" w:cs="Times New Roman"/>
                <w:color w:val="auto"/>
                <w:position w:val="0"/>
                <w:sz w:val="21"/>
                <w:szCs w:val="21"/>
                <w:highlight w:val="none"/>
              </w:rPr>
              <w:t>t/a，</w:t>
            </w:r>
            <w:r>
              <w:rPr>
                <w:rFonts w:hint="eastAsia" w:cs="Times New Roman"/>
                <w:color w:val="auto"/>
                <w:position w:val="0"/>
                <w:sz w:val="21"/>
                <w:szCs w:val="21"/>
                <w:highlight w:val="none"/>
                <w:lang w:val="en-US" w:eastAsia="zh-CN"/>
              </w:rPr>
              <w:t>0.149</w:t>
            </w:r>
            <w:r>
              <w:rPr>
                <w:rFonts w:hint="default" w:ascii="Times New Roman" w:hAnsi="Times New Roman" w:eastAsia="宋体" w:cs="Times New Roman"/>
                <w:color w:val="auto"/>
                <w:position w:val="0"/>
                <w:sz w:val="21"/>
                <w:szCs w:val="21"/>
                <w:highlight w:val="none"/>
              </w:rPr>
              <w:t>kg/h。</w:t>
            </w:r>
          </w:p>
          <w:p w14:paraId="11E9B1BB">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③二氧化硫排放量</w:t>
            </w:r>
          </w:p>
          <w:p w14:paraId="27CB38C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object>
                <v:shape id="_x0000_i1026" o:spt="75" type="#_x0000_t75" style="height:33pt;width:204pt;" o:ole="t" filled="f" o:preferrelative="t" stroked="f" coordsize="21600,21600">
                  <v:path/>
                  <v:fill on="f" focussize="0,0"/>
                  <v:stroke on="f"/>
                  <v:imagedata r:id="rId17" o:title=""/>
                  <o:lock v:ext="edit" aspectratio="t"/>
                  <w10:wrap type="none"/>
                  <w10:anchorlock/>
                </v:shape>
                <o:OLEObject Type="Embed" ProgID="Equations" ShapeID="_x0000_i1026" DrawAspect="Content" ObjectID="_1468075726" r:id="rId16">
                  <o:LockedField>false</o:LockedField>
                </o:OLEObject>
              </w:object>
            </w:r>
          </w:p>
          <w:p w14:paraId="5F4DA7DD">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式中：E</w:t>
            </w:r>
            <w:r>
              <w:rPr>
                <w:rFonts w:hint="default" w:ascii="Times New Roman" w:hAnsi="Times New Roman" w:eastAsia="宋体" w:cs="Times New Roman"/>
                <w:color w:val="auto"/>
                <w:position w:val="0"/>
                <w:sz w:val="21"/>
                <w:szCs w:val="21"/>
                <w:highlight w:val="none"/>
                <w:vertAlign w:val="subscript"/>
              </w:rPr>
              <w:t>SO2</w:t>
            </w:r>
            <w:r>
              <w:rPr>
                <w:rFonts w:hint="default" w:ascii="Times New Roman" w:hAnsi="Times New Roman" w:eastAsia="宋体" w:cs="Times New Roman"/>
                <w:color w:val="auto"/>
                <w:position w:val="0"/>
                <w:sz w:val="21"/>
                <w:szCs w:val="21"/>
                <w:highlight w:val="none"/>
              </w:rPr>
              <w:t>----核算时段内二氧化硫排放量，t；</w:t>
            </w:r>
          </w:p>
          <w:p w14:paraId="16CFFC41">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R----核算时段内锅炉燃料耗量</w:t>
            </w:r>
            <w:r>
              <w:rPr>
                <w:rFonts w:hint="eastAsia" w:cs="Times New Roman"/>
                <w:color w:val="auto"/>
                <w:sz w:val="21"/>
                <w:szCs w:val="21"/>
                <w:highlight w:val="none"/>
                <w:lang w:val="en-US" w:eastAsia="zh-CN"/>
              </w:rPr>
              <w:t>4041</w:t>
            </w:r>
            <w:r>
              <w:rPr>
                <w:rFonts w:hint="default" w:ascii="Times New Roman" w:hAnsi="Times New Roman" w:eastAsia="宋体" w:cs="Times New Roman"/>
                <w:color w:val="auto"/>
                <w:position w:val="0"/>
                <w:sz w:val="21"/>
                <w:szCs w:val="21"/>
                <w:highlight w:val="none"/>
              </w:rPr>
              <w:t>t；</w:t>
            </w:r>
          </w:p>
          <w:p w14:paraId="748682FF">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S</w:t>
            </w:r>
            <w:r>
              <w:rPr>
                <w:rFonts w:hint="default" w:ascii="Times New Roman" w:hAnsi="Times New Roman" w:eastAsia="宋体" w:cs="Times New Roman"/>
                <w:color w:val="auto"/>
                <w:position w:val="0"/>
                <w:sz w:val="21"/>
                <w:szCs w:val="21"/>
                <w:highlight w:val="none"/>
                <w:vertAlign w:val="subscript"/>
              </w:rPr>
              <w:t>ar</w:t>
            </w:r>
            <w:r>
              <w:rPr>
                <w:rFonts w:hint="default" w:ascii="Times New Roman" w:hAnsi="Times New Roman" w:eastAsia="宋体" w:cs="Times New Roman"/>
                <w:color w:val="auto"/>
                <w:position w:val="0"/>
                <w:sz w:val="21"/>
                <w:szCs w:val="21"/>
                <w:highlight w:val="none"/>
              </w:rPr>
              <w:t>----收到基硫的质量分数，</w:t>
            </w:r>
            <w:r>
              <w:rPr>
                <w:rFonts w:hint="eastAsia" w:cs="Times New Roman"/>
                <w:color w:val="auto"/>
                <w:position w:val="0"/>
                <w:sz w:val="21"/>
                <w:szCs w:val="21"/>
                <w:highlight w:val="none"/>
                <w:lang w:eastAsia="zh-CN"/>
              </w:rPr>
              <w:t>0.03%</w:t>
            </w:r>
            <w:r>
              <w:rPr>
                <w:rFonts w:hint="default" w:ascii="Times New Roman" w:hAnsi="Times New Roman" w:eastAsia="宋体" w:cs="Times New Roman"/>
                <w:color w:val="auto"/>
                <w:position w:val="0"/>
                <w:sz w:val="21"/>
                <w:szCs w:val="21"/>
                <w:highlight w:val="none"/>
              </w:rPr>
              <w:t>，（根据生物质成分分析报告）；</w:t>
            </w:r>
          </w:p>
          <w:p w14:paraId="52896DB6">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q</w:t>
            </w:r>
            <w:r>
              <w:rPr>
                <w:rFonts w:hint="default" w:ascii="Times New Roman" w:hAnsi="Times New Roman" w:eastAsia="宋体" w:cs="Times New Roman"/>
                <w:color w:val="auto"/>
                <w:position w:val="0"/>
                <w:sz w:val="21"/>
                <w:szCs w:val="21"/>
                <w:highlight w:val="none"/>
                <w:vertAlign w:val="subscript"/>
              </w:rPr>
              <w:t>4</w:t>
            </w:r>
            <w:r>
              <w:rPr>
                <w:rFonts w:hint="default" w:ascii="Times New Roman" w:hAnsi="Times New Roman" w:eastAsia="宋体" w:cs="Times New Roman"/>
                <w:color w:val="auto"/>
                <w:position w:val="0"/>
                <w:sz w:val="21"/>
                <w:szCs w:val="21"/>
                <w:highlight w:val="none"/>
              </w:rPr>
              <w:t>----锅炉机械不完全燃烧热损失，%；取1</w:t>
            </w:r>
            <w:r>
              <w:rPr>
                <w:rFonts w:hint="eastAsia" w:cs="Times New Roman"/>
                <w:color w:val="auto"/>
                <w:position w:val="0"/>
                <w:sz w:val="21"/>
                <w:szCs w:val="21"/>
                <w:highlight w:val="none"/>
                <w:lang w:val="en-US" w:eastAsia="zh-CN"/>
              </w:rPr>
              <w:t>0</w:t>
            </w:r>
            <w:r>
              <w:rPr>
                <w:rFonts w:hint="default" w:ascii="Times New Roman" w:hAnsi="Times New Roman" w:eastAsia="宋体" w:cs="Times New Roman"/>
                <w:color w:val="auto"/>
                <w:position w:val="0"/>
                <w:sz w:val="21"/>
                <w:szCs w:val="21"/>
                <w:highlight w:val="none"/>
              </w:rPr>
              <w:t>%，（</w:t>
            </w:r>
            <w:r>
              <w:rPr>
                <w:rFonts w:hint="eastAsia" w:cs="Times New Roman"/>
                <w:color w:val="auto"/>
                <w:position w:val="0"/>
                <w:sz w:val="21"/>
                <w:szCs w:val="21"/>
                <w:highlight w:val="none"/>
                <w:lang w:eastAsia="zh-CN"/>
              </w:rPr>
              <w:t>参考</w:t>
            </w:r>
            <w:r>
              <w:rPr>
                <w:rFonts w:hint="default" w:ascii="Times New Roman" w:hAnsi="Times New Roman" w:eastAsia="宋体" w:cs="Times New Roman"/>
                <w:color w:val="auto"/>
                <w:position w:val="0"/>
                <w:sz w:val="21"/>
                <w:szCs w:val="21"/>
                <w:highlight w:val="none"/>
              </w:rPr>
              <w:t>链条炉排炉不完全燃烧热损失</w:t>
            </w:r>
            <w:r>
              <w:rPr>
                <w:rFonts w:hint="eastAsia" w:cs="Times New Roman"/>
                <w:color w:val="auto"/>
                <w:position w:val="0"/>
                <w:sz w:val="21"/>
                <w:szCs w:val="21"/>
                <w:highlight w:val="none"/>
                <w:lang w:val="en-US" w:eastAsia="zh-CN"/>
              </w:rPr>
              <w:t>5</w:t>
            </w:r>
            <w:r>
              <w:rPr>
                <w:rFonts w:hint="default" w:ascii="Times New Roman" w:hAnsi="Times New Roman" w:eastAsia="宋体" w:cs="Times New Roman"/>
                <w:color w:val="auto"/>
                <w:position w:val="0"/>
                <w:sz w:val="21"/>
                <w:szCs w:val="21"/>
                <w:highlight w:val="none"/>
              </w:rPr>
              <w:t>%-1</w:t>
            </w:r>
            <w:r>
              <w:rPr>
                <w:rFonts w:hint="eastAsia" w:cs="Times New Roman"/>
                <w:color w:val="auto"/>
                <w:position w:val="0"/>
                <w:sz w:val="21"/>
                <w:szCs w:val="21"/>
                <w:highlight w:val="none"/>
                <w:lang w:val="en-US" w:eastAsia="zh-CN"/>
              </w:rPr>
              <w:t>5</w:t>
            </w:r>
            <w:r>
              <w:rPr>
                <w:rFonts w:hint="default" w:ascii="Times New Roman" w:hAnsi="Times New Roman" w:eastAsia="宋体" w:cs="Times New Roman"/>
                <w:color w:val="auto"/>
                <w:position w:val="0"/>
                <w:sz w:val="21"/>
                <w:szCs w:val="21"/>
                <w:highlight w:val="none"/>
              </w:rPr>
              <w:t>%）；</w:t>
            </w:r>
          </w:p>
          <w:p w14:paraId="3F19BA85">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ƞ</w:t>
            </w:r>
            <w:r>
              <w:rPr>
                <w:rFonts w:hint="default" w:ascii="Times New Roman" w:hAnsi="Times New Roman" w:eastAsia="宋体" w:cs="Times New Roman"/>
                <w:color w:val="auto"/>
                <w:position w:val="0"/>
                <w:sz w:val="21"/>
                <w:szCs w:val="21"/>
                <w:highlight w:val="none"/>
                <w:vertAlign w:val="subscript"/>
              </w:rPr>
              <w:t>s</w:t>
            </w:r>
            <w:r>
              <w:rPr>
                <w:rFonts w:hint="default" w:ascii="Times New Roman" w:hAnsi="Times New Roman" w:eastAsia="宋体" w:cs="Times New Roman"/>
                <w:color w:val="auto"/>
                <w:position w:val="0"/>
                <w:sz w:val="21"/>
                <w:szCs w:val="21"/>
                <w:highlight w:val="none"/>
              </w:rPr>
              <w:t>----脱硫效率，%；</w:t>
            </w:r>
          </w:p>
          <w:p w14:paraId="462EE9AE">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K----燃料中的硫燃烧后氧化成二氧化硫的份额，量纲一的量。取0.50。</w:t>
            </w:r>
          </w:p>
          <w:p w14:paraId="12F0CB2A">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由计算可得出SO</w:t>
            </w:r>
            <w:r>
              <w:rPr>
                <w:rFonts w:hint="default" w:ascii="Times New Roman" w:hAnsi="Times New Roman" w:eastAsia="宋体" w:cs="Times New Roman"/>
                <w:color w:val="auto"/>
                <w:position w:val="0"/>
                <w:sz w:val="21"/>
                <w:szCs w:val="21"/>
                <w:highlight w:val="none"/>
                <w:vertAlign w:val="subscript"/>
              </w:rPr>
              <w:t>2</w:t>
            </w:r>
            <w:r>
              <w:rPr>
                <w:rFonts w:hint="default" w:ascii="Times New Roman" w:hAnsi="Times New Roman" w:eastAsia="宋体" w:cs="Times New Roman"/>
                <w:color w:val="auto"/>
                <w:position w:val="0"/>
                <w:sz w:val="21"/>
                <w:szCs w:val="21"/>
                <w:highlight w:val="none"/>
              </w:rPr>
              <w:t>排放量为</w:t>
            </w:r>
            <w:r>
              <w:rPr>
                <w:rFonts w:hint="eastAsia" w:cs="Times New Roman"/>
                <w:color w:val="auto"/>
                <w:position w:val="0"/>
                <w:sz w:val="21"/>
                <w:szCs w:val="21"/>
                <w:highlight w:val="none"/>
                <w:lang w:val="en-US" w:eastAsia="zh-CN"/>
              </w:rPr>
              <w:t>1.091</w:t>
            </w:r>
            <w:r>
              <w:rPr>
                <w:rFonts w:hint="default" w:ascii="Times New Roman" w:hAnsi="Times New Roman" w:eastAsia="宋体" w:cs="Times New Roman"/>
                <w:color w:val="auto"/>
                <w:position w:val="0"/>
                <w:sz w:val="21"/>
                <w:szCs w:val="21"/>
                <w:highlight w:val="none"/>
              </w:rPr>
              <w:t>t/a，</w:t>
            </w:r>
            <w:r>
              <w:rPr>
                <w:rFonts w:hint="eastAsia" w:cs="Times New Roman"/>
                <w:color w:val="auto"/>
                <w:position w:val="0"/>
                <w:sz w:val="21"/>
                <w:szCs w:val="21"/>
                <w:highlight w:val="none"/>
                <w:lang w:eastAsia="zh-CN"/>
              </w:rPr>
              <w:t>0.149</w:t>
            </w:r>
            <w:r>
              <w:rPr>
                <w:rFonts w:hint="default" w:ascii="Times New Roman" w:hAnsi="Times New Roman" w:eastAsia="宋体" w:cs="Times New Roman"/>
                <w:color w:val="auto"/>
                <w:position w:val="0"/>
                <w:sz w:val="21"/>
                <w:szCs w:val="21"/>
                <w:highlight w:val="none"/>
              </w:rPr>
              <w:t>kg/h。</w:t>
            </w:r>
          </w:p>
          <w:p w14:paraId="41563C4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④氮氧化物排放量</w:t>
            </w:r>
          </w:p>
          <w:p w14:paraId="122DAFD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本项目</w:t>
            </w:r>
            <w:r>
              <w:rPr>
                <w:rFonts w:hint="eastAsia" w:cs="Times New Roman"/>
                <w:color w:val="auto"/>
                <w:position w:val="0"/>
                <w:sz w:val="21"/>
                <w:szCs w:val="21"/>
                <w:highlight w:val="none"/>
                <w:lang w:eastAsia="zh-CN"/>
              </w:rPr>
              <w:t>燃烧器</w:t>
            </w:r>
            <w:r>
              <w:rPr>
                <w:rFonts w:hint="default" w:ascii="Times New Roman" w:hAnsi="Times New Roman" w:eastAsia="宋体" w:cs="Times New Roman"/>
                <w:color w:val="auto"/>
                <w:position w:val="0"/>
                <w:sz w:val="21"/>
                <w:szCs w:val="21"/>
                <w:highlight w:val="none"/>
              </w:rPr>
              <w:t>出口NO</w:t>
            </w:r>
            <w:r>
              <w:rPr>
                <w:rFonts w:hint="default" w:ascii="Times New Roman" w:hAnsi="Times New Roman" w:eastAsia="宋体" w:cs="Times New Roman"/>
                <w:color w:val="auto"/>
                <w:position w:val="0"/>
                <w:sz w:val="21"/>
                <w:szCs w:val="21"/>
                <w:highlight w:val="none"/>
                <w:vertAlign w:val="subscript"/>
              </w:rPr>
              <w:t>x</w:t>
            </w:r>
            <w:r>
              <w:rPr>
                <w:rFonts w:hint="default" w:ascii="Times New Roman" w:hAnsi="Times New Roman" w:eastAsia="宋体" w:cs="Times New Roman"/>
                <w:color w:val="auto"/>
                <w:position w:val="0"/>
                <w:sz w:val="21"/>
                <w:szCs w:val="21"/>
                <w:highlight w:val="none"/>
              </w:rPr>
              <w:t>产生浓度无法估算，故氮氧化物采用系数法核算（无实测值无法采用类比法，无法用物料衡算），根据《排污许可证申请与核发技术规范 锅炉》表F.4 燃生物质工业锅炉的废气排污系数（续），室燃炉-氮氧化物产排污系数1.02kg/吨.燃料。</w:t>
            </w:r>
            <w:r>
              <w:rPr>
                <w:rFonts w:hint="eastAsia" w:cs="Times New Roman"/>
                <w:color w:val="auto"/>
                <w:position w:val="0"/>
                <w:sz w:val="21"/>
                <w:szCs w:val="21"/>
                <w:highlight w:val="none"/>
                <w:lang w:val="en-US" w:eastAsia="zh-CN"/>
              </w:rPr>
              <w:t>本项目</w:t>
            </w:r>
            <w:r>
              <w:rPr>
                <w:rFonts w:hint="default" w:ascii="Times New Roman" w:hAnsi="Times New Roman" w:eastAsia="宋体" w:cs="Times New Roman"/>
                <w:color w:val="auto"/>
                <w:position w:val="0"/>
                <w:sz w:val="21"/>
                <w:szCs w:val="21"/>
                <w:highlight w:val="none"/>
              </w:rPr>
              <w:t>氮氧化物产生量</w:t>
            </w:r>
            <w:r>
              <w:rPr>
                <w:rFonts w:hint="eastAsia" w:cs="Times New Roman"/>
                <w:color w:val="auto"/>
                <w:position w:val="0"/>
                <w:sz w:val="21"/>
                <w:szCs w:val="21"/>
                <w:highlight w:val="none"/>
                <w:lang w:val="en-US" w:eastAsia="zh-CN"/>
              </w:rPr>
              <w:t>4.122</w:t>
            </w:r>
            <w:r>
              <w:rPr>
                <w:rFonts w:hint="default" w:ascii="Times New Roman" w:hAnsi="Times New Roman" w:eastAsia="宋体" w:cs="Times New Roman"/>
                <w:color w:val="auto"/>
                <w:position w:val="0"/>
                <w:sz w:val="21"/>
                <w:szCs w:val="21"/>
                <w:highlight w:val="none"/>
              </w:rPr>
              <w:t>t/a，</w:t>
            </w:r>
            <w:r>
              <w:rPr>
                <w:rFonts w:hint="eastAsia" w:cs="Times New Roman"/>
                <w:color w:val="auto"/>
                <w:position w:val="0"/>
                <w:sz w:val="21"/>
                <w:szCs w:val="21"/>
                <w:highlight w:val="none"/>
                <w:lang w:val="en-US" w:eastAsia="zh-CN"/>
              </w:rPr>
              <w:t>0.687kg/h。</w:t>
            </w:r>
          </w:p>
          <w:p w14:paraId="299BD039">
            <w:pPr>
              <w:pStyle w:val="15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bCs/>
                <w:color w:val="auto"/>
                <w:spacing w:val="0"/>
                <w:sz w:val="21"/>
                <w:szCs w:val="21"/>
                <w:highlight w:val="none"/>
                <w:lang w:eastAsia="zh-CN"/>
              </w:rPr>
            </w:pPr>
            <w:r>
              <w:rPr>
                <w:rFonts w:hint="default" w:ascii="Times New Roman" w:hAnsi="Times New Roman" w:eastAsia="宋体" w:cs="Times New Roman"/>
                <w:bCs/>
                <w:color w:val="auto"/>
                <w:spacing w:val="0"/>
                <w:sz w:val="21"/>
                <w:szCs w:val="21"/>
                <w:highlight w:val="none"/>
              </w:rPr>
              <w:t>故本项目</w:t>
            </w:r>
            <w:r>
              <w:rPr>
                <w:rFonts w:hint="eastAsia" w:cs="Times New Roman"/>
                <w:bCs/>
                <w:color w:val="auto"/>
                <w:spacing w:val="0"/>
                <w:sz w:val="21"/>
                <w:szCs w:val="21"/>
                <w:highlight w:val="none"/>
                <w:lang w:val="en-US" w:eastAsia="zh-CN"/>
              </w:rPr>
              <w:t>1号燃烧器</w:t>
            </w:r>
            <w:r>
              <w:rPr>
                <w:rFonts w:hint="default" w:ascii="Times New Roman" w:hAnsi="Times New Roman" w:eastAsia="宋体" w:cs="Times New Roman"/>
                <w:bCs/>
                <w:color w:val="auto"/>
                <w:spacing w:val="0"/>
                <w:sz w:val="21"/>
                <w:szCs w:val="21"/>
                <w:highlight w:val="none"/>
              </w:rPr>
              <w:t>大气污染物</w:t>
            </w:r>
            <w:r>
              <w:rPr>
                <w:rFonts w:hint="eastAsia" w:ascii="Times New Roman" w:hAnsi="Times New Roman" w:eastAsia="宋体" w:cs="Times New Roman"/>
                <w:bCs/>
                <w:color w:val="auto"/>
                <w:spacing w:val="0"/>
                <w:sz w:val="21"/>
                <w:szCs w:val="21"/>
                <w:highlight w:val="none"/>
                <w:lang w:eastAsia="zh-CN"/>
              </w:rPr>
              <w:t>排放</w:t>
            </w:r>
            <w:r>
              <w:rPr>
                <w:rFonts w:hint="default" w:ascii="Times New Roman" w:hAnsi="Times New Roman" w:eastAsia="宋体" w:cs="Times New Roman"/>
                <w:bCs/>
                <w:color w:val="auto"/>
                <w:spacing w:val="0"/>
                <w:sz w:val="21"/>
                <w:szCs w:val="21"/>
                <w:highlight w:val="none"/>
              </w:rPr>
              <w:t>量为：颗粒物：</w:t>
            </w:r>
            <w:r>
              <w:rPr>
                <w:rFonts w:hint="eastAsia" w:cs="Times New Roman"/>
                <w:bCs/>
                <w:color w:val="auto"/>
                <w:spacing w:val="0"/>
                <w:sz w:val="21"/>
                <w:szCs w:val="21"/>
                <w:highlight w:val="none"/>
                <w:lang w:val="en-US" w:eastAsia="zh-CN"/>
              </w:rPr>
              <w:t>0.892</w:t>
            </w:r>
            <w:r>
              <w:rPr>
                <w:rFonts w:hint="eastAsia" w:cs="Times New Roman"/>
                <w:color w:val="auto"/>
                <w:position w:val="0"/>
                <w:sz w:val="21"/>
                <w:szCs w:val="21"/>
                <w:highlight w:val="none"/>
                <w:lang w:val="en-US" w:eastAsia="zh-CN"/>
              </w:rPr>
              <w:t>t</w:t>
            </w:r>
            <w:r>
              <w:rPr>
                <w:rFonts w:hint="default" w:ascii="Times New Roman" w:hAnsi="Times New Roman" w:eastAsia="宋体" w:cs="Times New Roman"/>
                <w:bCs/>
                <w:color w:val="auto"/>
                <w:spacing w:val="0"/>
                <w:sz w:val="21"/>
                <w:szCs w:val="21"/>
                <w:highlight w:val="none"/>
              </w:rPr>
              <w:t>/a</w:t>
            </w:r>
            <w:r>
              <w:rPr>
                <w:rFonts w:hint="eastAsia" w:ascii="Times New Roman" w:hAnsi="Times New Roman" w:eastAsia="宋体" w:cs="Times New Roman"/>
                <w:bCs/>
                <w:color w:val="auto"/>
                <w:spacing w:val="0"/>
                <w:sz w:val="21"/>
                <w:szCs w:val="21"/>
                <w:highlight w:val="none"/>
                <w:lang w:eastAsia="zh-CN"/>
              </w:rPr>
              <w:t>；</w:t>
            </w:r>
            <w:r>
              <w:rPr>
                <w:rFonts w:hint="default" w:ascii="Times New Roman" w:hAnsi="Times New Roman" w:eastAsia="宋体" w:cs="Times New Roman"/>
                <w:bCs/>
                <w:color w:val="auto"/>
                <w:spacing w:val="0"/>
                <w:sz w:val="21"/>
                <w:szCs w:val="21"/>
                <w:highlight w:val="none"/>
              </w:rPr>
              <w:t>SO</w:t>
            </w:r>
            <w:r>
              <w:rPr>
                <w:rFonts w:hint="default" w:ascii="Times New Roman" w:hAnsi="Times New Roman" w:eastAsia="宋体" w:cs="Times New Roman"/>
                <w:bCs/>
                <w:color w:val="auto"/>
                <w:spacing w:val="0"/>
                <w:sz w:val="21"/>
                <w:szCs w:val="21"/>
                <w:highlight w:val="none"/>
                <w:vertAlign w:val="subscript"/>
              </w:rPr>
              <w:t>2</w:t>
            </w:r>
            <w:r>
              <w:rPr>
                <w:rFonts w:hint="default" w:ascii="Times New Roman" w:hAnsi="Times New Roman" w:eastAsia="宋体" w:cs="Times New Roman"/>
                <w:bCs/>
                <w:color w:val="auto"/>
                <w:spacing w:val="0"/>
                <w:sz w:val="21"/>
                <w:szCs w:val="21"/>
                <w:highlight w:val="none"/>
              </w:rPr>
              <w:t>：</w:t>
            </w:r>
            <w:r>
              <w:rPr>
                <w:rFonts w:hint="eastAsia" w:cs="Times New Roman"/>
                <w:color w:val="auto"/>
                <w:position w:val="0"/>
                <w:sz w:val="21"/>
                <w:szCs w:val="21"/>
                <w:highlight w:val="none"/>
                <w:lang w:val="en-US" w:eastAsia="zh-CN"/>
              </w:rPr>
              <w:t>1.091</w:t>
            </w:r>
            <w:r>
              <w:rPr>
                <w:rFonts w:hint="default" w:ascii="Times New Roman" w:hAnsi="Times New Roman" w:eastAsia="宋体" w:cs="Times New Roman"/>
                <w:bCs/>
                <w:color w:val="auto"/>
                <w:spacing w:val="0"/>
                <w:sz w:val="21"/>
                <w:szCs w:val="21"/>
                <w:highlight w:val="none"/>
              </w:rPr>
              <w:t>t/a；</w:t>
            </w:r>
            <w:r>
              <w:rPr>
                <w:rFonts w:hint="default" w:ascii="Times New Roman" w:hAnsi="Times New Roman" w:eastAsia="宋体" w:cs="Times New Roman"/>
                <w:bCs/>
                <w:color w:val="auto"/>
                <w:spacing w:val="0"/>
                <w:sz w:val="21"/>
                <w:szCs w:val="21"/>
                <w:highlight w:val="none"/>
                <w:lang w:eastAsia="zh-CN"/>
              </w:rPr>
              <w:t>NO</w:t>
            </w:r>
            <w:r>
              <w:rPr>
                <w:rFonts w:hint="default" w:ascii="Times New Roman" w:hAnsi="Times New Roman" w:eastAsia="宋体" w:cs="Times New Roman"/>
                <w:bCs/>
                <w:color w:val="auto"/>
                <w:spacing w:val="0"/>
                <w:sz w:val="21"/>
                <w:szCs w:val="21"/>
                <w:highlight w:val="none"/>
                <w:vertAlign w:val="subscript"/>
                <w:lang w:eastAsia="zh-CN"/>
              </w:rPr>
              <w:t>x</w:t>
            </w:r>
            <w:r>
              <w:rPr>
                <w:rFonts w:hint="eastAsia" w:cs="Times New Roman"/>
                <w:bCs/>
                <w:color w:val="auto"/>
                <w:spacing w:val="0"/>
                <w:sz w:val="21"/>
                <w:szCs w:val="21"/>
                <w:highlight w:val="none"/>
                <w:vertAlign w:val="baseline"/>
                <w:lang w:val="en-US" w:eastAsia="zh-CN"/>
              </w:rPr>
              <w:t>：</w:t>
            </w:r>
            <w:r>
              <w:rPr>
                <w:rFonts w:hint="eastAsia" w:cs="Times New Roman"/>
                <w:color w:val="auto"/>
                <w:position w:val="0"/>
                <w:sz w:val="21"/>
                <w:szCs w:val="21"/>
                <w:highlight w:val="none"/>
                <w:lang w:val="en-US" w:eastAsia="zh-CN"/>
              </w:rPr>
              <w:t>4.122</w:t>
            </w:r>
            <w:r>
              <w:rPr>
                <w:rFonts w:hint="default" w:ascii="Times New Roman" w:hAnsi="Times New Roman" w:eastAsia="宋体" w:cs="Times New Roman"/>
                <w:bCs/>
                <w:color w:val="auto"/>
                <w:spacing w:val="0"/>
                <w:sz w:val="21"/>
                <w:szCs w:val="21"/>
                <w:highlight w:val="none"/>
              </w:rPr>
              <w:t>t/a</w:t>
            </w:r>
            <w:r>
              <w:rPr>
                <w:rFonts w:hint="default" w:ascii="Times New Roman" w:hAnsi="Times New Roman" w:eastAsia="宋体" w:cs="Times New Roman"/>
                <w:bCs/>
                <w:color w:val="auto"/>
                <w:spacing w:val="0"/>
                <w:sz w:val="21"/>
                <w:szCs w:val="21"/>
                <w:highlight w:val="none"/>
                <w:lang w:eastAsia="zh-CN"/>
              </w:rPr>
              <w:t>。</w:t>
            </w:r>
          </w:p>
          <w:p w14:paraId="23D0EC8E">
            <w:pPr>
              <w:keepNext w:val="0"/>
              <w:keepLines w:val="0"/>
              <w:suppressLineNumbers w:val="0"/>
              <w:spacing w:before="0" w:beforeAutospacing="0" w:after="0" w:afterAutospacing="0"/>
              <w:ind w:left="0" w:right="0" w:firstLine="420" w:firstLineChars="200"/>
              <w:rPr>
                <w:rFonts w:hint="default" w:ascii="Times New Roman" w:hAnsi="Times New Roman" w:eastAsia="宋体" w:cs="Times New Roman"/>
                <w:bCs/>
                <w:color w:val="auto"/>
                <w:kern w:val="0"/>
                <w:sz w:val="21"/>
                <w:szCs w:val="21"/>
                <w:highlight w:val="none"/>
                <w:lang w:eastAsia="zh-CN"/>
              </w:rPr>
            </w:pPr>
            <w:r>
              <w:rPr>
                <w:rFonts w:hint="eastAsia" w:cs="Times New Roman"/>
                <w:bCs/>
                <w:color w:val="auto"/>
                <w:kern w:val="0"/>
                <w:sz w:val="21"/>
                <w:szCs w:val="21"/>
                <w:highlight w:val="none"/>
                <w:lang w:val="en-US" w:eastAsia="zh-CN"/>
              </w:rPr>
              <w:t>2</w:t>
            </w:r>
            <w:r>
              <w:rPr>
                <w:rFonts w:hint="default" w:ascii="Times New Roman" w:hAnsi="Times New Roman" w:eastAsia="宋体" w:cs="Times New Roman"/>
                <w:bCs/>
                <w:color w:val="auto"/>
                <w:kern w:val="0"/>
                <w:sz w:val="21"/>
                <w:szCs w:val="21"/>
                <w:highlight w:val="none"/>
                <w:lang w:eastAsia="zh-CN"/>
              </w:rPr>
              <w:t>）</w:t>
            </w:r>
            <w:r>
              <w:rPr>
                <w:rFonts w:hint="eastAsia" w:cs="Times New Roman"/>
                <w:bCs/>
                <w:color w:val="auto"/>
                <w:kern w:val="0"/>
                <w:sz w:val="21"/>
                <w:szCs w:val="21"/>
                <w:highlight w:val="none"/>
                <w:lang w:val="en-US" w:eastAsia="zh-CN"/>
              </w:rPr>
              <w:t>2号生物质燃烧器</w:t>
            </w:r>
            <w:r>
              <w:rPr>
                <w:rFonts w:hint="default" w:ascii="Times New Roman" w:hAnsi="Times New Roman" w:eastAsia="宋体" w:cs="Times New Roman"/>
                <w:bCs/>
                <w:color w:val="auto"/>
                <w:kern w:val="0"/>
                <w:sz w:val="21"/>
                <w:szCs w:val="21"/>
                <w:highlight w:val="none"/>
                <w:lang w:eastAsia="zh-CN"/>
              </w:rPr>
              <w:t>废气</w:t>
            </w:r>
          </w:p>
          <w:p w14:paraId="573237C7">
            <w:pPr>
              <w:keepNext w:val="0"/>
              <w:keepLines w:val="0"/>
              <w:pageBreakBefore w:val="0"/>
              <w:widowControl/>
              <w:numPr>
                <w:ilvl w:val="-1"/>
                <w:numId w:val="0"/>
              </w:numPr>
              <w:suppressLineNumbers w:val="0"/>
              <w:kinsoku/>
              <w:wordWrap/>
              <w:overflowPunct/>
              <w:topLinePunct w:val="0"/>
              <w:autoSpaceDE/>
              <w:autoSpaceDN/>
              <w:bidi w:val="0"/>
              <w:spacing w:before="0" w:beforeAutospacing="0" w:after="0" w:afterAutospacing="0" w:line="360" w:lineRule="auto"/>
              <w:ind w:left="0" w:leftChars="0" w:right="0" w:firstLine="420" w:firstLineChars="200"/>
              <w:jc w:val="left"/>
              <w:textAlignment w:val="auto"/>
              <w:rPr>
                <w:rFonts w:hint="default" w:ascii="Times New Roman" w:hAnsi="Times New Roman" w:eastAsia="宋体" w:cs="Times New Roman"/>
                <w:color w:val="auto"/>
                <w:sz w:val="21"/>
                <w:szCs w:val="21"/>
                <w:highlight w:val="none"/>
              </w:rPr>
            </w:pPr>
            <w:r>
              <w:rPr>
                <w:rFonts w:hint="eastAsia" w:cs="Times New Roman"/>
                <w:color w:val="auto"/>
                <w:sz w:val="21"/>
                <w:szCs w:val="21"/>
                <w:highlight w:val="none"/>
                <w:lang w:val="en-US" w:eastAsia="zh-CN"/>
              </w:rPr>
              <w:t>2号</w:t>
            </w:r>
            <w:r>
              <w:rPr>
                <w:rFonts w:hint="eastAsia" w:cs="Times New Roman"/>
                <w:bCs/>
                <w:color w:val="auto"/>
                <w:kern w:val="0"/>
                <w:sz w:val="21"/>
                <w:szCs w:val="21"/>
                <w:highlight w:val="none"/>
                <w:lang w:val="en-US" w:eastAsia="zh-CN"/>
              </w:rPr>
              <w:t>生物质燃烧器</w:t>
            </w:r>
            <w:r>
              <w:rPr>
                <w:rFonts w:hint="eastAsia" w:cs="Times New Roman"/>
                <w:color w:val="auto"/>
                <w:sz w:val="21"/>
                <w:szCs w:val="21"/>
                <w:highlight w:val="none"/>
                <w:lang w:val="en-US" w:eastAsia="zh-CN"/>
              </w:rPr>
              <w:t>燃料量为4041t/a，</w:t>
            </w:r>
            <w:r>
              <w:rPr>
                <w:rFonts w:hint="eastAsia" w:ascii="Times New Roman" w:hAnsi="Times New Roman" w:eastAsia="宋体" w:cs="Times New Roman"/>
                <w:color w:val="auto"/>
                <w:sz w:val="21"/>
                <w:szCs w:val="21"/>
                <w:highlight w:val="none"/>
              </w:rPr>
              <w:t>参照</w:t>
            </w:r>
            <w:r>
              <w:rPr>
                <w:rFonts w:hint="default" w:ascii="Times New Roman" w:hAnsi="Times New Roman" w:eastAsia="宋体" w:cs="Times New Roman"/>
                <w:color w:val="auto"/>
                <w:sz w:val="21"/>
                <w:szCs w:val="21"/>
                <w:highlight w:val="none"/>
              </w:rPr>
              <w:t>《排污许可证申请与核发技术规范 锅炉》</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HJ953-2018</w:t>
            </w:r>
            <w:r>
              <w:rPr>
                <w:rFonts w:hint="eastAsia" w:ascii="Times New Roman" w:hAnsi="Times New Roman" w:eastAsia="宋体"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rPr>
              <w:t>中相关方法</w:t>
            </w:r>
            <w:r>
              <w:rPr>
                <w:rFonts w:hint="eastAsia" w:ascii="Times New Roman" w:hAnsi="Times New Roman" w:eastAsia="宋体" w:cs="Times New Roman"/>
                <w:color w:val="auto"/>
                <w:sz w:val="21"/>
                <w:szCs w:val="21"/>
                <w:highlight w:val="none"/>
                <w:lang w:eastAsia="zh-CN"/>
              </w:rPr>
              <w:t>计算烟气量</w:t>
            </w:r>
          </w:p>
          <w:p w14:paraId="0E526A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outlineLvl w:val="2"/>
              <w:rPr>
                <w:rFonts w:hint="default" w:ascii="Times New Roman" w:hAnsi="Times New Roman" w:eastAsia="宋体" w:cs="Times New Roman"/>
                <w:snapToGrid w:val="0"/>
                <w:color w:val="auto"/>
                <w:sz w:val="21"/>
                <w:szCs w:val="21"/>
                <w:highlight w:val="none"/>
              </w:rPr>
            </w:pPr>
            <w:r>
              <w:rPr>
                <w:rFonts w:hint="default" w:ascii="Times New Roman" w:hAnsi="Times New Roman" w:eastAsia="宋体" w:cs="Times New Roman"/>
                <w:color w:val="auto"/>
                <w:sz w:val="21"/>
                <w:szCs w:val="21"/>
                <w:highlight w:val="none"/>
              </w:rPr>
              <w:t>①</w:t>
            </w:r>
            <w:r>
              <w:rPr>
                <w:rFonts w:hint="default" w:ascii="Times New Roman" w:hAnsi="Times New Roman" w:eastAsia="宋体" w:cs="Times New Roman"/>
                <w:snapToGrid w:val="0"/>
                <w:color w:val="auto"/>
                <w:sz w:val="21"/>
                <w:szCs w:val="21"/>
                <w:highlight w:val="none"/>
              </w:rPr>
              <w:t>烟气</w:t>
            </w:r>
            <w:r>
              <w:rPr>
                <w:rFonts w:hint="default" w:ascii="Times New Roman" w:hAnsi="Times New Roman" w:eastAsia="宋体" w:cs="Times New Roman"/>
                <w:color w:val="auto"/>
                <w:sz w:val="21"/>
                <w:szCs w:val="21"/>
                <w:highlight w:val="none"/>
              </w:rPr>
              <w:t>排放量</w:t>
            </w:r>
            <w:r>
              <w:rPr>
                <w:rFonts w:hint="default" w:ascii="Times New Roman" w:hAnsi="Times New Roman" w:eastAsia="宋体" w:cs="Times New Roman"/>
                <w:snapToGrid w:val="0"/>
                <w:color w:val="auto"/>
                <w:sz w:val="21"/>
                <w:szCs w:val="21"/>
                <w:highlight w:val="none"/>
              </w:rPr>
              <w:t>：</w:t>
            </w:r>
          </w:p>
          <w:p w14:paraId="48A0E474">
            <w:pPr>
              <w:keepNext w:val="0"/>
              <w:keepLines w:val="0"/>
              <w:pageBreakBefore w:val="0"/>
              <w:widowControl/>
              <w:suppressLineNumbers w:val="0"/>
              <w:kinsoku/>
              <w:wordWrap/>
              <w:overflowPunct/>
              <w:topLinePunct w:val="0"/>
              <w:bidi w:val="0"/>
              <w:spacing w:before="0" w:beforeAutospacing="0" w:after="0" w:afterAutospacing="0" w:line="360" w:lineRule="auto"/>
              <w:ind w:left="0" w:right="0" w:firstLine="420" w:firstLineChars="200"/>
              <w:jc w:val="both"/>
              <w:textAlignment w:val="auto"/>
              <w:outlineLvl w:val="2"/>
              <w:rPr>
                <w:rFonts w:hint="default"/>
                <w:color w:val="auto"/>
                <w:highlight w:val="none"/>
              </w:rPr>
            </w:pPr>
            <w:r>
              <w:rPr>
                <w:rFonts w:hint="default" w:ascii="Times New Roman" w:hAnsi="Times New Roman" w:eastAsia="宋体" w:cs="Times New Roman"/>
                <w:color w:val="auto"/>
                <w:sz w:val="21"/>
                <w:szCs w:val="21"/>
                <w:highlight w:val="none"/>
              </w:rPr>
              <w:t>本项目Q</w:t>
            </w:r>
            <w:r>
              <w:rPr>
                <w:rFonts w:hint="default" w:ascii="Times New Roman" w:hAnsi="Times New Roman" w:eastAsia="宋体" w:cs="Times New Roman"/>
                <w:color w:val="auto"/>
                <w:sz w:val="21"/>
                <w:szCs w:val="21"/>
                <w:highlight w:val="none"/>
                <w:vertAlign w:val="subscript"/>
              </w:rPr>
              <w:t>net,ar</w:t>
            </w:r>
            <w:r>
              <w:rPr>
                <w:rFonts w:hint="default" w:ascii="Times New Roman" w:hAnsi="Times New Roman" w:eastAsia="宋体" w:cs="Times New Roman"/>
                <w:color w:val="auto"/>
                <w:sz w:val="21"/>
                <w:szCs w:val="21"/>
                <w:highlight w:val="none"/>
              </w:rPr>
              <w:t>（收到基低位发热量）为</w:t>
            </w:r>
            <w:r>
              <w:rPr>
                <w:rFonts w:hint="eastAsia" w:cs="Times New Roman"/>
                <w:color w:val="auto"/>
                <w:sz w:val="21"/>
                <w:szCs w:val="21"/>
                <w:highlight w:val="none"/>
                <w:lang w:val="en-US" w:eastAsia="zh-CN"/>
              </w:rPr>
              <w:t>17.52</w:t>
            </w:r>
            <w:r>
              <w:rPr>
                <w:rFonts w:hint="default" w:ascii="Times New Roman" w:hAnsi="Times New Roman" w:eastAsia="宋体" w:cs="Times New Roman"/>
                <w:color w:val="auto"/>
                <w:sz w:val="21"/>
                <w:szCs w:val="21"/>
                <w:highlight w:val="none"/>
              </w:rPr>
              <w:t>MJ/kg，V</w:t>
            </w:r>
            <w:r>
              <w:rPr>
                <w:rFonts w:hint="default" w:ascii="Times New Roman" w:hAnsi="Times New Roman" w:eastAsia="宋体" w:cs="Times New Roman"/>
                <w:color w:val="auto"/>
                <w:sz w:val="21"/>
                <w:szCs w:val="21"/>
                <w:highlight w:val="none"/>
                <w:vertAlign w:val="subscript"/>
              </w:rPr>
              <w:t>daf</w:t>
            </w:r>
            <w:r>
              <w:rPr>
                <w:rFonts w:hint="default" w:ascii="Times New Roman" w:hAnsi="Times New Roman" w:eastAsia="宋体" w:cs="Times New Roman"/>
                <w:color w:val="auto"/>
                <w:sz w:val="21"/>
                <w:szCs w:val="21"/>
                <w:highlight w:val="none"/>
              </w:rPr>
              <w:t>&gt;15%，则基准烟气量经验公式可定为V</w:t>
            </w:r>
            <w:r>
              <w:rPr>
                <w:rFonts w:hint="default" w:ascii="Times New Roman" w:hAnsi="Times New Roman" w:eastAsia="宋体" w:cs="Times New Roman"/>
                <w:color w:val="auto"/>
                <w:sz w:val="21"/>
                <w:szCs w:val="21"/>
                <w:highlight w:val="none"/>
                <w:vertAlign w:val="subscript"/>
              </w:rPr>
              <w:t>gy</w:t>
            </w:r>
            <w:r>
              <w:rPr>
                <w:rFonts w:hint="default" w:ascii="Times New Roman" w:hAnsi="Times New Roman" w:eastAsia="宋体" w:cs="Times New Roman"/>
                <w:color w:val="auto"/>
                <w:sz w:val="21"/>
                <w:szCs w:val="21"/>
                <w:highlight w:val="none"/>
              </w:rPr>
              <w:t>=0.393Qnet.ar+0.876。</w:t>
            </w:r>
          </w:p>
          <w:p w14:paraId="18B4EB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rPr>
              <w:t>则本项目的基准烟气量为Vgy=（</w:t>
            </w:r>
            <w:r>
              <w:rPr>
                <w:rFonts w:hint="eastAsia" w:cs="Times New Roman"/>
                <w:color w:val="auto"/>
                <w:sz w:val="21"/>
                <w:highlight w:val="none"/>
                <w:lang w:val="en-US" w:eastAsia="zh-CN"/>
              </w:rPr>
              <w:t>0.393</w:t>
            </w:r>
            <w:r>
              <w:rPr>
                <w:rFonts w:hint="default" w:ascii="Times New Roman" w:hAnsi="Times New Roman" w:eastAsia="宋体" w:cs="Times New Roman"/>
                <w:color w:val="auto"/>
                <w:sz w:val="21"/>
                <w:highlight w:val="none"/>
              </w:rPr>
              <w:t>×</w:t>
            </w:r>
            <w:r>
              <w:rPr>
                <w:rFonts w:hint="eastAsia" w:cs="Times New Roman"/>
                <w:color w:val="auto"/>
                <w:sz w:val="21"/>
                <w:highlight w:val="none"/>
                <w:lang w:val="en-US" w:eastAsia="zh-CN"/>
              </w:rPr>
              <w:t>17.52</w:t>
            </w:r>
            <w:r>
              <w:rPr>
                <w:rFonts w:hint="default" w:ascii="Times New Roman" w:hAnsi="Times New Roman" w:eastAsia="宋体" w:cs="Times New Roman"/>
                <w:color w:val="auto"/>
                <w:sz w:val="21"/>
                <w:highlight w:val="none"/>
              </w:rPr>
              <w:t>+0.</w:t>
            </w:r>
            <w:r>
              <w:rPr>
                <w:rFonts w:hint="eastAsia" w:cs="Times New Roman"/>
                <w:color w:val="auto"/>
                <w:sz w:val="21"/>
                <w:highlight w:val="none"/>
                <w:lang w:val="en-US" w:eastAsia="zh-CN"/>
              </w:rPr>
              <w:t>876</w:t>
            </w:r>
            <w:r>
              <w:rPr>
                <w:rFonts w:hint="default" w:ascii="Times New Roman" w:hAnsi="Times New Roman" w:eastAsia="宋体" w:cs="Times New Roman"/>
                <w:color w:val="auto"/>
                <w:sz w:val="21"/>
                <w:highlight w:val="none"/>
              </w:rPr>
              <w:t>）=</w:t>
            </w:r>
            <w:r>
              <w:rPr>
                <w:rFonts w:hint="eastAsia" w:cs="Times New Roman"/>
                <w:color w:val="auto"/>
                <w:sz w:val="21"/>
                <w:highlight w:val="none"/>
                <w:lang w:val="en-US" w:eastAsia="zh-CN"/>
              </w:rPr>
              <w:t>7.76136</w:t>
            </w:r>
            <w:r>
              <w:rPr>
                <w:rFonts w:hint="default" w:ascii="Times New Roman" w:hAnsi="Times New Roman" w:eastAsia="宋体" w:cs="Times New Roman"/>
                <w:color w:val="auto"/>
                <w:sz w:val="21"/>
                <w:highlight w:val="none"/>
              </w:rPr>
              <w:t>m</w:t>
            </w:r>
            <w:r>
              <w:rPr>
                <w:rFonts w:hint="default" w:ascii="Times New Roman" w:hAnsi="Times New Roman" w:eastAsia="宋体" w:cs="Times New Roman"/>
                <w:color w:val="auto"/>
                <w:sz w:val="21"/>
                <w:highlight w:val="none"/>
                <w:vertAlign w:val="superscript"/>
              </w:rPr>
              <w:t>3</w:t>
            </w:r>
            <w:r>
              <w:rPr>
                <w:rFonts w:hint="default" w:ascii="Times New Roman" w:hAnsi="Times New Roman" w:eastAsia="宋体" w:cs="Times New Roman"/>
                <w:color w:val="auto"/>
                <w:sz w:val="21"/>
                <w:highlight w:val="none"/>
              </w:rPr>
              <w:t>/</w:t>
            </w:r>
            <w:r>
              <w:rPr>
                <w:rFonts w:hint="eastAsia" w:ascii="Times New Roman" w:hAnsi="Times New Roman" w:eastAsia="宋体" w:cs="Times New Roman"/>
                <w:color w:val="auto"/>
                <w:sz w:val="21"/>
                <w:highlight w:val="none"/>
                <w:lang w:val="en-US" w:eastAsia="zh-CN"/>
              </w:rPr>
              <w:t>kg</w:t>
            </w:r>
          </w:p>
          <w:p w14:paraId="424C2A9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则总烟气量为：</w:t>
            </w:r>
            <w:r>
              <w:rPr>
                <w:rFonts w:hint="eastAsia" w:cs="Times New Roman"/>
                <w:color w:val="auto"/>
                <w:sz w:val="21"/>
                <w:szCs w:val="21"/>
                <w:highlight w:val="none"/>
                <w:lang w:val="en-US" w:eastAsia="zh-CN"/>
              </w:rPr>
              <w:t>7.76136</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4041</w:t>
            </w:r>
            <w:r>
              <w:rPr>
                <w:rFonts w:hint="default" w:ascii="Times New Roman" w:hAnsi="Times New Roman" w:eastAsia="宋体" w:cs="Times New Roman"/>
                <w:color w:val="auto"/>
                <w:sz w:val="21"/>
                <w:szCs w:val="21"/>
                <w:highlight w:val="none"/>
              </w:rPr>
              <w:t>×</w:t>
            </w:r>
            <w:r>
              <w:rPr>
                <w:rFonts w:hint="eastAsia" w:ascii="Times New Roman" w:hAnsi="Times New Roman" w:eastAsia="宋体" w:cs="Times New Roman"/>
                <w:color w:val="auto"/>
                <w:sz w:val="21"/>
                <w:szCs w:val="21"/>
                <w:highlight w:val="none"/>
                <w:lang w:val="en-US" w:eastAsia="zh-CN"/>
              </w:rPr>
              <w:t>10</w:t>
            </w:r>
            <w:r>
              <w:rPr>
                <w:rFonts w:hint="eastAsia"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31363655.76</w:t>
            </w:r>
            <w:r>
              <w:rPr>
                <w:rFonts w:hint="default" w:ascii="Times New Roman" w:hAnsi="Times New Roman" w:eastAsia="宋体" w:cs="Times New Roman"/>
                <w:color w:val="auto"/>
                <w:sz w:val="21"/>
                <w:szCs w:val="21"/>
                <w:highlight w:val="none"/>
              </w:rPr>
              <w:t>Nm</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/a</w:t>
            </w:r>
          </w:p>
          <w:p w14:paraId="36CA5494">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②颗粒物排放量</w:t>
            </w:r>
          </w:p>
          <w:p w14:paraId="13EFE433">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position w:val="-56"/>
                <w:sz w:val="21"/>
                <w:szCs w:val="21"/>
                <w:highlight w:val="none"/>
              </w:rPr>
              <w:object>
                <v:shape id="_x0000_i1027" o:spt="75" type="#_x0000_t75" style="height:43.8pt;width:149.25pt;" o:ole="t" filled="f" o:preferrelative="t" stroked="f" coordsize="21600,21600">
                  <v:path/>
                  <v:fill on="f" focussize="0,0"/>
                  <v:stroke on="f"/>
                  <v:imagedata r:id="rId15" o:title=""/>
                  <o:lock v:ext="edit" aspectratio="t"/>
                  <w10:wrap type="none"/>
                  <w10:anchorlock/>
                </v:shape>
                <o:OLEObject Type="Embed" ProgID="Equations" ShapeID="_x0000_i1027" DrawAspect="Content" ObjectID="_1468075727" r:id="rId18">
                  <o:LockedField>false</o:LockedField>
                </o:OLEObject>
              </w:object>
            </w:r>
          </w:p>
          <w:p w14:paraId="6E96A398">
            <w:pPr>
              <w:pStyle w:val="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式中：E</w:t>
            </w:r>
            <w:r>
              <w:rPr>
                <w:rFonts w:hint="default" w:ascii="Times New Roman" w:hAnsi="Times New Roman" w:eastAsia="宋体" w:cs="Times New Roman"/>
                <w:color w:val="auto"/>
                <w:sz w:val="21"/>
                <w:szCs w:val="21"/>
                <w:highlight w:val="none"/>
                <w:vertAlign w:val="subscript"/>
              </w:rPr>
              <w:t>A</w:t>
            </w:r>
            <w:r>
              <w:rPr>
                <w:rFonts w:hint="default" w:ascii="Times New Roman" w:hAnsi="Times New Roman" w:eastAsia="宋体" w:cs="Times New Roman"/>
                <w:color w:val="auto"/>
                <w:sz w:val="21"/>
                <w:szCs w:val="21"/>
                <w:highlight w:val="none"/>
              </w:rPr>
              <w:t>----核算时段内颗粒物排放量，t；</w:t>
            </w:r>
          </w:p>
          <w:p w14:paraId="6789670E">
            <w:pPr>
              <w:pStyle w:val="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R----核算时段内锅炉燃料耗量，</w:t>
            </w:r>
            <w:r>
              <w:rPr>
                <w:rFonts w:hint="eastAsia" w:cs="Times New Roman"/>
                <w:color w:val="auto"/>
                <w:sz w:val="21"/>
                <w:szCs w:val="21"/>
                <w:highlight w:val="none"/>
                <w:lang w:val="en-US" w:eastAsia="zh-CN"/>
              </w:rPr>
              <w:t>4041</w:t>
            </w:r>
            <w:r>
              <w:rPr>
                <w:rFonts w:hint="default" w:ascii="Times New Roman" w:hAnsi="Times New Roman" w:eastAsia="宋体" w:cs="Times New Roman"/>
                <w:color w:val="auto"/>
                <w:sz w:val="21"/>
                <w:szCs w:val="21"/>
                <w:highlight w:val="none"/>
              </w:rPr>
              <w:t>t/a；</w:t>
            </w:r>
          </w:p>
          <w:p w14:paraId="6C5A6AB7">
            <w:pPr>
              <w:pStyle w:val="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vertAlign w:val="subscript"/>
              </w:rPr>
              <w:t>ar</w:t>
            </w:r>
            <w:r>
              <w:rPr>
                <w:rFonts w:hint="default" w:ascii="Times New Roman" w:hAnsi="Times New Roman" w:eastAsia="宋体" w:cs="Times New Roman"/>
                <w:color w:val="auto"/>
                <w:sz w:val="21"/>
                <w:szCs w:val="21"/>
                <w:highlight w:val="none"/>
              </w:rPr>
              <w:t>----收到基灰分的质量分数，%；取</w:t>
            </w:r>
            <w:r>
              <w:rPr>
                <w:rFonts w:hint="eastAsia" w:cs="Times New Roman"/>
                <w:color w:val="auto"/>
                <w:sz w:val="21"/>
                <w:szCs w:val="21"/>
                <w:highlight w:val="none"/>
                <w:lang w:val="en-US" w:eastAsia="zh-CN"/>
              </w:rPr>
              <w:t>3.71%</w:t>
            </w:r>
            <w:r>
              <w:rPr>
                <w:rFonts w:hint="default" w:ascii="Times New Roman" w:hAnsi="Times New Roman" w:eastAsia="宋体" w:cs="Times New Roman"/>
                <w:color w:val="auto"/>
                <w:sz w:val="21"/>
                <w:szCs w:val="21"/>
                <w:highlight w:val="none"/>
              </w:rPr>
              <w:t>；</w:t>
            </w:r>
          </w:p>
          <w:p w14:paraId="715DA92C">
            <w:pPr>
              <w:pStyle w:val="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d</w:t>
            </w:r>
            <w:r>
              <w:rPr>
                <w:rFonts w:hint="default" w:ascii="Times New Roman" w:hAnsi="Times New Roman" w:eastAsia="宋体" w:cs="Times New Roman"/>
                <w:color w:val="auto"/>
                <w:sz w:val="21"/>
                <w:szCs w:val="21"/>
                <w:highlight w:val="none"/>
                <w:vertAlign w:val="subscript"/>
              </w:rPr>
              <w:t>fh</w:t>
            </w:r>
            <w:r>
              <w:rPr>
                <w:rFonts w:hint="default" w:ascii="Times New Roman" w:hAnsi="Times New Roman" w:eastAsia="宋体" w:cs="Times New Roman"/>
                <w:color w:val="auto"/>
                <w:sz w:val="21"/>
                <w:szCs w:val="21"/>
                <w:highlight w:val="none"/>
              </w:rPr>
              <w:t>----锅炉烟气带出的灰分份额，%；取50%。（链条炉排炉灰分份额为10%-20%，本项目取20%，燃生物质时飞灰份额加30%，则最终灰分份额取50%）；</w:t>
            </w:r>
          </w:p>
          <w:p w14:paraId="289B66EC">
            <w:pPr>
              <w:pStyle w:val="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color w:val="auto"/>
                <w:sz w:val="21"/>
                <w:szCs w:val="21"/>
                <w:highlight w:val="none"/>
              </w:rPr>
              <w:t>ƞ</w:t>
            </w:r>
            <w:r>
              <w:rPr>
                <w:rFonts w:hint="default" w:ascii="Times New Roman" w:hAnsi="Times New Roman" w:eastAsia="宋体" w:cs="Times New Roman"/>
                <w:color w:val="auto"/>
                <w:sz w:val="21"/>
                <w:szCs w:val="21"/>
                <w:highlight w:val="none"/>
                <w:vertAlign w:val="subscript"/>
              </w:rPr>
              <w:t>c</w:t>
            </w:r>
            <w:r>
              <w:rPr>
                <w:rFonts w:hint="default" w:ascii="Times New Roman" w:hAnsi="Times New Roman" w:eastAsia="宋体" w:cs="Times New Roman"/>
                <w:color w:val="auto"/>
                <w:sz w:val="21"/>
                <w:szCs w:val="21"/>
                <w:highlight w:val="none"/>
              </w:rPr>
              <w:t>----综合除尘效率，%；取</w:t>
            </w:r>
            <w:r>
              <w:rPr>
                <w:rFonts w:hint="eastAsia" w:cs="Times New Roman"/>
                <w:color w:val="auto"/>
                <w:sz w:val="21"/>
                <w:szCs w:val="21"/>
                <w:highlight w:val="none"/>
                <w:lang w:eastAsia="zh-CN"/>
              </w:rPr>
              <w:t>99%</w:t>
            </w:r>
            <w:r>
              <w:rPr>
                <w:rFonts w:hint="default" w:ascii="Times New Roman" w:hAnsi="Times New Roman" w:eastAsia="宋体" w:cs="Times New Roman"/>
                <w:color w:val="auto"/>
                <w:sz w:val="21"/>
                <w:szCs w:val="21"/>
                <w:highlight w:val="none"/>
              </w:rPr>
              <w:t>。</w:t>
            </w:r>
          </w:p>
          <w:p w14:paraId="608255A3">
            <w:pPr>
              <w:pStyle w:val="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C</w:t>
            </w:r>
            <w:r>
              <w:rPr>
                <w:rFonts w:hint="default" w:ascii="Times New Roman" w:hAnsi="Times New Roman" w:eastAsia="宋体" w:cs="Times New Roman"/>
                <w:color w:val="auto"/>
                <w:sz w:val="21"/>
                <w:szCs w:val="21"/>
                <w:highlight w:val="none"/>
                <w:vertAlign w:val="subscript"/>
              </w:rPr>
              <w:t>fh</w:t>
            </w:r>
            <w:r>
              <w:rPr>
                <w:rFonts w:hint="default" w:ascii="Times New Roman" w:hAnsi="Times New Roman" w:eastAsia="宋体" w:cs="Times New Roman"/>
                <w:color w:val="auto"/>
                <w:sz w:val="21"/>
                <w:szCs w:val="21"/>
                <w:highlight w:val="none"/>
              </w:rPr>
              <w:t>----飞灰中可燃物含量，%。取1</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%。（项目使用生物质成型燃料，飞灰中可燃物含量类比烟煤II类，根据《工业锅炉经济运行》（GB/T17954-2007），取1</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w:t>
            </w:r>
          </w:p>
          <w:p w14:paraId="229EFB63">
            <w:pPr>
              <w:pStyle w:val="2"/>
              <w:keepNext w:val="0"/>
              <w:keepLines w:val="0"/>
              <w:pageBreakBefore w:val="0"/>
              <w:widowControl w:val="0"/>
              <w:suppressLineNumbers w:val="0"/>
              <w:kinsoku/>
              <w:wordWrap/>
              <w:overflowPunct/>
              <w:topLinePunct w:val="0"/>
              <w:bidi w:val="0"/>
              <w:spacing w:before="0" w:beforeAutospacing="0" w:after="0" w:afterAutospacing="0" w:line="360" w:lineRule="auto"/>
              <w:ind w:left="0" w:right="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由计算可得出颗粒物排放量为</w:t>
            </w:r>
            <w:r>
              <w:rPr>
                <w:rFonts w:hint="eastAsia" w:cs="Times New Roman"/>
                <w:color w:val="auto"/>
                <w:position w:val="0"/>
                <w:sz w:val="21"/>
                <w:szCs w:val="21"/>
                <w:highlight w:val="none"/>
                <w:lang w:val="en-US" w:eastAsia="zh-CN"/>
              </w:rPr>
              <w:t>0.892</w:t>
            </w:r>
            <w:r>
              <w:rPr>
                <w:rFonts w:hint="default" w:ascii="Times New Roman" w:hAnsi="Times New Roman" w:eastAsia="宋体" w:cs="Times New Roman"/>
                <w:color w:val="auto"/>
                <w:position w:val="0"/>
                <w:sz w:val="21"/>
                <w:szCs w:val="21"/>
                <w:highlight w:val="none"/>
              </w:rPr>
              <w:t>t/a，</w:t>
            </w:r>
            <w:r>
              <w:rPr>
                <w:rFonts w:hint="eastAsia" w:cs="Times New Roman"/>
                <w:color w:val="auto"/>
                <w:position w:val="0"/>
                <w:sz w:val="21"/>
                <w:szCs w:val="21"/>
                <w:highlight w:val="none"/>
                <w:lang w:val="en-US" w:eastAsia="zh-CN"/>
              </w:rPr>
              <w:t>0.149</w:t>
            </w:r>
            <w:r>
              <w:rPr>
                <w:rFonts w:hint="default" w:ascii="Times New Roman" w:hAnsi="Times New Roman" w:eastAsia="宋体" w:cs="Times New Roman"/>
                <w:color w:val="auto"/>
                <w:position w:val="0"/>
                <w:sz w:val="21"/>
                <w:szCs w:val="21"/>
                <w:highlight w:val="none"/>
              </w:rPr>
              <w:t>kg/h。</w:t>
            </w:r>
          </w:p>
          <w:p w14:paraId="1E483919">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③二氧化硫排放量</w:t>
            </w:r>
          </w:p>
          <w:p w14:paraId="72516AB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jc w:val="center"/>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object>
                <v:shape id="_x0000_i1028" o:spt="75" type="#_x0000_t75" style="height:33pt;width:204pt;" o:ole="t" filled="f" o:preferrelative="t" stroked="f" coordsize="21600,21600">
                  <v:path/>
                  <v:fill on="f" focussize="0,0"/>
                  <v:stroke on="f"/>
                  <v:imagedata r:id="rId17" o:title=""/>
                  <o:lock v:ext="edit" aspectratio="t"/>
                  <w10:wrap type="none"/>
                  <w10:anchorlock/>
                </v:shape>
                <o:OLEObject Type="Embed" ProgID="Equations" ShapeID="_x0000_i1028" DrawAspect="Content" ObjectID="_1468075728" r:id="rId19">
                  <o:LockedField>false</o:LockedField>
                </o:OLEObject>
              </w:object>
            </w:r>
          </w:p>
          <w:p w14:paraId="38D23804">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式中：E</w:t>
            </w:r>
            <w:r>
              <w:rPr>
                <w:rFonts w:hint="default" w:ascii="Times New Roman" w:hAnsi="Times New Roman" w:eastAsia="宋体" w:cs="Times New Roman"/>
                <w:color w:val="auto"/>
                <w:position w:val="0"/>
                <w:sz w:val="21"/>
                <w:szCs w:val="21"/>
                <w:highlight w:val="none"/>
                <w:vertAlign w:val="subscript"/>
              </w:rPr>
              <w:t>SO2</w:t>
            </w:r>
            <w:r>
              <w:rPr>
                <w:rFonts w:hint="default" w:ascii="Times New Roman" w:hAnsi="Times New Roman" w:eastAsia="宋体" w:cs="Times New Roman"/>
                <w:color w:val="auto"/>
                <w:position w:val="0"/>
                <w:sz w:val="21"/>
                <w:szCs w:val="21"/>
                <w:highlight w:val="none"/>
              </w:rPr>
              <w:t>----核算时段内二氧化硫排放量，t；</w:t>
            </w:r>
          </w:p>
          <w:p w14:paraId="74DBF164">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R----核算时段内锅炉燃料耗量</w:t>
            </w:r>
            <w:r>
              <w:rPr>
                <w:rFonts w:hint="eastAsia" w:cs="Times New Roman"/>
                <w:color w:val="auto"/>
                <w:sz w:val="21"/>
                <w:szCs w:val="21"/>
                <w:highlight w:val="none"/>
                <w:lang w:val="en-US" w:eastAsia="zh-CN"/>
              </w:rPr>
              <w:t>4041</w:t>
            </w:r>
            <w:r>
              <w:rPr>
                <w:rFonts w:hint="default" w:ascii="Times New Roman" w:hAnsi="Times New Roman" w:eastAsia="宋体" w:cs="Times New Roman"/>
                <w:color w:val="auto"/>
                <w:position w:val="0"/>
                <w:sz w:val="21"/>
                <w:szCs w:val="21"/>
                <w:highlight w:val="none"/>
              </w:rPr>
              <w:t>t；</w:t>
            </w:r>
          </w:p>
          <w:p w14:paraId="6B9AA83F">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S</w:t>
            </w:r>
            <w:r>
              <w:rPr>
                <w:rFonts w:hint="default" w:ascii="Times New Roman" w:hAnsi="Times New Roman" w:eastAsia="宋体" w:cs="Times New Roman"/>
                <w:color w:val="auto"/>
                <w:position w:val="0"/>
                <w:sz w:val="21"/>
                <w:szCs w:val="21"/>
                <w:highlight w:val="none"/>
                <w:vertAlign w:val="subscript"/>
              </w:rPr>
              <w:t>ar</w:t>
            </w:r>
            <w:r>
              <w:rPr>
                <w:rFonts w:hint="default" w:ascii="Times New Roman" w:hAnsi="Times New Roman" w:eastAsia="宋体" w:cs="Times New Roman"/>
                <w:color w:val="auto"/>
                <w:position w:val="0"/>
                <w:sz w:val="21"/>
                <w:szCs w:val="21"/>
                <w:highlight w:val="none"/>
              </w:rPr>
              <w:t>----收到基硫的质量分数，</w:t>
            </w:r>
            <w:r>
              <w:rPr>
                <w:rFonts w:hint="eastAsia" w:cs="Times New Roman"/>
                <w:color w:val="auto"/>
                <w:position w:val="0"/>
                <w:sz w:val="21"/>
                <w:szCs w:val="21"/>
                <w:highlight w:val="none"/>
                <w:lang w:eastAsia="zh-CN"/>
              </w:rPr>
              <w:t>0.03%</w:t>
            </w:r>
            <w:r>
              <w:rPr>
                <w:rFonts w:hint="default" w:ascii="Times New Roman" w:hAnsi="Times New Roman" w:eastAsia="宋体" w:cs="Times New Roman"/>
                <w:color w:val="auto"/>
                <w:position w:val="0"/>
                <w:sz w:val="21"/>
                <w:szCs w:val="21"/>
                <w:highlight w:val="none"/>
              </w:rPr>
              <w:t>，（根据生物质成分分析报告）；</w:t>
            </w:r>
          </w:p>
          <w:p w14:paraId="09378193">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q</w:t>
            </w:r>
            <w:r>
              <w:rPr>
                <w:rFonts w:hint="default" w:ascii="Times New Roman" w:hAnsi="Times New Roman" w:eastAsia="宋体" w:cs="Times New Roman"/>
                <w:color w:val="auto"/>
                <w:position w:val="0"/>
                <w:sz w:val="21"/>
                <w:szCs w:val="21"/>
                <w:highlight w:val="none"/>
                <w:vertAlign w:val="subscript"/>
              </w:rPr>
              <w:t>4</w:t>
            </w:r>
            <w:r>
              <w:rPr>
                <w:rFonts w:hint="default" w:ascii="Times New Roman" w:hAnsi="Times New Roman" w:eastAsia="宋体" w:cs="Times New Roman"/>
                <w:color w:val="auto"/>
                <w:position w:val="0"/>
                <w:sz w:val="21"/>
                <w:szCs w:val="21"/>
                <w:highlight w:val="none"/>
              </w:rPr>
              <w:t>----锅炉机械不完全燃烧热损失，%；取1</w:t>
            </w:r>
            <w:r>
              <w:rPr>
                <w:rFonts w:hint="eastAsia" w:cs="Times New Roman"/>
                <w:color w:val="auto"/>
                <w:position w:val="0"/>
                <w:sz w:val="21"/>
                <w:szCs w:val="21"/>
                <w:highlight w:val="none"/>
                <w:lang w:val="en-US" w:eastAsia="zh-CN"/>
              </w:rPr>
              <w:t>0</w:t>
            </w:r>
            <w:r>
              <w:rPr>
                <w:rFonts w:hint="default" w:ascii="Times New Roman" w:hAnsi="Times New Roman" w:eastAsia="宋体" w:cs="Times New Roman"/>
                <w:color w:val="auto"/>
                <w:position w:val="0"/>
                <w:sz w:val="21"/>
                <w:szCs w:val="21"/>
                <w:highlight w:val="none"/>
              </w:rPr>
              <w:t>%，（</w:t>
            </w:r>
            <w:r>
              <w:rPr>
                <w:rFonts w:hint="eastAsia" w:cs="Times New Roman"/>
                <w:color w:val="auto"/>
                <w:position w:val="0"/>
                <w:sz w:val="21"/>
                <w:szCs w:val="21"/>
                <w:highlight w:val="none"/>
                <w:lang w:eastAsia="zh-CN"/>
              </w:rPr>
              <w:t>参考</w:t>
            </w:r>
            <w:r>
              <w:rPr>
                <w:rFonts w:hint="default" w:ascii="Times New Roman" w:hAnsi="Times New Roman" w:eastAsia="宋体" w:cs="Times New Roman"/>
                <w:color w:val="auto"/>
                <w:position w:val="0"/>
                <w:sz w:val="21"/>
                <w:szCs w:val="21"/>
                <w:highlight w:val="none"/>
              </w:rPr>
              <w:t>链条炉排炉不完全燃烧热损失</w:t>
            </w:r>
            <w:r>
              <w:rPr>
                <w:rFonts w:hint="eastAsia" w:cs="Times New Roman"/>
                <w:color w:val="auto"/>
                <w:position w:val="0"/>
                <w:sz w:val="21"/>
                <w:szCs w:val="21"/>
                <w:highlight w:val="none"/>
                <w:lang w:val="en-US" w:eastAsia="zh-CN"/>
              </w:rPr>
              <w:t>5</w:t>
            </w:r>
            <w:r>
              <w:rPr>
                <w:rFonts w:hint="default" w:ascii="Times New Roman" w:hAnsi="Times New Roman" w:eastAsia="宋体" w:cs="Times New Roman"/>
                <w:color w:val="auto"/>
                <w:position w:val="0"/>
                <w:sz w:val="21"/>
                <w:szCs w:val="21"/>
                <w:highlight w:val="none"/>
              </w:rPr>
              <w:t>%-1</w:t>
            </w:r>
            <w:r>
              <w:rPr>
                <w:rFonts w:hint="eastAsia" w:cs="Times New Roman"/>
                <w:color w:val="auto"/>
                <w:position w:val="0"/>
                <w:sz w:val="21"/>
                <w:szCs w:val="21"/>
                <w:highlight w:val="none"/>
                <w:lang w:val="en-US" w:eastAsia="zh-CN"/>
              </w:rPr>
              <w:t>5</w:t>
            </w:r>
            <w:r>
              <w:rPr>
                <w:rFonts w:hint="default" w:ascii="Times New Roman" w:hAnsi="Times New Roman" w:eastAsia="宋体" w:cs="Times New Roman"/>
                <w:color w:val="auto"/>
                <w:position w:val="0"/>
                <w:sz w:val="21"/>
                <w:szCs w:val="21"/>
                <w:highlight w:val="none"/>
              </w:rPr>
              <w:t>%）；</w:t>
            </w:r>
          </w:p>
          <w:p w14:paraId="002537F6">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ƞ</w:t>
            </w:r>
            <w:r>
              <w:rPr>
                <w:rFonts w:hint="default" w:ascii="Times New Roman" w:hAnsi="Times New Roman" w:eastAsia="宋体" w:cs="Times New Roman"/>
                <w:color w:val="auto"/>
                <w:position w:val="0"/>
                <w:sz w:val="21"/>
                <w:szCs w:val="21"/>
                <w:highlight w:val="none"/>
                <w:vertAlign w:val="subscript"/>
              </w:rPr>
              <w:t>s</w:t>
            </w:r>
            <w:r>
              <w:rPr>
                <w:rFonts w:hint="default" w:ascii="Times New Roman" w:hAnsi="Times New Roman" w:eastAsia="宋体" w:cs="Times New Roman"/>
                <w:color w:val="auto"/>
                <w:position w:val="0"/>
                <w:sz w:val="21"/>
                <w:szCs w:val="21"/>
                <w:highlight w:val="none"/>
              </w:rPr>
              <w:t>----脱硫效率，%；</w:t>
            </w:r>
          </w:p>
          <w:p w14:paraId="74F77094">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K----燃料中的硫燃烧后氧化成二氧化硫的份额，量纲一的量。取0.50。</w:t>
            </w:r>
          </w:p>
          <w:p w14:paraId="20A4EF72">
            <w:pPr>
              <w:pStyle w:val="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ascii="Times New Roman" w:hAnsi="Times New Roman" w:eastAsia="宋体" w:cs="Times New Roman"/>
                <w:b/>
                <w:color w:val="auto"/>
                <w:position w:val="0"/>
                <w:sz w:val="21"/>
                <w:szCs w:val="21"/>
                <w:highlight w:val="none"/>
              </w:rPr>
            </w:pPr>
            <w:r>
              <w:rPr>
                <w:rFonts w:hint="default" w:ascii="Times New Roman" w:hAnsi="Times New Roman" w:eastAsia="宋体" w:cs="Times New Roman"/>
                <w:color w:val="auto"/>
                <w:position w:val="0"/>
                <w:sz w:val="21"/>
                <w:szCs w:val="21"/>
                <w:highlight w:val="none"/>
              </w:rPr>
              <w:t>由计算可得出SO</w:t>
            </w:r>
            <w:r>
              <w:rPr>
                <w:rFonts w:hint="default" w:ascii="Times New Roman" w:hAnsi="Times New Roman" w:eastAsia="宋体" w:cs="Times New Roman"/>
                <w:color w:val="auto"/>
                <w:position w:val="0"/>
                <w:sz w:val="21"/>
                <w:szCs w:val="21"/>
                <w:highlight w:val="none"/>
                <w:vertAlign w:val="subscript"/>
              </w:rPr>
              <w:t>2</w:t>
            </w:r>
            <w:r>
              <w:rPr>
                <w:rFonts w:hint="default" w:ascii="Times New Roman" w:hAnsi="Times New Roman" w:eastAsia="宋体" w:cs="Times New Roman"/>
                <w:color w:val="auto"/>
                <w:position w:val="0"/>
                <w:sz w:val="21"/>
                <w:szCs w:val="21"/>
                <w:highlight w:val="none"/>
              </w:rPr>
              <w:t>排放量为</w:t>
            </w:r>
            <w:r>
              <w:rPr>
                <w:rFonts w:hint="eastAsia" w:cs="Times New Roman"/>
                <w:color w:val="auto"/>
                <w:position w:val="0"/>
                <w:sz w:val="21"/>
                <w:szCs w:val="21"/>
                <w:highlight w:val="none"/>
                <w:lang w:val="en-US" w:eastAsia="zh-CN"/>
              </w:rPr>
              <w:t>1.091</w:t>
            </w:r>
            <w:r>
              <w:rPr>
                <w:rFonts w:hint="default" w:ascii="Times New Roman" w:hAnsi="Times New Roman" w:eastAsia="宋体" w:cs="Times New Roman"/>
                <w:color w:val="auto"/>
                <w:position w:val="0"/>
                <w:sz w:val="21"/>
                <w:szCs w:val="21"/>
                <w:highlight w:val="none"/>
              </w:rPr>
              <w:t>t/a，</w:t>
            </w:r>
            <w:r>
              <w:rPr>
                <w:rFonts w:hint="eastAsia" w:cs="Times New Roman"/>
                <w:color w:val="auto"/>
                <w:position w:val="0"/>
                <w:sz w:val="21"/>
                <w:szCs w:val="21"/>
                <w:highlight w:val="none"/>
                <w:lang w:eastAsia="zh-CN"/>
              </w:rPr>
              <w:t>0.149</w:t>
            </w:r>
            <w:r>
              <w:rPr>
                <w:rFonts w:hint="default" w:ascii="Times New Roman" w:hAnsi="Times New Roman" w:eastAsia="宋体" w:cs="Times New Roman"/>
                <w:color w:val="auto"/>
                <w:position w:val="0"/>
                <w:sz w:val="21"/>
                <w:szCs w:val="21"/>
                <w:highlight w:val="none"/>
              </w:rPr>
              <w:t>kg/h。</w:t>
            </w:r>
          </w:p>
          <w:p w14:paraId="0B2C35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④氮氧化物排放量</w:t>
            </w:r>
          </w:p>
          <w:p w14:paraId="0F9DCEC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position w:val="0"/>
                <w:sz w:val="21"/>
                <w:szCs w:val="21"/>
                <w:highlight w:val="none"/>
              </w:rPr>
            </w:pPr>
            <w:r>
              <w:rPr>
                <w:rFonts w:hint="default" w:ascii="Times New Roman" w:hAnsi="Times New Roman" w:eastAsia="宋体" w:cs="Times New Roman"/>
                <w:color w:val="auto"/>
                <w:position w:val="0"/>
                <w:sz w:val="21"/>
                <w:szCs w:val="21"/>
                <w:highlight w:val="none"/>
              </w:rPr>
              <w:t>本项目</w:t>
            </w:r>
            <w:r>
              <w:rPr>
                <w:rFonts w:hint="eastAsia" w:cs="Times New Roman"/>
                <w:color w:val="auto"/>
                <w:position w:val="0"/>
                <w:sz w:val="21"/>
                <w:szCs w:val="21"/>
                <w:highlight w:val="none"/>
                <w:lang w:eastAsia="zh-CN"/>
              </w:rPr>
              <w:t>燃烧器</w:t>
            </w:r>
            <w:r>
              <w:rPr>
                <w:rFonts w:hint="default" w:ascii="Times New Roman" w:hAnsi="Times New Roman" w:eastAsia="宋体" w:cs="Times New Roman"/>
                <w:color w:val="auto"/>
                <w:position w:val="0"/>
                <w:sz w:val="21"/>
                <w:szCs w:val="21"/>
                <w:highlight w:val="none"/>
              </w:rPr>
              <w:t>出口NO</w:t>
            </w:r>
            <w:r>
              <w:rPr>
                <w:rFonts w:hint="default" w:ascii="Times New Roman" w:hAnsi="Times New Roman" w:eastAsia="宋体" w:cs="Times New Roman"/>
                <w:color w:val="auto"/>
                <w:position w:val="0"/>
                <w:sz w:val="21"/>
                <w:szCs w:val="21"/>
                <w:highlight w:val="none"/>
                <w:vertAlign w:val="subscript"/>
              </w:rPr>
              <w:t>x</w:t>
            </w:r>
            <w:r>
              <w:rPr>
                <w:rFonts w:hint="default" w:ascii="Times New Roman" w:hAnsi="Times New Roman" w:eastAsia="宋体" w:cs="Times New Roman"/>
                <w:color w:val="auto"/>
                <w:position w:val="0"/>
                <w:sz w:val="21"/>
                <w:szCs w:val="21"/>
                <w:highlight w:val="none"/>
              </w:rPr>
              <w:t>产生浓度无法估算，故氮氧化物采用系数法核算（无实测值无法采用类比法，无法用物料衡算），根据《排污许可证申请与核发技术规范 锅炉》表F.4 燃生物质工业锅炉的废气排污系数（续），室燃炉-氮氧化物产排污系数1.02kg/吨.燃料。</w:t>
            </w:r>
            <w:r>
              <w:rPr>
                <w:rFonts w:hint="eastAsia" w:cs="Times New Roman"/>
                <w:color w:val="auto"/>
                <w:position w:val="0"/>
                <w:sz w:val="21"/>
                <w:szCs w:val="21"/>
                <w:highlight w:val="none"/>
                <w:lang w:val="en-US" w:eastAsia="zh-CN"/>
              </w:rPr>
              <w:t>本项目</w:t>
            </w:r>
            <w:r>
              <w:rPr>
                <w:rFonts w:hint="default" w:ascii="Times New Roman" w:hAnsi="Times New Roman" w:eastAsia="宋体" w:cs="Times New Roman"/>
                <w:color w:val="auto"/>
                <w:position w:val="0"/>
                <w:sz w:val="21"/>
                <w:szCs w:val="21"/>
                <w:highlight w:val="none"/>
              </w:rPr>
              <w:t>氮氧化物产生量</w:t>
            </w:r>
            <w:r>
              <w:rPr>
                <w:rFonts w:hint="eastAsia" w:cs="Times New Roman"/>
                <w:color w:val="auto"/>
                <w:position w:val="0"/>
                <w:sz w:val="21"/>
                <w:szCs w:val="21"/>
                <w:highlight w:val="none"/>
                <w:lang w:val="en-US" w:eastAsia="zh-CN"/>
              </w:rPr>
              <w:t>4.122</w:t>
            </w:r>
            <w:r>
              <w:rPr>
                <w:rFonts w:hint="default" w:ascii="Times New Roman" w:hAnsi="Times New Roman" w:eastAsia="宋体" w:cs="Times New Roman"/>
                <w:color w:val="auto"/>
                <w:position w:val="0"/>
                <w:sz w:val="21"/>
                <w:szCs w:val="21"/>
                <w:highlight w:val="none"/>
              </w:rPr>
              <w:t>t/a，</w:t>
            </w:r>
            <w:r>
              <w:rPr>
                <w:rFonts w:hint="eastAsia" w:cs="Times New Roman"/>
                <w:color w:val="auto"/>
                <w:position w:val="0"/>
                <w:sz w:val="21"/>
                <w:szCs w:val="21"/>
                <w:highlight w:val="none"/>
                <w:lang w:val="en-US" w:eastAsia="zh-CN"/>
              </w:rPr>
              <w:t>0.687kg/h。</w:t>
            </w:r>
          </w:p>
          <w:p w14:paraId="32B5C64E">
            <w:pPr>
              <w:pStyle w:val="151"/>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rPr>
                <w:rFonts w:hint="default" w:ascii="Times New Roman" w:hAnsi="Times New Roman" w:eastAsia="宋体" w:cs="Times New Roman"/>
                <w:bCs/>
                <w:color w:val="auto"/>
                <w:spacing w:val="0"/>
                <w:sz w:val="21"/>
                <w:szCs w:val="21"/>
                <w:highlight w:val="none"/>
                <w:lang w:eastAsia="zh-CN"/>
              </w:rPr>
            </w:pPr>
            <w:r>
              <w:rPr>
                <w:rFonts w:hint="default" w:ascii="Times New Roman" w:hAnsi="Times New Roman" w:eastAsia="宋体" w:cs="Times New Roman"/>
                <w:bCs/>
                <w:color w:val="auto"/>
                <w:spacing w:val="0"/>
                <w:sz w:val="21"/>
                <w:szCs w:val="21"/>
                <w:highlight w:val="none"/>
              </w:rPr>
              <w:t>故本项目</w:t>
            </w:r>
            <w:r>
              <w:rPr>
                <w:rFonts w:hint="eastAsia" w:cs="Times New Roman"/>
                <w:bCs/>
                <w:color w:val="auto"/>
                <w:spacing w:val="0"/>
                <w:sz w:val="21"/>
                <w:szCs w:val="21"/>
                <w:highlight w:val="none"/>
                <w:lang w:val="en-US" w:eastAsia="zh-CN"/>
              </w:rPr>
              <w:t>2号燃烧器</w:t>
            </w:r>
            <w:r>
              <w:rPr>
                <w:rFonts w:hint="default" w:ascii="Times New Roman" w:hAnsi="Times New Roman" w:eastAsia="宋体" w:cs="Times New Roman"/>
                <w:bCs/>
                <w:color w:val="auto"/>
                <w:spacing w:val="0"/>
                <w:sz w:val="21"/>
                <w:szCs w:val="21"/>
                <w:highlight w:val="none"/>
              </w:rPr>
              <w:t>大气污染物</w:t>
            </w:r>
            <w:r>
              <w:rPr>
                <w:rFonts w:hint="eastAsia" w:ascii="Times New Roman" w:hAnsi="Times New Roman" w:eastAsia="宋体" w:cs="Times New Roman"/>
                <w:bCs/>
                <w:color w:val="auto"/>
                <w:spacing w:val="0"/>
                <w:sz w:val="21"/>
                <w:szCs w:val="21"/>
                <w:highlight w:val="none"/>
                <w:lang w:eastAsia="zh-CN"/>
              </w:rPr>
              <w:t>排放</w:t>
            </w:r>
            <w:r>
              <w:rPr>
                <w:rFonts w:hint="default" w:ascii="Times New Roman" w:hAnsi="Times New Roman" w:eastAsia="宋体" w:cs="Times New Roman"/>
                <w:bCs/>
                <w:color w:val="auto"/>
                <w:spacing w:val="0"/>
                <w:sz w:val="21"/>
                <w:szCs w:val="21"/>
                <w:highlight w:val="none"/>
              </w:rPr>
              <w:t>量为：颗粒物：</w:t>
            </w:r>
            <w:r>
              <w:rPr>
                <w:rFonts w:hint="eastAsia" w:cs="Times New Roman"/>
                <w:bCs/>
                <w:color w:val="auto"/>
                <w:spacing w:val="0"/>
                <w:sz w:val="21"/>
                <w:szCs w:val="21"/>
                <w:highlight w:val="none"/>
                <w:lang w:val="en-US" w:eastAsia="zh-CN"/>
              </w:rPr>
              <w:t>0.892</w:t>
            </w:r>
            <w:r>
              <w:rPr>
                <w:rFonts w:hint="eastAsia" w:cs="Times New Roman"/>
                <w:color w:val="auto"/>
                <w:position w:val="0"/>
                <w:sz w:val="21"/>
                <w:szCs w:val="21"/>
                <w:highlight w:val="none"/>
                <w:lang w:val="en-US" w:eastAsia="zh-CN"/>
              </w:rPr>
              <w:t>t</w:t>
            </w:r>
            <w:r>
              <w:rPr>
                <w:rFonts w:hint="default" w:ascii="Times New Roman" w:hAnsi="Times New Roman" w:eastAsia="宋体" w:cs="Times New Roman"/>
                <w:bCs/>
                <w:color w:val="auto"/>
                <w:spacing w:val="0"/>
                <w:sz w:val="21"/>
                <w:szCs w:val="21"/>
                <w:highlight w:val="none"/>
              </w:rPr>
              <w:t>/a</w:t>
            </w:r>
            <w:r>
              <w:rPr>
                <w:rFonts w:hint="eastAsia" w:ascii="Times New Roman" w:hAnsi="Times New Roman" w:eastAsia="宋体" w:cs="Times New Roman"/>
                <w:bCs/>
                <w:color w:val="auto"/>
                <w:spacing w:val="0"/>
                <w:sz w:val="21"/>
                <w:szCs w:val="21"/>
                <w:highlight w:val="none"/>
                <w:lang w:eastAsia="zh-CN"/>
              </w:rPr>
              <w:t>；</w:t>
            </w:r>
            <w:r>
              <w:rPr>
                <w:rFonts w:hint="default" w:ascii="Times New Roman" w:hAnsi="Times New Roman" w:eastAsia="宋体" w:cs="Times New Roman"/>
                <w:bCs/>
                <w:color w:val="auto"/>
                <w:spacing w:val="0"/>
                <w:sz w:val="21"/>
                <w:szCs w:val="21"/>
                <w:highlight w:val="none"/>
              </w:rPr>
              <w:t>SO</w:t>
            </w:r>
            <w:r>
              <w:rPr>
                <w:rFonts w:hint="default" w:ascii="Times New Roman" w:hAnsi="Times New Roman" w:eastAsia="宋体" w:cs="Times New Roman"/>
                <w:bCs/>
                <w:color w:val="auto"/>
                <w:spacing w:val="0"/>
                <w:sz w:val="21"/>
                <w:szCs w:val="21"/>
                <w:highlight w:val="none"/>
                <w:vertAlign w:val="subscript"/>
              </w:rPr>
              <w:t>2</w:t>
            </w:r>
            <w:r>
              <w:rPr>
                <w:rFonts w:hint="default" w:ascii="Times New Roman" w:hAnsi="Times New Roman" w:eastAsia="宋体" w:cs="Times New Roman"/>
                <w:bCs/>
                <w:color w:val="auto"/>
                <w:spacing w:val="0"/>
                <w:sz w:val="21"/>
                <w:szCs w:val="21"/>
                <w:highlight w:val="none"/>
              </w:rPr>
              <w:t>：</w:t>
            </w:r>
            <w:r>
              <w:rPr>
                <w:rFonts w:hint="eastAsia" w:cs="Times New Roman"/>
                <w:color w:val="auto"/>
                <w:position w:val="0"/>
                <w:sz w:val="21"/>
                <w:szCs w:val="21"/>
                <w:highlight w:val="none"/>
                <w:lang w:val="en-US" w:eastAsia="zh-CN"/>
              </w:rPr>
              <w:t>1.091</w:t>
            </w:r>
            <w:r>
              <w:rPr>
                <w:rFonts w:hint="default" w:ascii="Times New Roman" w:hAnsi="Times New Roman" w:eastAsia="宋体" w:cs="Times New Roman"/>
                <w:bCs/>
                <w:color w:val="auto"/>
                <w:spacing w:val="0"/>
                <w:sz w:val="21"/>
                <w:szCs w:val="21"/>
                <w:highlight w:val="none"/>
              </w:rPr>
              <w:t>t/a；</w:t>
            </w:r>
            <w:r>
              <w:rPr>
                <w:rFonts w:hint="default" w:ascii="Times New Roman" w:hAnsi="Times New Roman" w:eastAsia="宋体" w:cs="Times New Roman"/>
                <w:bCs/>
                <w:color w:val="auto"/>
                <w:spacing w:val="0"/>
                <w:sz w:val="21"/>
                <w:szCs w:val="21"/>
                <w:highlight w:val="none"/>
                <w:lang w:eastAsia="zh-CN"/>
              </w:rPr>
              <w:t>NO</w:t>
            </w:r>
            <w:r>
              <w:rPr>
                <w:rFonts w:hint="default" w:ascii="Times New Roman" w:hAnsi="Times New Roman" w:eastAsia="宋体" w:cs="Times New Roman"/>
                <w:bCs/>
                <w:color w:val="auto"/>
                <w:spacing w:val="0"/>
                <w:sz w:val="21"/>
                <w:szCs w:val="21"/>
                <w:highlight w:val="none"/>
                <w:vertAlign w:val="subscript"/>
                <w:lang w:eastAsia="zh-CN"/>
              </w:rPr>
              <w:t>x</w:t>
            </w:r>
            <w:r>
              <w:rPr>
                <w:rFonts w:hint="eastAsia" w:cs="Times New Roman"/>
                <w:bCs/>
                <w:color w:val="auto"/>
                <w:spacing w:val="0"/>
                <w:sz w:val="21"/>
                <w:szCs w:val="21"/>
                <w:highlight w:val="none"/>
                <w:vertAlign w:val="baseline"/>
                <w:lang w:val="en-US" w:eastAsia="zh-CN"/>
              </w:rPr>
              <w:t>：</w:t>
            </w:r>
            <w:r>
              <w:rPr>
                <w:rFonts w:hint="eastAsia" w:cs="Times New Roman"/>
                <w:color w:val="auto"/>
                <w:position w:val="0"/>
                <w:sz w:val="21"/>
                <w:szCs w:val="21"/>
                <w:highlight w:val="none"/>
                <w:lang w:val="en-US" w:eastAsia="zh-CN"/>
              </w:rPr>
              <w:t>4.122</w:t>
            </w:r>
            <w:r>
              <w:rPr>
                <w:rFonts w:hint="default" w:ascii="Times New Roman" w:hAnsi="Times New Roman" w:eastAsia="宋体" w:cs="Times New Roman"/>
                <w:bCs/>
                <w:color w:val="auto"/>
                <w:spacing w:val="0"/>
                <w:sz w:val="21"/>
                <w:szCs w:val="21"/>
                <w:highlight w:val="none"/>
              </w:rPr>
              <w:t>t/a</w:t>
            </w:r>
            <w:r>
              <w:rPr>
                <w:rFonts w:hint="default" w:ascii="Times New Roman" w:hAnsi="Times New Roman" w:eastAsia="宋体" w:cs="Times New Roman"/>
                <w:bCs/>
                <w:color w:val="auto"/>
                <w:spacing w:val="0"/>
                <w:sz w:val="21"/>
                <w:szCs w:val="21"/>
                <w:highlight w:val="none"/>
                <w:lang w:eastAsia="zh-CN"/>
              </w:rPr>
              <w:t>。</w:t>
            </w:r>
          </w:p>
          <w:p w14:paraId="056B36F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eastAsia" w:cs="Times New Roman"/>
                <w:bCs/>
                <w:color w:val="auto"/>
                <w:kern w:val="0"/>
                <w:sz w:val="21"/>
                <w:szCs w:val="21"/>
                <w:highlight w:val="none"/>
                <w:lang w:val="en-US" w:eastAsia="zh-CN"/>
              </w:rPr>
              <w:t>3</w:t>
            </w:r>
            <w:r>
              <w:rPr>
                <w:rFonts w:hint="eastAsia" w:ascii="Times New Roman" w:hAnsi="Times New Roman" w:eastAsia="宋体" w:cs="Times New Roman"/>
                <w:bCs/>
                <w:color w:val="auto"/>
                <w:kern w:val="0"/>
                <w:sz w:val="21"/>
                <w:szCs w:val="21"/>
                <w:highlight w:val="none"/>
                <w:lang w:eastAsia="zh-CN"/>
              </w:rPr>
              <w:t>）</w:t>
            </w:r>
            <w:r>
              <w:rPr>
                <w:rFonts w:hint="eastAsia" w:cs="Times New Roman"/>
                <w:bCs/>
                <w:color w:val="auto"/>
                <w:kern w:val="0"/>
                <w:sz w:val="21"/>
                <w:szCs w:val="21"/>
                <w:highlight w:val="none"/>
                <w:lang w:eastAsia="zh-CN"/>
              </w:rPr>
              <w:t>燃烧器</w:t>
            </w:r>
            <w:r>
              <w:rPr>
                <w:rFonts w:hint="default" w:ascii="Times New Roman" w:hAnsi="Times New Roman" w:eastAsia="宋体" w:cs="Times New Roman"/>
                <w:bCs/>
                <w:color w:val="auto"/>
                <w:kern w:val="0"/>
                <w:sz w:val="21"/>
                <w:szCs w:val="21"/>
                <w:highlight w:val="none"/>
                <w:lang w:eastAsia="zh-CN"/>
              </w:rPr>
              <w:t>灰渣储运扬尘</w:t>
            </w:r>
          </w:p>
          <w:p w14:paraId="1E4B895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val="en-US" w:eastAsia="zh-CN"/>
              </w:rPr>
            </w:pPr>
            <w:r>
              <w:rPr>
                <w:rFonts w:hint="default" w:ascii="Times New Roman" w:hAnsi="Times New Roman" w:eastAsia="宋体" w:cs="Times New Roman"/>
                <w:bCs/>
                <w:color w:val="auto"/>
                <w:kern w:val="0"/>
                <w:sz w:val="21"/>
                <w:szCs w:val="21"/>
                <w:highlight w:val="none"/>
                <w:lang w:eastAsia="zh-CN"/>
              </w:rPr>
              <w:t>本项目</w:t>
            </w:r>
            <w:r>
              <w:rPr>
                <w:rFonts w:hint="eastAsia" w:cs="Times New Roman"/>
                <w:bCs/>
                <w:color w:val="auto"/>
                <w:kern w:val="0"/>
                <w:sz w:val="21"/>
                <w:szCs w:val="21"/>
                <w:highlight w:val="none"/>
                <w:lang w:eastAsia="zh-CN"/>
              </w:rPr>
              <w:t>燃烧器</w:t>
            </w:r>
            <w:r>
              <w:rPr>
                <w:rFonts w:hint="default" w:ascii="Times New Roman" w:hAnsi="Times New Roman" w:eastAsia="宋体" w:cs="Times New Roman"/>
                <w:bCs/>
                <w:color w:val="auto"/>
                <w:kern w:val="0"/>
                <w:sz w:val="21"/>
                <w:szCs w:val="21"/>
                <w:highlight w:val="none"/>
                <w:lang w:eastAsia="zh-CN"/>
              </w:rPr>
              <w:t>灰渣储存在</w:t>
            </w:r>
            <w:r>
              <w:rPr>
                <w:rFonts w:hint="eastAsia" w:cs="Times New Roman"/>
                <w:bCs/>
                <w:color w:val="auto"/>
                <w:kern w:val="0"/>
                <w:sz w:val="21"/>
                <w:szCs w:val="21"/>
                <w:highlight w:val="none"/>
                <w:lang w:val="en-US" w:eastAsia="zh-CN"/>
              </w:rPr>
              <w:t>成品库密闭灰渣间</w:t>
            </w:r>
            <w:r>
              <w:rPr>
                <w:rFonts w:hint="default" w:ascii="Times New Roman" w:hAnsi="Times New Roman" w:eastAsia="宋体" w:cs="Times New Roman"/>
                <w:bCs/>
                <w:color w:val="auto"/>
                <w:kern w:val="0"/>
                <w:sz w:val="21"/>
                <w:szCs w:val="21"/>
                <w:highlight w:val="none"/>
                <w:lang w:eastAsia="zh-CN"/>
              </w:rPr>
              <w:t>内，</w:t>
            </w:r>
            <w:r>
              <w:rPr>
                <w:rFonts w:hint="eastAsia" w:cs="Times New Roman"/>
                <w:bCs/>
                <w:color w:val="auto"/>
                <w:kern w:val="0"/>
                <w:sz w:val="21"/>
                <w:szCs w:val="21"/>
                <w:highlight w:val="none"/>
                <w:lang w:eastAsia="zh-CN"/>
              </w:rPr>
              <w:t>燃烧器</w:t>
            </w:r>
            <w:r>
              <w:rPr>
                <w:rFonts w:hint="default" w:ascii="Times New Roman" w:hAnsi="Times New Roman" w:eastAsia="宋体" w:cs="Times New Roman"/>
                <w:bCs/>
                <w:color w:val="auto"/>
                <w:kern w:val="0"/>
                <w:sz w:val="21"/>
                <w:szCs w:val="21"/>
                <w:highlight w:val="none"/>
                <w:lang w:eastAsia="zh-CN"/>
              </w:rPr>
              <w:t>灰渣每</w:t>
            </w:r>
            <w:r>
              <w:rPr>
                <w:rFonts w:hint="eastAsia" w:cs="Times New Roman"/>
                <w:bCs/>
                <w:color w:val="auto"/>
                <w:kern w:val="0"/>
                <w:sz w:val="21"/>
                <w:szCs w:val="21"/>
                <w:highlight w:val="none"/>
                <w:lang w:val="en-US" w:eastAsia="zh-CN"/>
              </w:rPr>
              <w:t>5</w:t>
            </w:r>
            <w:r>
              <w:rPr>
                <w:rFonts w:hint="default" w:ascii="Times New Roman" w:hAnsi="Times New Roman" w:eastAsia="宋体" w:cs="Times New Roman"/>
                <w:bCs/>
                <w:color w:val="auto"/>
                <w:kern w:val="0"/>
                <w:sz w:val="21"/>
                <w:szCs w:val="21"/>
                <w:highlight w:val="none"/>
                <w:lang w:eastAsia="zh-CN"/>
              </w:rPr>
              <w:t>天外运1次。</w:t>
            </w:r>
            <w:r>
              <w:rPr>
                <w:rFonts w:hint="eastAsia" w:cs="Times New Roman"/>
                <w:bCs/>
                <w:color w:val="auto"/>
                <w:kern w:val="0"/>
                <w:sz w:val="21"/>
                <w:szCs w:val="21"/>
                <w:highlight w:val="none"/>
                <w:lang w:eastAsia="zh-CN"/>
              </w:rPr>
              <w:t>燃烧器</w:t>
            </w:r>
            <w:r>
              <w:rPr>
                <w:rFonts w:hint="default" w:ascii="Times New Roman" w:hAnsi="Times New Roman" w:eastAsia="宋体" w:cs="Times New Roman"/>
                <w:bCs/>
                <w:color w:val="auto"/>
                <w:kern w:val="0"/>
                <w:sz w:val="21"/>
                <w:szCs w:val="21"/>
                <w:highlight w:val="none"/>
                <w:lang w:eastAsia="zh-CN"/>
              </w:rPr>
              <w:t>灰渣储存及外运过程将产生扬尘，对灰渣暂存位置、灰渣装运过程采取洒水降尘措施，可有效控制扬尘污染。</w:t>
            </w:r>
            <w:r>
              <w:rPr>
                <w:rFonts w:hint="eastAsia" w:cs="Times New Roman"/>
                <w:bCs/>
                <w:color w:val="auto"/>
                <w:kern w:val="0"/>
                <w:sz w:val="21"/>
                <w:szCs w:val="21"/>
                <w:highlight w:val="none"/>
                <w:lang w:val="en-US" w:eastAsia="zh-CN"/>
              </w:rPr>
              <w:t>燃烧器</w:t>
            </w:r>
            <w:r>
              <w:rPr>
                <w:rFonts w:hint="eastAsia" w:ascii="Times New Roman" w:hAnsi="Times New Roman" w:eastAsia="宋体" w:cs="Times New Roman"/>
                <w:bCs/>
                <w:color w:val="auto"/>
                <w:kern w:val="0"/>
                <w:sz w:val="21"/>
                <w:szCs w:val="21"/>
                <w:highlight w:val="none"/>
                <w:lang w:val="en-US" w:eastAsia="zh-CN"/>
              </w:rPr>
              <w:t>燃料为</w:t>
            </w:r>
            <w:r>
              <w:rPr>
                <w:rFonts w:hint="default" w:ascii="Times New Roman" w:hAnsi="Times New Roman"/>
                <w:color w:val="auto"/>
                <w:sz w:val="21"/>
                <w:szCs w:val="21"/>
                <w:highlight w:val="none"/>
              </w:rPr>
              <w:t>本项目自产的</w:t>
            </w:r>
            <w:r>
              <w:rPr>
                <w:rFonts w:hint="eastAsia" w:ascii="Times New Roman" w:hAnsi="Times New Roman" w:eastAsia="宋体" w:cs="Times New Roman"/>
                <w:bCs/>
                <w:color w:val="auto"/>
                <w:kern w:val="0"/>
                <w:sz w:val="21"/>
                <w:szCs w:val="21"/>
                <w:highlight w:val="none"/>
                <w:lang w:val="en-US" w:eastAsia="zh-CN"/>
              </w:rPr>
              <w:t>生物质燃料。</w:t>
            </w:r>
          </w:p>
          <w:p w14:paraId="6F7A7DBB">
            <w:pPr>
              <w:pStyle w:val="15"/>
              <w:keepNext w:val="0"/>
              <w:keepLines w:val="0"/>
              <w:pageBreakBefore w:val="0"/>
              <w:widowControl/>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20" w:firstLineChars="200"/>
              <w:textAlignment w:val="auto"/>
              <w:rPr>
                <w:rFonts w:hint="default"/>
                <w:color w:val="auto"/>
                <w:sz w:val="21"/>
                <w:szCs w:val="21"/>
                <w:highlight w:val="none"/>
              </w:rPr>
            </w:pPr>
            <w:r>
              <w:rPr>
                <w:rFonts w:hint="eastAsia" w:cs="Times New Roman"/>
                <w:bCs/>
                <w:color w:val="auto"/>
                <w:sz w:val="21"/>
                <w:szCs w:val="21"/>
                <w:highlight w:val="none"/>
                <w:lang w:val="en-US" w:eastAsia="zh-CN"/>
              </w:rPr>
              <w:t>4</w:t>
            </w:r>
            <w:r>
              <w:rPr>
                <w:rFonts w:hint="default" w:ascii="Times New Roman" w:hAnsi="Times New Roman" w:cs="Times New Roman"/>
                <w:bCs/>
                <w:color w:val="auto"/>
                <w:sz w:val="21"/>
                <w:szCs w:val="21"/>
                <w:highlight w:val="none"/>
                <w:lang w:val="en-US" w:eastAsia="zh-CN"/>
              </w:rPr>
              <w:t>）</w:t>
            </w:r>
            <w:r>
              <w:rPr>
                <w:rFonts w:hint="eastAsia"/>
                <w:color w:val="auto"/>
                <w:sz w:val="21"/>
                <w:szCs w:val="21"/>
                <w:highlight w:val="none"/>
              </w:rPr>
              <w:t>汞及其化合物</w:t>
            </w:r>
          </w:p>
          <w:p w14:paraId="7124BE36">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lang w:eastAsia="zh-CN"/>
              </w:rPr>
            </w:pPr>
            <w:r>
              <w:rPr>
                <w:rFonts w:hint="default"/>
                <w:color w:val="auto"/>
                <w:sz w:val="21"/>
                <w:szCs w:val="21"/>
                <w:highlight w:val="none"/>
              </w:rPr>
              <w:t>生物质分析报告中未体现汞含量，根据《直接法测定固体生物质燃料中汞的试验研究》（煤质技术，2020年）可知，生物质汞含量为15.47ng/g。故，由于生物质</w:t>
            </w:r>
            <w:r>
              <w:rPr>
                <w:rFonts w:hint="eastAsia"/>
                <w:color w:val="auto"/>
                <w:sz w:val="21"/>
                <w:szCs w:val="21"/>
                <w:highlight w:val="none"/>
                <w:lang w:val="en-US" w:eastAsia="zh-CN"/>
              </w:rPr>
              <w:t>燃料</w:t>
            </w:r>
            <w:r>
              <w:rPr>
                <w:rFonts w:hint="default"/>
                <w:color w:val="auto"/>
                <w:sz w:val="21"/>
                <w:szCs w:val="21"/>
                <w:highlight w:val="none"/>
              </w:rPr>
              <w:t>汞含量低的特点，本项目暂不考虑汞的排放。</w:t>
            </w:r>
          </w:p>
          <w:p w14:paraId="787DFE8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Cs/>
                <w:color w:val="auto"/>
                <w:kern w:val="0"/>
                <w:sz w:val="21"/>
                <w:szCs w:val="21"/>
                <w:highlight w:val="none"/>
                <w:lang w:eastAsia="zh-CN"/>
              </w:rPr>
            </w:pPr>
            <w:r>
              <w:rPr>
                <w:rFonts w:hint="eastAsia" w:cs="Times New Roman"/>
                <w:bCs/>
                <w:color w:val="auto"/>
                <w:kern w:val="0"/>
                <w:sz w:val="21"/>
                <w:szCs w:val="21"/>
                <w:highlight w:val="none"/>
                <w:lang w:val="en-US" w:eastAsia="zh-CN"/>
              </w:rPr>
              <w:t>5</w:t>
            </w:r>
            <w:r>
              <w:rPr>
                <w:rFonts w:hint="eastAsia" w:ascii="Times New Roman" w:hAnsi="Times New Roman" w:eastAsia="宋体" w:cs="Times New Roman"/>
                <w:bCs/>
                <w:color w:val="auto"/>
                <w:kern w:val="0"/>
                <w:sz w:val="21"/>
                <w:szCs w:val="21"/>
                <w:highlight w:val="none"/>
                <w:lang w:eastAsia="zh-CN"/>
              </w:rPr>
              <w:t>）原料</w:t>
            </w:r>
            <w:r>
              <w:rPr>
                <w:rFonts w:hint="default" w:ascii="Times New Roman" w:hAnsi="Times New Roman" w:eastAsia="宋体" w:cs="Times New Roman"/>
                <w:bCs/>
                <w:color w:val="auto"/>
                <w:kern w:val="0"/>
                <w:sz w:val="21"/>
                <w:szCs w:val="21"/>
                <w:highlight w:val="none"/>
                <w:lang w:eastAsia="zh-CN"/>
              </w:rPr>
              <w:t>装卸</w:t>
            </w:r>
            <w:r>
              <w:rPr>
                <w:rFonts w:hint="eastAsia" w:cs="Times New Roman"/>
                <w:bCs/>
                <w:color w:val="auto"/>
                <w:kern w:val="0"/>
                <w:sz w:val="21"/>
                <w:szCs w:val="21"/>
                <w:highlight w:val="none"/>
                <w:lang w:val="en-US" w:eastAsia="zh-CN"/>
              </w:rPr>
              <w:t>储存</w:t>
            </w:r>
            <w:r>
              <w:rPr>
                <w:rFonts w:hint="default" w:ascii="Times New Roman" w:hAnsi="Times New Roman" w:eastAsia="宋体" w:cs="Times New Roman"/>
                <w:bCs/>
                <w:color w:val="auto"/>
                <w:kern w:val="0"/>
                <w:sz w:val="21"/>
                <w:szCs w:val="21"/>
                <w:highlight w:val="none"/>
                <w:lang w:eastAsia="zh-CN"/>
              </w:rPr>
              <w:t>粉尘</w:t>
            </w:r>
          </w:p>
          <w:p w14:paraId="47676B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color w:val="auto"/>
              </w:rPr>
            </w:pPr>
            <w:r>
              <w:rPr>
                <w:rFonts w:hint="default" w:ascii="Times New Roman" w:hAnsi="Times New Roman"/>
                <w:color w:val="auto"/>
                <w:szCs w:val="21"/>
                <w:highlight w:val="none"/>
              </w:rPr>
              <w:t>本项目的原料主要为</w:t>
            </w:r>
            <w:r>
              <w:rPr>
                <w:rFonts w:hint="eastAsia" w:cs="Times New Roman"/>
                <w:color w:val="auto"/>
                <w:sz w:val="21"/>
                <w:szCs w:val="21"/>
                <w:highlight w:val="none"/>
                <w:lang w:val="en-US" w:eastAsia="zh-CN"/>
              </w:rPr>
              <w:t>玉米芯（含水率</w:t>
            </w:r>
            <w:r>
              <w:rPr>
                <w:rFonts w:hint="eastAsia" w:ascii="Times New Roman" w:hAnsi="Times New Roman" w:cs="Times New Roman"/>
                <w:color w:val="auto"/>
                <w:sz w:val="21"/>
                <w:szCs w:val="21"/>
                <w:highlight w:val="none"/>
                <w:lang w:val="en-US" w:eastAsia="zh-CN"/>
              </w:rPr>
              <w:t>60%</w:t>
            </w:r>
            <w:r>
              <w:rPr>
                <w:rFonts w:hint="eastAsia" w:cs="Times New Roman"/>
                <w:color w:val="auto"/>
                <w:sz w:val="21"/>
                <w:szCs w:val="21"/>
                <w:highlight w:val="none"/>
                <w:lang w:val="en-US" w:eastAsia="zh-CN"/>
              </w:rPr>
              <w:t>）、秸秆（含水率50%)、菌渣（含水率60%）、木头（含水率</w:t>
            </w:r>
            <w:r>
              <w:rPr>
                <w:rFonts w:hint="eastAsia" w:ascii="Times New Roman" w:hAnsi="Times New Roman" w:cs="Times New Roman"/>
                <w:color w:val="auto"/>
                <w:sz w:val="21"/>
                <w:szCs w:val="21"/>
                <w:highlight w:val="none"/>
                <w:lang w:val="en-US" w:eastAsia="zh-CN"/>
              </w:rPr>
              <w:t>40%</w:t>
            </w:r>
            <w:r>
              <w:rPr>
                <w:rFonts w:hint="eastAsia" w:cs="Times New Roman"/>
                <w:color w:val="auto"/>
                <w:sz w:val="21"/>
                <w:szCs w:val="21"/>
                <w:highlight w:val="none"/>
                <w:lang w:val="en-US" w:eastAsia="zh-CN"/>
              </w:rPr>
              <w:t>）</w:t>
            </w:r>
            <w:r>
              <w:rPr>
                <w:rFonts w:hint="default" w:ascii="Times New Roman" w:hAnsi="Times New Roman"/>
                <w:color w:val="auto"/>
                <w:szCs w:val="21"/>
                <w:highlight w:val="none"/>
              </w:rPr>
              <w:t>，由于原料含水率较高，</w:t>
            </w:r>
            <w:r>
              <w:rPr>
                <w:rFonts w:hint="eastAsia" w:ascii="Times New Roman" w:hAnsi="Times New Roman" w:eastAsia="宋体"/>
                <w:color w:val="auto"/>
                <w:szCs w:val="21"/>
                <w:highlight w:val="none"/>
                <w:lang w:val="en-US" w:eastAsia="zh-CN"/>
              </w:rPr>
              <w:t>原料堆场四周设置2m高围挡，原料上方采取苫布遮盖，</w:t>
            </w:r>
            <w:r>
              <w:rPr>
                <w:rFonts w:hint="eastAsia"/>
                <w:color w:val="auto"/>
                <w:szCs w:val="21"/>
                <w:highlight w:val="none"/>
                <w:lang w:val="en-US" w:eastAsia="zh-CN"/>
              </w:rPr>
              <w:t>储存过程扬尘产生量较小</w:t>
            </w:r>
            <w:r>
              <w:rPr>
                <w:rFonts w:hint="eastAsia" w:eastAsia="宋体"/>
                <w:color w:val="auto"/>
                <w:szCs w:val="21"/>
                <w:highlight w:val="none"/>
                <w:lang w:val="en-US" w:eastAsia="zh-CN"/>
              </w:rPr>
              <w:t>，本次评价不做定量分析</w:t>
            </w:r>
            <w:r>
              <w:rPr>
                <w:rFonts w:hint="eastAsia"/>
                <w:color w:val="auto"/>
                <w:szCs w:val="21"/>
                <w:highlight w:val="none"/>
                <w:lang w:val="en-US" w:eastAsia="zh-CN"/>
              </w:rPr>
              <w:t>，主要为装卸过程产生的扬尘，参考本次参考《排放源统计调查产排污核算方法和系数手册》附表2固体物料堆存颗粒物产排污核算系数手册，工业企业固体物料堆存装卸场尘产生量核算公式如下：</w:t>
            </w:r>
            <w:r>
              <w:rPr>
                <w:rFonts w:hint="default"/>
                <w:color w:val="auto"/>
              </w:rPr>
              <w:drawing>
                <wp:inline distT="0" distB="0" distL="114300" distR="114300">
                  <wp:extent cx="4038600" cy="342900"/>
                  <wp:effectExtent l="0" t="0" r="0" b="0"/>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20"/>
                          <a:stretch>
                            <a:fillRect/>
                          </a:stretch>
                        </pic:blipFill>
                        <pic:spPr>
                          <a:xfrm>
                            <a:off x="0" y="0"/>
                            <a:ext cx="4038600" cy="342900"/>
                          </a:xfrm>
                          <a:prstGeom prst="rect">
                            <a:avLst/>
                          </a:prstGeom>
                          <a:noFill/>
                          <a:ln>
                            <a:noFill/>
                          </a:ln>
                        </pic:spPr>
                      </pic:pic>
                    </a:graphicData>
                  </a:graphic>
                </wp:inline>
              </w:drawing>
            </w:r>
          </w:p>
          <w:p w14:paraId="098D33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840" w:firstLineChars="4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式中：P指颗粒物产生量（单位：吨）；</w:t>
            </w:r>
          </w:p>
          <w:p w14:paraId="6362373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840" w:firstLineChars="4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ZCy指装卸扬尘产生量（单位：吨）；</w:t>
            </w:r>
          </w:p>
          <w:p w14:paraId="122B54B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840" w:firstLineChars="4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Nc指年物料运载车次（单位：车）；</w:t>
            </w:r>
          </w:p>
          <w:p w14:paraId="68F038C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840" w:firstLineChars="4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D指单车平均运载量（单位：吨/车）；</w:t>
            </w:r>
          </w:p>
          <w:p w14:paraId="2A56704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840" w:firstLineChars="4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r>
              <w:rPr>
                <w:rFonts w:hint="default" w:ascii="Times New Roman" w:hAnsi="Times New Roman" w:eastAsia="宋体" w:cs="Times New Roman"/>
                <w:color w:val="auto"/>
                <w:sz w:val="21"/>
                <w:szCs w:val="21"/>
                <w:lang w:val="en-US" w:eastAsia="zh-CN"/>
              </w:rPr>
              <w:t>a/b</w:t>
            </w:r>
            <w:r>
              <w:rPr>
                <w:rFonts w:hint="default" w:ascii="Times New Roman" w:hAnsi="Times New Roman" w:eastAsia="宋体" w:cs="Times New Roman"/>
                <w:color w:val="auto"/>
                <w:sz w:val="21"/>
                <w:szCs w:val="21"/>
              </w:rPr>
              <w:t>)指装卸扬尘概化系数（单位：千克/吨），a指各 省风速概化系数，见附录 1，b指物料含水率概化系数，</w:t>
            </w:r>
            <w:r>
              <w:rPr>
                <w:rFonts w:hint="eastAsia" w:ascii="Times New Roman" w:hAnsi="Times New Roman" w:eastAsia="宋体" w:cs="Times New Roman"/>
                <w:color w:val="auto"/>
                <w:sz w:val="21"/>
                <w:szCs w:val="21"/>
                <w:lang w:eastAsia="zh-CN"/>
              </w:rPr>
              <w:t>根据</w:t>
            </w:r>
            <w:r>
              <w:rPr>
                <w:rFonts w:hint="default" w:ascii="Times New Roman" w:hAnsi="Times New Roman" w:eastAsia="宋体" w:cs="Times New Roman"/>
                <w:color w:val="auto"/>
                <w:sz w:val="21"/>
                <w:szCs w:val="21"/>
              </w:rPr>
              <w:t>附录</w:t>
            </w:r>
            <w:r>
              <w:rPr>
                <w:rFonts w:hint="eastAsia" w:ascii="Times New Roman" w:hAnsi="Times New Roman" w:eastAsia="宋体" w:cs="Times New Roman"/>
                <w:color w:val="auto"/>
                <w:sz w:val="21"/>
                <w:szCs w:val="21"/>
                <w:lang w:val="en-US" w:eastAsia="zh-CN"/>
              </w:rPr>
              <w:t>1</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a取0.0015，根据附录2，因无本项目堆存物料类型，参考表土物料类型取0.0151</w:t>
            </w:r>
            <w:r>
              <w:rPr>
                <w:rFonts w:hint="default" w:ascii="Times New Roman" w:hAnsi="Times New Roman" w:eastAsia="宋体" w:cs="Times New Roman"/>
                <w:color w:val="auto"/>
                <w:sz w:val="21"/>
                <w:szCs w:val="21"/>
              </w:rPr>
              <w:t>；</w:t>
            </w:r>
          </w:p>
          <w:p w14:paraId="7C93E4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Cs w:val="21"/>
                <w:highlight w:val="none"/>
                <w:lang w:val="en-US" w:eastAsia="zh-CN"/>
              </w:rPr>
            </w:pPr>
            <w:r>
              <w:rPr>
                <w:rFonts w:hint="eastAsia" w:ascii="Times New Roman" w:hAnsi="Times New Roman" w:eastAsia="宋体" w:cs="Times New Roman"/>
                <w:color w:val="auto"/>
                <w:sz w:val="21"/>
                <w:szCs w:val="21"/>
                <w:lang w:val="en-US" w:eastAsia="zh-CN"/>
              </w:rPr>
              <w:t>则本项目装卸过程颗粒物产生量为4.234t/a。堆场四周设置围挡，属于半敞开式，装卸过程采取洒水降尘措施，根据附录4、附录5，洒水降尘措施控制效率取74%，半敞开式堆场颗粒物控制效率取60%，则本项目装卸过程颗粒物排放量为0.44t/a，0.21kg/h。</w:t>
            </w:r>
          </w:p>
          <w:p w14:paraId="6161198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eastAsia" w:cs="Times New Roman"/>
                <w:bCs/>
                <w:color w:val="auto"/>
                <w:kern w:val="0"/>
                <w:sz w:val="21"/>
                <w:szCs w:val="21"/>
                <w:highlight w:val="none"/>
                <w:lang w:val="en-US" w:eastAsia="zh-CN"/>
              </w:rPr>
              <w:t>6</w:t>
            </w:r>
            <w:r>
              <w:rPr>
                <w:rFonts w:hint="eastAsia" w:cs="Times New Roman"/>
                <w:bCs/>
                <w:color w:val="auto"/>
                <w:kern w:val="0"/>
                <w:sz w:val="21"/>
                <w:szCs w:val="21"/>
                <w:highlight w:val="none"/>
                <w:lang w:eastAsia="zh-CN"/>
              </w:rPr>
              <w:t>）</w:t>
            </w:r>
            <w:r>
              <w:rPr>
                <w:rFonts w:hint="eastAsia" w:cs="Times New Roman"/>
                <w:bCs/>
                <w:color w:val="auto"/>
                <w:kern w:val="0"/>
                <w:sz w:val="21"/>
                <w:szCs w:val="21"/>
                <w:highlight w:val="none"/>
                <w:lang w:val="en-US" w:eastAsia="zh-CN"/>
              </w:rPr>
              <w:t>生产车间</w:t>
            </w:r>
            <w:r>
              <w:rPr>
                <w:rFonts w:hint="eastAsia" w:cs="Times New Roman"/>
                <w:bCs/>
                <w:color w:val="auto"/>
                <w:kern w:val="0"/>
                <w:sz w:val="21"/>
                <w:szCs w:val="21"/>
                <w:highlight w:val="none"/>
                <w:lang w:eastAsia="zh-CN"/>
              </w:rPr>
              <w:t>粗破、粉碎、造粒粉尘</w:t>
            </w:r>
          </w:p>
          <w:p w14:paraId="1F7FE47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① 1号生产车间</w:t>
            </w:r>
          </w:p>
          <w:p w14:paraId="78A869B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bCs/>
                <w:color w:val="auto"/>
                <w:kern w:val="0"/>
                <w:sz w:val="21"/>
                <w:szCs w:val="21"/>
                <w:highlight w:val="none"/>
                <w:lang w:eastAsia="zh-CN"/>
              </w:rPr>
            </w:pPr>
            <w:r>
              <w:rPr>
                <w:rFonts w:hint="eastAsia" w:cs="Times New Roman"/>
                <w:color w:val="auto"/>
                <w:sz w:val="21"/>
                <w:szCs w:val="21"/>
                <w:highlight w:val="none"/>
                <w:lang w:val="en-US" w:eastAsia="zh-CN"/>
              </w:rPr>
              <w:t>1号生产车间</w:t>
            </w:r>
            <w:r>
              <w:rPr>
                <w:rFonts w:hint="default" w:ascii="Times New Roman" w:hAnsi="Times New Roman" w:eastAsia="宋体" w:cs="Times New Roman"/>
                <w:color w:val="auto"/>
                <w:sz w:val="21"/>
                <w:szCs w:val="21"/>
                <w:highlight w:val="none"/>
                <w:lang w:val="en-US" w:eastAsia="zh-CN"/>
              </w:rPr>
              <w:t>产生</w:t>
            </w:r>
            <w:r>
              <w:rPr>
                <w:rFonts w:hint="eastAsia" w:cs="Times New Roman"/>
                <w:color w:val="auto"/>
                <w:sz w:val="21"/>
                <w:szCs w:val="21"/>
                <w:highlight w:val="none"/>
                <w:lang w:val="en-US" w:eastAsia="zh-CN"/>
              </w:rPr>
              <w:t>的</w:t>
            </w:r>
            <w:r>
              <w:rPr>
                <w:rFonts w:hint="default" w:ascii="Times New Roman" w:hAnsi="Times New Roman" w:eastAsia="宋体" w:cs="Times New Roman"/>
                <w:color w:val="auto"/>
                <w:sz w:val="21"/>
                <w:szCs w:val="21"/>
                <w:highlight w:val="none"/>
                <w:lang w:val="en-US" w:eastAsia="zh-CN"/>
              </w:rPr>
              <w:t>颗粒物</w:t>
            </w:r>
            <w:r>
              <w:rPr>
                <w:rFonts w:hint="default" w:ascii="Times New Roman" w:hAnsi="Times New Roman" w:eastAsia="宋体" w:cs="Times New Roman"/>
                <w:color w:val="auto"/>
                <w:kern w:val="0"/>
                <w:sz w:val="21"/>
                <w:szCs w:val="21"/>
                <w:highlight w:val="none"/>
                <w:lang w:val="en-US" w:eastAsia="zh-CN" w:bidi="ar"/>
              </w:rPr>
              <w:t>根据《排放源统计调查产排核算方法和系数手册》（生态环境部公告2021年第24号）中2542生物质致密成型燃料加工行业系数手册，剪切、破碎、筛分、造粒工序颗粒物产生量为6.69×10</w:t>
            </w:r>
            <w:r>
              <w:rPr>
                <w:rFonts w:hint="default" w:ascii="Times New Roman" w:hAnsi="Times New Roman" w:eastAsia="宋体" w:cs="Times New Roman"/>
                <w:color w:val="auto"/>
                <w:kern w:val="0"/>
                <w:sz w:val="21"/>
                <w:szCs w:val="21"/>
                <w:highlight w:val="none"/>
                <w:vertAlign w:val="superscript"/>
                <w:lang w:val="en-US" w:eastAsia="zh-CN" w:bidi="ar"/>
              </w:rPr>
              <w:t>-4</w:t>
            </w:r>
            <w:r>
              <w:rPr>
                <w:rFonts w:hint="default" w:ascii="Times New Roman" w:hAnsi="Times New Roman" w:eastAsia="宋体" w:cs="Times New Roman"/>
                <w:color w:val="auto"/>
                <w:kern w:val="0"/>
                <w:sz w:val="21"/>
                <w:szCs w:val="21"/>
                <w:highlight w:val="none"/>
                <w:lang w:val="en-US" w:eastAsia="zh-CN" w:bidi="ar"/>
              </w:rPr>
              <w:t xml:space="preserve"> t/t 产品</w:t>
            </w:r>
            <w:r>
              <w:rPr>
                <w:rFonts w:hint="default" w:ascii="Times New Roman" w:hAnsi="Times New Roman" w:cs="Times New Roman"/>
                <w:color w:val="auto"/>
                <w:sz w:val="21"/>
                <w:szCs w:val="21"/>
                <w:highlight w:val="none"/>
              </w:rPr>
              <w:t>，本项目</w:t>
            </w:r>
            <w:r>
              <w:rPr>
                <w:rFonts w:hint="eastAsia" w:cs="Times New Roman"/>
                <w:color w:val="auto"/>
                <w:sz w:val="21"/>
                <w:szCs w:val="21"/>
                <w:highlight w:val="none"/>
                <w:lang w:val="en-US" w:eastAsia="zh-CN"/>
              </w:rPr>
              <w:t>1号生产车间年产生物质颗粒10000t/a，</w:t>
            </w:r>
            <w:r>
              <w:rPr>
                <w:rFonts w:hint="default" w:ascii="Times New Roman" w:hAnsi="Times New Roman" w:cs="Times New Roman"/>
                <w:color w:val="auto"/>
                <w:sz w:val="21"/>
                <w:szCs w:val="21"/>
                <w:highlight w:val="none"/>
              </w:rPr>
              <w:t>则颗粒物产生量为</w:t>
            </w:r>
            <w:r>
              <w:rPr>
                <w:rFonts w:hint="eastAsia" w:cs="Times New Roman"/>
                <w:color w:val="auto"/>
                <w:sz w:val="21"/>
                <w:szCs w:val="21"/>
                <w:highlight w:val="none"/>
                <w:lang w:val="en-US" w:eastAsia="zh-CN"/>
              </w:rPr>
              <w:t>6.69</w:t>
            </w:r>
            <w:r>
              <w:rPr>
                <w:rFonts w:hint="default" w:ascii="Times New Roman" w:hAnsi="Times New Roman" w:cs="Times New Roman"/>
                <w:color w:val="auto"/>
                <w:sz w:val="21"/>
                <w:szCs w:val="21"/>
                <w:highlight w:val="none"/>
              </w:rPr>
              <w:t>t/a、</w:t>
            </w:r>
            <w:r>
              <w:rPr>
                <w:rFonts w:hint="eastAsia" w:cs="Times New Roman"/>
                <w:color w:val="auto"/>
                <w:sz w:val="21"/>
                <w:szCs w:val="21"/>
                <w:highlight w:val="none"/>
                <w:lang w:val="en-US" w:eastAsia="zh-CN"/>
              </w:rPr>
              <w:t>1.115</w:t>
            </w:r>
            <w:r>
              <w:rPr>
                <w:rFonts w:hint="default" w:ascii="Times New Roman" w:hAnsi="Times New Roman" w:cs="Times New Roman"/>
                <w:color w:val="auto"/>
                <w:sz w:val="21"/>
                <w:szCs w:val="21"/>
                <w:highlight w:val="none"/>
              </w:rPr>
              <w:t>kg/h。</w:t>
            </w:r>
            <w:r>
              <w:rPr>
                <w:rFonts w:hint="eastAsia" w:cs="Times New Roman"/>
                <w:color w:val="auto"/>
                <w:sz w:val="21"/>
                <w:szCs w:val="21"/>
                <w:highlight w:val="none"/>
                <w:lang w:eastAsia="zh-CN"/>
              </w:rPr>
              <w:t>粗破、破碎、造粒</w:t>
            </w:r>
            <w:r>
              <w:rPr>
                <w:rFonts w:hint="eastAsia" w:cs="Times New Roman"/>
                <w:color w:val="auto"/>
                <w:sz w:val="21"/>
                <w:szCs w:val="21"/>
                <w:highlight w:val="none"/>
                <w:lang w:val="en-US" w:eastAsia="zh-CN"/>
              </w:rPr>
              <w:t>工序</w:t>
            </w:r>
            <w:r>
              <w:rPr>
                <w:rFonts w:hint="default" w:ascii="Times New Roman" w:hAnsi="Times New Roman" w:cs="Times New Roman"/>
                <w:color w:val="auto"/>
                <w:sz w:val="21"/>
                <w:szCs w:val="21"/>
                <w:highlight w:val="none"/>
              </w:rPr>
              <w:t>产尘部位</w:t>
            </w:r>
            <w:r>
              <w:rPr>
                <w:rFonts w:hint="eastAsia" w:cs="Times New Roman"/>
                <w:color w:val="auto"/>
                <w:sz w:val="21"/>
                <w:szCs w:val="21"/>
                <w:highlight w:val="none"/>
                <w:lang w:eastAsia="zh-CN"/>
              </w:rPr>
              <w:t>分别</w:t>
            </w:r>
            <w:r>
              <w:rPr>
                <w:rFonts w:hint="default" w:ascii="Times New Roman" w:hAnsi="Times New Roman" w:cs="Times New Roman"/>
                <w:color w:val="auto"/>
                <w:sz w:val="21"/>
                <w:szCs w:val="21"/>
                <w:highlight w:val="none"/>
                <w:lang w:val="zh-TW"/>
              </w:rPr>
              <w:t>设置集尘装置（</w:t>
            </w:r>
            <w:r>
              <w:rPr>
                <w:rFonts w:hint="default" w:ascii="Times New Roman" w:hAnsi="Times New Roman" w:cs="Times New Roman"/>
                <w:color w:val="auto"/>
                <w:sz w:val="21"/>
                <w:szCs w:val="21"/>
                <w:highlight w:val="none"/>
              </w:rPr>
              <w:t>收集效率9</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zh-TW"/>
              </w:rPr>
              <w:t>），</w:t>
            </w:r>
            <w:r>
              <w:rPr>
                <w:rFonts w:hint="default" w:ascii="Times New Roman" w:hAnsi="Times New Roman" w:cs="Times New Roman"/>
                <w:color w:val="auto"/>
                <w:sz w:val="21"/>
                <w:szCs w:val="21"/>
                <w:highlight w:val="none"/>
              </w:rPr>
              <w:t>收集</w:t>
            </w:r>
            <w:r>
              <w:rPr>
                <w:rFonts w:hint="default" w:ascii="Times New Roman" w:hAnsi="Times New Roman" w:cs="Times New Roman"/>
                <w:color w:val="auto"/>
                <w:sz w:val="21"/>
                <w:szCs w:val="21"/>
                <w:highlight w:val="none"/>
                <w:lang w:val="zh-TW"/>
              </w:rPr>
              <w:t>的废气经布袋除尘器处理后，经</w:t>
            </w:r>
            <w:r>
              <w:rPr>
                <w:rFonts w:hint="eastAsia" w:ascii="Times New Roman" w:hAnsi="Times New Roman" w:cs="Times New Roman"/>
                <w:color w:val="auto"/>
                <w:sz w:val="21"/>
                <w:szCs w:val="21"/>
                <w:highlight w:val="none"/>
                <w:lang w:val="en-US" w:eastAsia="zh-CN"/>
              </w:rPr>
              <w:t>1</w:t>
            </w:r>
            <w:r>
              <w:rPr>
                <w:rFonts w:hint="default" w:ascii="Times New Roman" w:hAnsi="Times New Roman" w:cs="Times New Roman"/>
                <w:color w:val="auto"/>
                <w:sz w:val="21"/>
                <w:szCs w:val="21"/>
                <w:highlight w:val="none"/>
                <w:lang w:val="en-US" w:eastAsia="zh-CN"/>
              </w:rPr>
              <w:t>根</w:t>
            </w:r>
            <w:r>
              <w:rPr>
                <w:rFonts w:hint="default" w:ascii="Times New Roman" w:hAnsi="Times New Roman" w:cs="Times New Roman"/>
                <w:color w:val="auto"/>
                <w:sz w:val="21"/>
                <w:szCs w:val="21"/>
                <w:highlight w:val="none"/>
                <w:lang w:val="zh-TW"/>
              </w:rPr>
              <w:t>15米高排气筒</w:t>
            </w:r>
            <w:r>
              <w:rPr>
                <w:rFonts w:hint="default" w:ascii="Times New Roman" w:hAnsi="Times New Roman" w:cs="Times New Roman"/>
                <w:color w:val="auto"/>
                <w:sz w:val="21"/>
                <w:szCs w:val="21"/>
                <w:highlight w:val="none"/>
                <w:lang w:val="zh-TW" w:eastAsia="zh-CN"/>
              </w:rPr>
              <w:t>（</w:t>
            </w:r>
            <w:r>
              <w:rPr>
                <w:rFonts w:hint="eastAsia" w:cs="Times New Roman"/>
                <w:color w:val="auto"/>
                <w:sz w:val="21"/>
                <w:szCs w:val="21"/>
                <w:highlight w:val="none"/>
                <w:lang w:val="en-US" w:eastAsia="zh-CN"/>
              </w:rPr>
              <w:t>DA002</w:t>
            </w:r>
            <w:r>
              <w:rPr>
                <w:rFonts w:hint="default" w:ascii="Times New Roman" w:hAnsi="Times New Roman" w:cs="Times New Roman"/>
                <w:color w:val="auto"/>
                <w:sz w:val="21"/>
                <w:szCs w:val="21"/>
                <w:highlight w:val="none"/>
                <w:lang w:val="zh-TW" w:eastAsia="zh-CN"/>
              </w:rPr>
              <w:t>）</w:t>
            </w:r>
            <w:r>
              <w:rPr>
                <w:rFonts w:hint="default" w:ascii="Times New Roman" w:hAnsi="Times New Roman" w:cs="Times New Roman"/>
                <w:color w:val="auto"/>
                <w:sz w:val="21"/>
                <w:szCs w:val="21"/>
                <w:highlight w:val="none"/>
                <w:lang w:val="zh-TW"/>
              </w:rPr>
              <w:t>排放（除尘效率9</w:t>
            </w: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zh-TW"/>
              </w:rPr>
              <w:t>%，风机风量</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000</w:t>
            </w:r>
            <w:r>
              <w:rPr>
                <w:rFonts w:hint="default" w:ascii="Times New Roman" w:hAnsi="Times New Roman" w:cs="Times New Roman"/>
                <w:color w:val="auto"/>
                <w:sz w:val="21"/>
                <w:szCs w:val="21"/>
                <w:highlight w:val="none"/>
                <w:lang w:val="zh-TW"/>
              </w:rPr>
              <w:t>m</w:t>
            </w:r>
            <w:r>
              <w:rPr>
                <w:rFonts w:hint="default" w:ascii="Times New Roman" w:hAnsi="Times New Roman" w:cs="Times New Roman"/>
                <w:color w:val="auto"/>
                <w:sz w:val="21"/>
                <w:szCs w:val="21"/>
                <w:highlight w:val="none"/>
                <w:vertAlign w:val="superscript"/>
                <w:lang w:val="zh-TW"/>
              </w:rPr>
              <w:t>3</w:t>
            </w:r>
            <w:r>
              <w:rPr>
                <w:rFonts w:hint="default" w:ascii="Times New Roman" w:hAnsi="Times New Roman" w:cs="Times New Roman"/>
                <w:color w:val="auto"/>
                <w:sz w:val="21"/>
                <w:szCs w:val="21"/>
                <w:highlight w:val="none"/>
                <w:lang w:val="zh-TW"/>
              </w:rPr>
              <w:t>/h）。</w:t>
            </w:r>
            <w:r>
              <w:rPr>
                <w:rFonts w:hint="default" w:ascii="Times New Roman" w:hAnsi="Times New Roman" w:cs="Times New Roman"/>
                <w:color w:val="auto"/>
                <w:sz w:val="21"/>
                <w:szCs w:val="21"/>
                <w:highlight w:val="none"/>
              </w:rPr>
              <w:t>则有组织粉尘</w:t>
            </w:r>
            <w:r>
              <w:rPr>
                <w:rFonts w:hint="default" w:ascii="Times New Roman" w:hAnsi="Times New Roman" w:cs="Times New Roman"/>
                <w:color w:val="auto"/>
                <w:sz w:val="21"/>
                <w:szCs w:val="21"/>
                <w:highlight w:val="none"/>
                <w:lang w:val="zh-TW"/>
              </w:rPr>
              <w:t>排放量为</w:t>
            </w:r>
            <w:r>
              <w:rPr>
                <w:rFonts w:hint="eastAsia" w:cs="Times New Roman"/>
                <w:color w:val="auto"/>
                <w:sz w:val="21"/>
                <w:szCs w:val="21"/>
                <w:highlight w:val="none"/>
                <w:lang w:val="en-US" w:eastAsia="zh-CN"/>
              </w:rPr>
              <w:t>0.482</w:t>
            </w:r>
            <w:r>
              <w:rPr>
                <w:rFonts w:hint="default" w:ascii="Times New Roman" w:hAnsi="Times New Roman" w:cs="Times New Roman"/>
                <w:color w:val="auto"/>
                <w:sz w:val="21"/>
                <w:szCs w:val="21"/>
                <w:highlight w:val="none"/>
                <w:lang w:val="zh-TW"/>
              </w:rPr>
              <w:t>t/a，排放速率为</w:t>
            </w: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08</w:t>
            </w:r>
            <w:r>
              <w:rPr>
                <w:rFonts w:hint="default" w:ascii="Times New Roman" w:hAnsi="Times New Roman" w:cs="Times New Roman"/>
                <w:color w:val="auto"/>
                <w:sz w:val="21"/>
                <w:szCs w:val="21"/>
                <w:highlight w:val="none"/>
                <w:lang w:val="zh-TW"/>
              </w:rPr>
              <w:t>kg/h</w:t>
            </w:r>
            <w:r>
              <w:rPr>
                <w:rFonts w:hint="eastAsia" w:ascii="Times New Roman" w:hAnsi="Times New Roman" w:cs="Times New Roman"/>
                <w:color w:val="auto"/>
                <w:sz w:val="21"/>
                <w:szCs w:val="21"/>
                <w:highlight w:val="none"/>
                <w:lang w:val="zh-TW" w:eastAsia="zh-CN"/>
              </w:rPr>
              <w:t>，</w:t>
            </w:r>
            <w:r>
              <w:rPr>
                <w:rFonts w:hint="default" w:ascii="Times New Roman" w:hAnsi="Times New Roman" w:cs="Times New Roman"/>
                <w:color w:val="auto"/>
                <w:sz w:val="21"/>
                <w:szCs w:val="21"/>
                <w:highlight w:val="none"/>
                <w:lang w:val="zh-TW"/>
              </w:rPr>
              <w:t>排放浓度为</w:t>
            </w:r>
            <w:r>
              <w:rPr>
                <w:rFonts w:hint="eastAsia" w:cs="Times New Roman"/>
                <w:color w:val="auto"/>
                <w:sz w:val="21"/>
                <w:szCs w:val="21"/>
                <w:highlight w:val="none"/>
                <w:lang w:val="en-US" w:eastAsia="zh-CN"/>
              </w:rPr>
              <w:t>16</w:t>
            </w:r>
            <w:r>
              <w:rPr>
                <w:rFonts w:hint="default" w:ascii="Times New Roman" w:hAnsi="Times New Roman" w:cs="Times New Roman"/>
                <w:color w:val="auto"/>
                <w:sz w:val="21"/>
                <w:szCs w:val="21"/>
                <w:highlight w:val="none"/>
                <w:lang w:val="zh-TW"/>
              </w:rPr>
              <w:t>mg/m</w:t>
            </w:r>
            <w:r>
              <w:rPr>
                <w:rFonts w:hint="default" w:ascii="Times New Roman" w:hAnsi="Times New Roman" w:cs="Times New Roman"/>
                <w:color w:val="auto"/>
                <w:sz w:val="21"/>
                <w:szCs w:val="21"/>
                <w:highlight w:val="none"/>
                <w:vertAlign w:val="superscript"/>
                <w:lang w:val="zh-TW"/>
              </w:rPr>
              <w:t>3</w:t>
            </w:r>
            <w:r>
              <w:rPr>
                <w:rFonts w:hint="default" w:ascii="Times New Roman" w:hAnsi="Times New Roman" w:cs="Times New Roman"/>
                <w:color w:val="auto"/>
                <w:sz w:val="21"/>
                <w:szCs w:val="21"/>
                <w:highlight w:val="none"/>
                <w:lang w:val="zh-TW"/>
              </w:rPr>
              <w:t>。</w:t>
            </w:r>
            <w:r>
              <w:rPr>
                <w:rFonts w:hint="eastAsia" w:cs="Times New Roman"/>
                <w:color w:val="auto"/>
                <w:sz w:val="21"/>
                <w:szCs w:val="21"/>
                <w:highlight w:val="none"/>
                <w:lang w:val="zh-TW" w:eastAsia="zh-CN"/>
              </w:rPr>
              <w:t>未</w:t>
            </w:r>
            <w:r>
              <w:rPr>
                <w:rFonts w:hint="default" w:ascii="Times New Roman" w:hAnsi="Times New Roman" w:cs="Times New Roman"/>
                <w:color w:val="auto"/>
                <w:sz w:val="21"/>
                <w:szCs w:val="21"/>
                <w:highlight w:val="none"/>
                <w:lang w:val="zh-TW" w:eastAsia="zh-CN"/>
              </w:rPr>
              <w:t>被收集的粉尘呈无组织形式排放，</w:t>
            </w:r>
            <w:r>
              <w:rPr>
                <w:rFonts w:hint="default" w:ascii="Times New Roman" w:hAnsi="Times New Roman" w:eastAsia="宋体" w:cs="Times New Roman"/>
                <w:color w:val="auto"/>
                <w:spacing w:val="-2"/>
                <w:sz w:val="21"/>
                <w:szCs w:val="21"/>
              </w:rPr>
              <w:t>参考生态环境部发布的《排放源统计调查</w:t>
            </w:r>
            <w:r>
              <w:rPr>
                <w:rFonts w:hint="default" w:ascii="Times New Roman" w:hAnsi="Times New Roman" w:eastAsia="宋体" w:cs="Times New Roman"/>
                <w:color w:val="auto"/>
                <w:spacing w:val="-3"/>
                <w:sz w:val="21"/>
                <w:szCs w:val="21"/>
              </w:rPr>
              <w:t>产排污核算方法和系数</w:t>
            </w:r>
            <w:r>
              <w:rPr>
                <w:rFonts w:hint="default" w:ascii="Times New Roman" w:hAnsi="Times New Roman" w:eastAsia="宋体" w:cs="Times New Roman"/>
                <w:color w:val="auto"/>
                <w:sz w:val="21"/>
                <w:szCs w:val="21"/>
              </w:rPr>
              <w:t>手册》（生态环境部公告</w:t>
            </w:r>
            <w:r>
              <w:rPr>
                <w:rFonts w:hint="default" w:ascii="Times New Roman" w:hAnsi="Times New Roman" w:eastAsia="宋体" w:cs="Times New Roman"/>
                <w:color w:val="auto"/>
                <w:spacing w:val="-53"/>
                <w:sz w:val="21"/>
                <w:szCs w:val="21"/>
              </w:rPr>
              <w:t xml:space="preserve"> </w:t>
            </w:r>
            <w:r>
              <w:rPr>
                <w:rFonts w:hint="default" w:ascii="Times New Roman" w:hAnsi="Times New Roman" w:eastAsia="宋体" w:cs="Times New Roman"/>
                <w:color w:val="auto"/>
                <w:sz w:val="21"/>
                <w:szCs w:val="21"/>
              </w:rPr>
              <w:t>2021年第</w:t>
            </w:r>
            <w:r>
              <w:rPr>
                <w:rFonts w:hint="default" w:ascii="Times New Roman" w:hAnsi="Times New Roman" w:eastAsia="宋体" w:cs="Times New Roman"/>
                <w:color w:val="auto"/>
                <w:spacing w:val="-52"/>
                <w:sz w:val="21"/>
                <w:szCs w:val="21"/>
              </w:rPr>
              <w:t xml:space="preserve"> </w:t>
            </w:r>
            <w:r>
              <w:rPr>
                <w:rFonts w:hint="default" w:ascii="Times New Roman" w:hAnsi="Times New Roman" w:eastAsia="宋体" w:cs="Times New Roman"/>
                <w:color w:val="auto"/>
                <w:sz w:val="21"/>
                <w:szCs w:val="21"/>
              </w:rPr>
              <w:t>24号）中“&lt;工业源固体</w:t>
            </w:r>
            <w:r>
              <w:rPr>
                <w:rFonts w:hint="default" w:ascii="Times New Roman" w:hAnsi="Times New Roman" w:eastAsia="宋体" w:cs="Times New Roman"/>
                <w:color w:val="auto"/>
                <w:spacing w:val="-1"/>
                <w:sz w:val="21"/>
                <w:szCs w:val="21"/>
              </w:rPr>
              <w:t>物料堆场颗粒物核</w:t>
            </w:r>
            <w:r>
              <w:rPr>
                <w:rFonts w:hint="default" w:ascii="Times New Roman" w:hAnsi="Times New Roman" w:eastAsia="宋体" w:cs="Times New Roman"/>
                <w:color w:val="auto"/>
                <w:spacing w:val="-2"/>
                <w:sz w:val="21"/>
                <w:szCs w:val="21"/>
              </w:rPr>
              <w:t>算系数手册&gt;</w:t>
            </w:r>
            <w:r>
              <w:rPr>
                <w:rFonts w:hint="default" w:ascii="Times New Roman" w:hAnsi="Times New Roman" w:eastAsia="宋体" w:cs="Times New Roman"/>
                <w:color w:val="auto"/>
                <w:spacing w:val="-28"/>
                <w:sz w:val="21"/>
                <w:szCs w:val="21"/>
              </w:rPr>
              <w:t xml:space="preserve"> </w:t>
            </w:r>
            <w:r>
              <w:rPr>
                <w:rFonts w:hint="default" w:ascii="Times New Roman" w:hAnsi="Times New Roman" w:eastAsia="宋体" w:cs="Times New Roman"/>
                <w:color w:val="auto"/>
                <w:spacing w:val="-2"/>
                <w:sz w:val="21"/>
                <w:szCs w:val="21"/>
              </w:rPr>
              <w:t>中密闭式堆场粉尘控制效率为</w:t>
            </w:r>
            <w:r>
              <w:rPr>
                <w:rFonts w:hint="default" w:ascii="Times New Roman" w:hAnsi="Times New Roman" w:cs="Times New Roman"/>
                <w:color w:val="auto"/>
                <w:spacing w:val="-51"/>
                <w:sz w:val="21"/>
                <w:szCs w:val="21"/>
              </w:rPr>
              <w:t xml:space="preserve"> </w:t>
            </w:r>
            <w:r>
              <w:rPr>
                <w:rFonts w:hint="default" w:ascii="Times New Roman" w:hAnsi="Times New Roman" w:eastAsia="Times New Roman" w:cs="Times New Roman"/>
                <w:color w:val="auto"/>
                <w:spacing w:val="-2"/>
                <w:sz w:val="21"/>
                <w:szCs w:val="21"/>
              </w:rPr>
              <w:t>99%</w:t>
            </w:r>
            <w:r>
              <w:rPr>
                <w:rFonts w:hint="default" w:ascii="Times New Roman" w:hAnsi="Times New Roman" w:eastAsia="Times New Roman" w:cs="Times New Roman"/>
                <w:color w:val="auto"/>
                <w:spacing w:val="-31"/>
                <w:sz w:val="21"/>
                <w:szCs w:val="21"/>
              </w:rPr>
              <w:t xml:space="preserve"> </w:t>
            </w:r>
            <w:r>
              <w:rPr>
                <w:rFonts w:hint="default" w:ascii="Times New Roman" w:hAnsi="Times New Roman" w:cs="Times New Roman"/>
                <w:color w:val="auto"/>
                <w:spacing w:val="-2"/>
                <w:sz w:val="21"/>
                <w:szCs w:val="21"/>
              </w:rPr>
              <w:t>，半</w:t>
            </w:r>
            <w:r>
              <w:rPr>
                <w:rFonts w:hint="default" w:ascii="Times New Roman" w:hAnsi="Times New Roman" w:cs="Times New Roman"/>
                <w:color w:val="auto"/>
                <w:spacing w:val="-3"/>
                <w:sz w:val="21"/>
                <w:szCs w:val="21"/>
              </w:rPr>
              <w:t>敞开式堆场粉尘控制效率为</w:t>
            </w:r>
            <w:r>
              <w:rPr>
                <w:rFonts w:hint="default" w:ascii="Times New Roman" w:hAnsi="Times New Roman" w:eastAsia="Times New Roman" w:cs="Times New Roman"/>
                <w:color w:val="auto"/>
                <w:spacing w:val="-2"/>
                <w:sz w:val="21"/>
                <w:szCs w:val="21"/>
                <w:lang w:val="en-US" w:eastAsia="zh-CN"/>
              </w:rPr>
              <w:t>60%</w:t>
            </w:r>
            <w:r>
              <w:rPr>
                <w:rFonts w:hint="eastAsia" w:ascii="宋体" w:hAnsi="宋体" w:eastAsia="宋体" w:cs="宋体"/>
                <w:color w:val="auto"/>
                <w:spacing w:val="-29"/>
                <w:sz w:val="21"/>
                <w:szCs w:val="21"/>
              </w:rPr>
              <w:t xml:space="preserve"> </w:t>
            </w:r>
            <w:r>
              <w:rPr>
                <w:rFonts w:hint="eastAsia" w:ascii="宋体" w:hAnsi="宋体" w:eastAsia="宋体" w:cs="宋体"/>
                <w:color w:val="auto"/>
                <w:spacing w:val="-2"/>
                <w:sz w:val="21"/>
                <w:szCs w:val="21"/>
              </w:rPr>
              <w:t>”</w:t>
            </w:r>
            <w:r>
              <w:rPr>
                <w:rFonts w:hint="default"/>
                <w:color w:val="auto"/>
                <w:spacing w:val="-2"/>
                <w:sz w:val="21"/>
                <w:szCs w:val="21"/>
              </w:rPr>
              <w:t>，</w:t>
            </w:r>
            <w:r>
              <w:rPr>
                <w:rFonts w:hint="eastAsia"/>
                <w:color w:val="auto"/>
                <w:spacing w:val="-2"/>
                <w:sz w:val="21"/>
                <w:szCs w:val="21"/>
                <w:lang w:eastAsia="zh-CN"/>
              </w:rPr>
              <w:t>生产车间为密闭式，</w:t>
            </w:r>
            <w:r>
              <w:rPr>
                <w:rFonts w:hint="default"/>
                <w:color w:val="auto"/>
                <w:spacing w:val="-2"/>
                <w:sz w:val="21"/>
                <w:szCs w:val="21"/>
              </w:rPr>
              <w:t>本次评价考虑破碎粉尘部分由于随人员、物料的出入等方式逸散至</w:t>
            </w:r>
            <w:r>
              <w:rPr>
                <w:rFonts w:hint="default"/>
                <w:color w:val="auto"/>
                <w:spacing w:val="-1"/>
                <w:sz w:val="21"/>
                <w:szCs w:val="21"/>
              </w:rPr>
              <w:t>外界大气环境中，故车间的粉尘控制效率取</w:t>
            </w:r>
            <w:r>
              <w:rPr>
                <w:rFonts w:hint="default"/>
                <w:color w:val="auto"/>
                <w:spacing w:val="-49"/>
                <w:sz w:val="21"/>
                <w:szCs w:val="21"/>
              </w:rPr>
              <w:t xml:space="preserve"> </w:t>
            </w:r>
            <w:r>
              <w:rPr>
                <w:rFonts w:hint="eastAsia" w:ascii="Times New Roman" w:hAnsi="Times New Roman" w:eastAsia="Times New Roman" w:cs="Times New Roman"/>
                <w:color w:val="auto"/>
                <w:spacing w:val="-2"/>
                <w:sz w:val="21"/>
                <w:szCs w:val="21"/>
                <w:lang w:val="en-US" w:eastAsia="zh-CN"/>
              </w:rPr>
              <w:t>80%</w:t>
            </w:r>
            <w:r>
              <w:rPr>
                <w:rFonts w:hint="eastAsia" w:cs="Times New Roman"/>
                <w:color w:val="auto"/>
                <w:sz w:val="21"/>
                <w:szCs w:val="21"/>
                <w:highlight w:val="none"/>
                <w:lang w:val="zh-TW" w:eastAsia="zh-CN"/>
              </w:rPr>
              <w:t>，</w:t>
            </w:r>
            <w:r>
              <w:rPr>
                <w:rFonts w:hint="default" w:ascii="Times New Roman" w:hAnsi="Times New Roman" w:cs="Times New Roman"/>
                <w:color w:val="auto"/>
                <w:sz w:val="21"/>
                <w:szCs w:val="21"/>
                <w:highlight w:val="none"/>
              </w:rPr>
              <w:t>则颗粒物无组织排放量为</w:t>
            </w:r>
            <w:r>
              <w:rPr>
                <w:rFonts w:hint="default" w:ascii="Times New Roman" w:hAnsi="Times New Roman" w:cs="Times New Roman"/>
                <w:color w:val="auto"/>
                <w:sz w:val="21"/>
                <w:szCs w:val="21"/>
                <w:highlight w:val="none"/>
                <w:lang w:val="en-US" w:eastAsia="zh-CN"/>
              </w:rPr>
              <w:t>0.</w:t>
            </w:r>
            <w:r>
              <w:rPr>
                <w:rFonts w:hint="eastAsia" w:cs="Times New Roman"/>
                <w:color w:val="auto"/>
                <w:sz w:val="21"/>
                <w:szCs w:val="21"/>
                <w:highlight w:val="none"/>
                <w:lang w:val="en-US" w:eastAsia="zh-CN"/>
              </w:rPr>
              <w:t>134</w:t>
            </w:r>
            <w:r>
              <w:rPr>
                <w:rFonts w:hint="default" w:ascii="Times New Roman" w:hAnsi="Times New Roman" w:cs="Times New Roman"/>
                <w:color w:val="auto"/>
                <w:sz w:val="21"/>
                <w:szCs w:val="21"/>
                <w:highlight w:val="none"/>
              </w:rPr>
              <w:t>t/a</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排放速率为0.</w:t>
            </w:r>
            <w:r>
              <w:rPr>
                <w:rFonts w:hint="eastAsia" w:cs="Times New Roman"/>
                <w:color w:val="auto"/>
                <w:sz w:val="21"/>
                <w:szCs w:val="21"/>
                <w:highlight w:val="none"/>
                <w:lang w:val="en-US" w:eastAsia="zh-CN"/>
              </w:rPr>
              <w:t>022</w:t>
            </w:r>
            <w:r>
              <w:rPr>
                <w:rFonts w:hint="default" w:ascii="Times New Roman" w:hAnsi="Times New Roman" w:eastAsia="宋体" w:cs="Times New Roman"/>
                <w:color w:val="auto"/>
                <w:kern w:val="0"/>
                <w:sz w:val="21"/>
                <w:szCs w:val="21"/>
                <w:highlight w:val="none"/>
                <w:lang w:val="en-US" w:eastAsia="zh-CN" w:bidi="ar-SA"/>
              </w:rPr>
              <w:t>kg/h</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颗粒物</w:t>
            </w:r>
            <w:r>
              <w:rPr>
                <w:rFonts w:hint="default" w:ascii="Times New Roman" w:hAnsi="Times New Roman" w:cs="Times New Roman"/>
                <w:color w:val="auto"/>
                <w:sz w:val="21"/>
                <w:szCs w:val="21"/>
                <w:highlight w:val="none"/>
                <w:lang w:val="en-US" w:eastAsia="zh-CN"/>
              </w:rPr>
              <w:t>排放满足</w:t>
            </w:r>
            <w:r>
              <w:rPr>
                <w:rFonts w:hint="default"/>
                <w:b w:val="0"/>
                <w:bCs w:val="0"/>
                <w:color w:val="auto"/>
                <w:kern w:val="0"/>
                <w:szCs w:val="21"/>
                <w:highlight w:val="none"/>
              </w:rPr>
              <w:t>《大气污染物综合排放标准》（GB16297-1996）表2中的二级排放标准及无组织排放限值</w:t>
            </w:r>
            <w:r>
              <w:rPr>
                <w:rFonts w:hint="default" w:ascii="Times New Roman" w:hAnsi="Times New Roman" w:eastAsia="宋体" w:cs="Times New Roman"/>
                <w:bCs/>
                <w:color w:val="auto"/>
                <w:kern w:val="0"/>
                <w:sz w:val="21"/>
                <w:szCs w:val="21"/>
                <w:highlight w:val="none"/>
                <w:lang w:eastAsia="zh-CN"/>
              </w:rPr>
              <w:t>。</w:t>
            </w:r>
          </w:p>
          <w:p w14:paraId="512F3677">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② 2号生产车间</w:t>
            </w:r>
          </w:p>
          <w:p w14:paraId="14657B7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2号生产车间产生的颗粒物根据《排放源统计调查产排核算方法和系数手册》（生态环境部公告2021年第24号）中2542生物质致密成型燃料加工行业系数手册，剪切、破碎、筛分、造粒工序颗粒物产生量为6.69×10-4 t/t 产品，本项目</w:t>
            </w:r>
            <w:r>
              <w:rPr>
                <w:rFonts w:hint="eastAsia" w:ascii="Times New Roman" w:hAnsi="Times New Roman" w:eastAsia="宋体" w:cs="Times New Roman"/>
                <w:color w:val="auto"/>
                <w:lang w:val="en-US" w:eastAsia="zh-CN"/>
              </w:rPr>
              <w:t>2</w:t>
            </w:r>
            <w:r>
              <w:rPr>
                <w:rFonts w:hint="default" w:ascii="Times New Roman" w:hAnsi="Times New Roman" w:eastAsia="宋体" w:cs="Times New Roman"/>
                <w:color w:val="auto"/>
                <w:lang w:val="en-US" w:eastAsia="zh-CN"/>
              </w:rPr>
              <w:t>号生产车间年产生物质颗粒10000t/a，则颗粒物产生量为6.69t/a、1.115kg/h。粗破、破碎</w:t>
            </w:r>
            <w:r>
              <w:rPr>
                <w:rFonts w:hint="eastAsia" w:ascii="Times New Roman" w:hAnsi="Times New Roman" w:eastAsia="宋体" w:cs="Times New Roman"/>
                <w:color w:val="auto"/>
                <w:lang w:val="en-US" w:eastAsia="zh-CN"/>
              </w:rPr>
              <w:t>、造粒</w:t>
            </w:r>
            <w:r>
              <w:rPr>
                <w:rFonts w:hint="default" w:ascii="Times New Roman" w:hAnsi="Times New Roman" w:eastAsia="宋体" w:cs="Times New Roman"/>
                <w:color w:val="auto"/>
                <w:lang w:val="en-US" w:eastAsia="zh-CN"/>
              </w:rPr>
              <w:t>工序产尘部位分别</w:t>
            </w:r>
            <w:r>
              <w:rPr>
                <w:rFonts w:hint="default" w:ascii="Times New Roman" w:hAnsi="Times New Roman" w:eastAsia="宋体" w:cs="Times New Roman"/>
                <w:color w:val="auto"/>
                <w:lang w:val="zh-TW" w:eastAsia="zh-CN"/>
              </w:rPr>
              <w:t>设置集尘装置（</w:t>
            </w:r>
            <w:r>
              <w:rPr>
                <w:rFonts w:hint="default" w:ascii="Times New Roman" w:hAnsi="Times New Roman" w:eastAsia="宋体" w:cs="Times New Roman"/>
                <w:color w:val="auto"/>
                <w:lang w:val="en-US" w:eastAsia="zh-CN"/>
              </w:rPr>
              <w:t>收集效率90%</w:t>
            </w:r>
            <w:r>
              <w:rPr>
                <w:rFonts w:hint="default" w:ascii="Times New Roman" w:hAnsi="Times New Roman" w:eastAsia="宋体" w:cs="Times New Roman"/>
                <w:color w:val="auto"/>
                <w:lang w:val="zh-TW" w:eastAsia="zh-CN"/>
              </w:rPr>
              <w:t>），</w:t>
            </w:r>
            <w:r>
              <w:rPr>
                <w:rFonts w:hint="default" w:ascii="Times New Roman" w:hAnsi="Times New Roman" w:eastAsia="宋体" w:cs="Times New Roman"/>
                <w:color w:val="auto"/>
                <w:lang w:val="en-US" w:eastAsia="zh-CN"/>
              </w:rPr>
              <w:t>收集</w:t>
            </w:r>
            <w:r>
              <w:rPr>
                <w:rFonts w:hint="default" w:ascii="Times New Roman" w:hAnsi="Times New Roman" w:eastAsia="宋体" w:cs="Times New Roman"/>
                <w:color w:val="auto"/>
                <w:lang w:val="zh-TW" w:eastAsia="zh-CN"/>
              </w:rPr>
              <w:t>的废气经布袋除尘器处理后，经</w:t>
            </w:r>
            <w:r>
              <w:rPr>
                <w:rFonts w:hint="default" w:ascii="Times New Roman" w:hAnsi="Times New Roman" w:eastAsia="宋体" w:cs="Times New Roman"/>
                <w:color w:val="auto"/>
                <w:lang w:val="en-US" w:eastAsia="zh-CN"/>
              </w:rPr>
              <w:t>1根</w:t>
            </w:r>
            <w:r>
              <w:rPr>
                <w:rFonts w:hint="default" w:ascii="Times New Roman" w:hAnsi="Times New Roman" w:eastAsia="宋体" w:cs="Times New Roman"/>
                <w:color w:val="auto"/>
                <w:lang w:val="zh-TW" w:eastAsia="zh-CN"/>
              </w:rPr>
              <w:t>15米高排气筒（</w:t>
            </w:r>
            <w:r>
              <w:rPr>
                <w:rFonts w:hint="default" w:ascii="Times New Roman" w:hAnsi="Times New Roman" w:eastAsia="宋体" w:cs="Times New Roman"/>
                <w:color w:val="auto"/>
                <w:lang w:val="en-US" w:eastAsia="zh-CN"/>
              </w:rPr>
              <w:t>DA00</w:t>
            </w:r>
            <w:r>
              <w:rPr>
                <w:rFonts w:hint="eastAsia" w:ascii="Times New Roman" w:hAnsi="Times New Roman" w:eastAsia="宋体" w:cs="Times New Roman"/>
                <w:color w:val="auto"/>
                <w:lang w:val="en-US" w:eastAsia="zh-CN"/>
              </w:rPr>
              <w:t>4</w:t>
            </w:r>
            <w:r>
              <w:rPr>
                <w:rFonts w:hint="default" w:ascii="Times New Roman" w:hAnsi="Times New Roman" w:eastAsia="宋体" w:cs="Times New Roman"/>
                <w:color w:val="auto"/>
                <w:lang w:val="zh-TW" w:eastAsia="zh-CN"/>
              </w:rPr>
              <w:t>）排放（除尘效率9</w:t>
            </w:r>
            <w:r>
              <w:rPr>
                <w:rFonts w:hint="default" w:ascii="Times New Roman" w:hAnsi="Times New Roman" w:eastAsia="宋体" w:cs="Times New Roman"/>
                <w:color w:val="auto"/>
                <w:lang w:val="en-US" w:eastAsia="zh-CN"/>
              </w:rPr>
              <w:t>2</w:t>
            </w:r>
            <w:r>
              <w:rPr>
                <w:rFonts w:hint="default" w:ascii="Times New Roman" w:hAnsi="Times New Roman" w:eastAsia="宋体" w:cs="Times New Roman"/>
                <w:color w:val="auto"/>
                <w:lang w:val="zh-TW" w:eastAsia="zh-CN"/>
              </w:rPr>
              <w:t>%，风机风量</w:t>
            </w:r>
            <w:r>
              <w:rPr>
                <w:rFonts w:hint="default" w:ascii="Times New Roman" w:hAnsi="Times New Roman" w:eastAsia="宋体" w:cs="Times New Roman"/>
                <w:color w:val="auto"/>
                <w:lang w:val="en-US" w:eastAsia="zh-CN"/>
              </w:rPr>
              <w:t>5000</w:t>
            </w:r>
            <w:r>
              <w:rPr>
                <w:rFonts w:hint="default" w:ascii="Times New Roman" w:hAnsi="Times New Roman" w:eastAsia="宋体" w:cs="Times New Roman"/>
                <w:color w:val="auto"/>
                <w:lang w:val="zh-TW" w:eastAsia="zh-CN"/>
              </w:rPr>
              <w:t>m</w:t>
            </w:r>
            <w:r>
              <w:rPr>
                <w:rFonts w:hint="default" w:ascii="Times New Roman" w:hAnsi="Times New Roman" w:eastAsia="宋体" w:cs="Times New Roman"/>
                <w:color w:val="auto"/>
                <w:vertAlign w:val="superscript"/>
                <w:lang w:val="zh-TW" w:eastAsia="zh-CN"/>
              </w:rPr>
              <w:t>3</w:t>
            </w:r>
            <w:r>
              <w:rPr>
                <w:rFonts w:hint="default" w:ascii="Times New Roman" w:hAnsi="Times New Roman" w:eastAsia="宋体" w:cs="Times New Roman"/>
                <w:color w:val="auto"/>
                <w:lang w:val="zh-TW" w:eastAsia="zh-CN"/>
              </w:rPr>
              <w:t>/h）。</w:t>
            </w:r>
            <w:r>
              <w:rPr>
                <w:rFonts w:hint="default" w:ascii="Times New Roman" w:hAnsi="Times New Roman" w:eastAsia="宋体" w:cs="Times New Roman"/>
                <w:color w:val="auto"/>
                <w:lang w:val="en-US" w:eastAsia="zh-CN"/>
              </w:rPr>
              <w:t>则有组织粉尘</w:t>
            </w:r>
            <w:r>
              <w:rPr>
                <w:rFonts w:hint="default" w:ascii="Times New Roman" w:hAnsi="Times New Roman" w:eastAsia="宋体" w:cs="Times New Roman"/>
                <w:color w:val="auto"/>
                <w:lang w:val="zh-TW" w:eastAsia="zh-CN"/>
              </w:rPr>
              <w:t>排放量为</w:t>
            </w:r>
            <w:r>
              <w:rPr>
                <w:rFonts w:hint="default" w:ascii="Times New Roman" w:hAnsi="Times New Roman" w:eastAsia="宋体" w:cs="Times New Roman"/>
                <w:color w:val="auto"/>
                <w:lang w:val="en-US" w:eastAsia="zh-CN"/>
              </w:rPr>
              <w:t>0.482</w:t>
            </w:r>
            <w:r>
              <w:rPr>
                <w:rFonts w:hint="default" w:ascii="Times New Roman" w:hAnsi="Times New Roman" w:eastAsia="宋体" w:cs="Times New Roman"/>
                <w:color w:val="auto"/>
                <w:lang w:val="zh-TW" w:eastAsia="zh-CN"/>
              </w:rPr>
              <w:t>t/a，排放速率为</w:t>
            </w:r>
            <w:r>
              <w:rPr>
                <w:rFonts w:hint="default" w:ascii="Times New Roman" w:hAnsi="Times New Roman" w:eastAsia="宋体" w:cs="Times New Roman"/>
                <w:color w:val="auto"/>
                <w:lang w:val="en-US" w:eastAsia="zh-CN"/>
              </w:rPr>
              <w:t>0.08</w:t>
            </w:r>
            <w:r>
              <w:rPr>
                <w:rFonts w:hint="default" w:ascii="Times New Roman" w:hAnsi="Times New Roman" w:eastAsia="宋体" w:cs="Times New Roman"/>
                <w:color w:val="auto"/>
                <w:lang w:val="zh-TW" w:eastAsia="zh-CN"/>
              </w:rPr>
              <w:t>kg/h，排放浓度为</w:t>
            </w:r>
            <w:r>
              <w:rPr>
                <w:rFonts w:hint="default" w:ascii="Times New Roman" w:hAnsi="Times New Roman" w:eastAsia="宋体" w:cs="Times New Roman"/>
                <w:color w:val="auto"/>
                <w:lang w:val="en-US" w:eastAsia="zh-CN"/>
              </w:rPr>
              <w:t>16</w:t>
            </w:r>
            <w:r>
              <w:rPr>
                <w:rFonts w:hint="default" w:ascii="Times New Roman" w:hAnsi="Times New Roman" w:eastAsia="宋体" w:cs="Times New Roman"/>
                <w:color w:val="auto"/>
                <w:lang w:val="zh-TW" w:eastAsia="zh-CN"/>
              </w:rPr>
              <w:t>mg/m</w:t>
            </w:r>
            <w:r>
              <w:rPr>
                <w:rFonts w:hint="default" w:ascii="Times New Roman" w:hAnsi="Times New Roman" w:eastAsia="宋体" w:cs="Times New Roman"/>
                <w:color w:val="auto"/>
                <w:vertAlign w:val="superscript"/>
                <w:lang w:val="zh-TW" w:eastAsia="zh-CN"/>
              </w:rPr>
              <w:t>3</w:t>
            </w:r>
            <w:r>
              <w:rPr>
                <w:rFonts w:hint="default" w:ascii="Times New Roman" w:hAnsi="Times New Roman" w:eastAsia="宋体" w:cs="Times New Roman"/>
                <w:color w:val="auto"/>
                <w:lang w:val="zh-TW" w:eastAsia="zh-CN"/>
              </w:rPr>
              <w:t>。未被收集的粉尘呈无组织形式排放，</w:t>
            </w:r>
            <w:r>
              <w:rPr>
                <w:rFonts w:hint="default" w:ascii="Times New Roman" w:hAnsi="Times New Roman" w:eastAsia="宋体" w:cs="Times New Roman"/>
                <w:color w:val="auto"/>
                <w:lang w:val="en-US" w:eastAsia="zh-CN"/>
              </w:rPr>
              <w:t>参考生态环境部发布的《排放源统计调查产排污核算方法和系数手册》（生态环境部公告 2021年第 24号）中</w:t>
            </w:r>
            <w:r>
              <w:rPr>
                <w:rFonts w:hint="eastAsia" w:ascii="宋体" w:hAnsi="宋体" w:eastAsia="宋体" w:cs="宋体"/>
                <w:color w:val="auto"/>
                <w:lang w:val="en-US" w:eastAsia="zh-CN"/>
              </w:rPr>
              <w:t>“&lt;</w:t>
            </w:r>
            <w:r>
              <w:rPr>
                <w:rFonts w:hint="default" w:ascii="Times New Roman" w:hAnsi="Times New Roman" w:eastAsia="宋体" w:cs="Times New Roman"/>
                <w:color w:val="auto"/>
                <w:lang w:val="en-US" w:eastAsia="zh-CN"/>
              </w:rPr>
              <w:t xml:space="preserve">工业源固体物料堆场颗粒物核算系数手册&gt; 中密闭式堆场粉尘控制效率为99% ，半敞开式堆场粉尘控制效率为60% </w:t>
            </w:r>
            <w:r>
              <w:rPr>
                <w:rFonts w:hint="eastAsia" w:ascii="宋体" w:hAnsi="宋体" w:eastAsia="宋体" w:cs="宋体"/>
                <w:color w:val="auto"/>
                <w:lang w:val="en-US" w:eastAsia="zh-CN"/>
              </w:rPr>
              <w:t>”</w:t>
            </w:r>
            <w:r>
              <w:rPr>
                <w:rFonts w:hint="default" w:ascii="Times New Roman" w:hAnsi="Times New Roman" w:eastAsia="宋体" w:cs="Times New Roman"/>
                <w:color w:val="auto"/>
                <w:lang w:val="en-US" w:eastAsia="zh-CN"/>
              </w:rPr>
              <w:t>，生产车间为密闭式，本次评价考虑破碎粉尘部分由于随人员、物料的出入等方式逸散至外界大气环境中，故车间的粉尘控制效率取 80%</w:t>
            </w:r>
            <w:r>
              <w:rPr>
                <w:rFonts w:hint="default" w:ascii="Times New Roman" w:hAnsi="Times New Roman" w:eastAsia="宋体" w:cs="Times New Roman"/>
                <w:color w:val="auto"/>
                <w:lang w:val="zh-TW" w:eastAsia="zh-CN"/>
              </w:rPr>
              <w:t>，</w:t>
            </w:r>
            <w:r>
              <w:rPr>
                <w:rFonts w:hint="default" w:ascii="Times New Roman" w:hAnsi="Times New Roman" w:eastAsia="宋体" w:cs="Times New Roman"/>
                <w:color w:val="auto"/>
                <w:lang w:val="en-US" w:eastAsia="zh-CN"/>
              </w:rPr>
              <w:t>则颗粒物无组织排放量为0.134t/a，排放速率为0.022kg/h。颗粒物排放满足《大气污染物综合排放标准》（GB16297-1996）表2中的二级排放标准及无组织排放限值。</w:t>
            </w:r>
          </w:p>
          <w:p w14:paraId="15ECFE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eastAsia="宋体" w:cs="Times New Roman"/>
                <w:bCs/>
                <w:color w:val="auto"/>
                <w:kern w:val="0"/>
                <w:sz w:val="21"/>
                <w:szCs w:val="21"/>
                <w:highlight w:val="none"/>
                <w:lang w:val="en-US" w:eastAsia="zh-CN"/>
              </w:rPr>
            </w:pPr>
            <w:r>
              <w:rPr>
                <w:rFonts w:hint="eastAsia" w:cs="Times New Roman"/>
                <w:bCs/>
                <w:color w:val="auto"/>
                <w:kern w:val="0"/>
                <w:sz w:val="21"/>
                <w:szCs w:val="21"/>
                <w:highlight w:val="none"/>
                <w:lang w:val="en-US" w:eastAsia="zh-CN"/>
              </w:rPr>
              <w:t>7</w:t>
            </w:r>
            <w:r>
              <w:rPr>
                <w:rFonts w:hint="eastAsia" w:ascii="Times New Roman" w:hAnsi="Times New Roman" w:eastAsia="宋体" w:cs="Times New Roman"/>
                <w:bCs/>
                <w:color w:val="auto"/>
                <w:kern w:val="0"/>
                <w:sz w:val="21"/>
                <w:szCs w:val="21"/>
                <w:highlight w:val="none"/>
                <w:lang w:val="en-US" w:eastAsia="zh-CN"/>
              </w:rPr>
              <w:t>）烘干工序粉尘</w:t>
            </w:r>
          </w:p>
          <w:p w14:paraId="7AC3E0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① 1号生产车间</w:t>
            </w:r>
          </w:p>
          <w:p w14:paraId="1138628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本项目生物质压块、生物质颗粒及木质颗粒生产中</w:t>
            </w:r>
            <w:r>
              <w:rPr>
                <w:rFonts w:hint="eastAsia" w:ascii="Times New Roman" w:hAnsi="Times New Roman" w:eastAsia="宋体" w:cs="Times New Roman"/>
                <w:color w:val="auto"/>
                <w:sz w:val="21"/>
                <w:szCs w:val="21"/>
                <w:highlight w:val="none"/>
                <w:lang w:val="en-US" w:eastAsia="zh-CN"/>
              </w:rPr>
              <w:t>烘干</w:t>
            </w:r>
            <w:r>
              <w:rPr>
                <w:rFonts w:hint="default" w:ascii="Times New Roman" w:hAnsi="Times New Roman" w:eastAsia="宋体" w:cs="Times New Roman"/>
                <w:color w:val="auto"/>
                <w:sz w:val="21"/>
                <w:szCs w:val="21"/>
                <w:highlight w:val="none"/>
                <w:lang w:val="en-US" w:eastAsia="zh-CN"/>
              </w:rPr>
              <w:t>工序产生颗粒物</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kern w:val="0"/>
                <w:sz w:val="21"/>
                <w:szCs w:val="21"/>
                <w:highlight w:val="none"/>
                <w:lang w:val="en-US" w:eastAsia="zh-CN" w:bidi="ar"/>
              </w:rPr>
              <w:t>根据《排放源统计调查产排核算方法和系数手册》（生态环境部公告2021年第24号）中2542生物质致密成型燃料加工行业系数手册，</w:t>
            </w:r>
            <w:r>
              <w:rPr>
                <w:rFonts w:hint="eastAsia" w:cs="Times New Roman"/>
                <w:color w:val="auto"/>
                <w:kern w:val="0"/>
                <w:sz w:val="21"/>
                <w:szCs w:val="21"/>
                <w:highlight w:val="none"/>
                <w:lang w:val="en-US" w:eastAsia="zh-CN" w:bidi="ar"/>
              </w:rPr>
              <w:t>烘干</w:t>
            </w:r>
            <w:r>
              <w:rPr>
                <w:rFonts w:hint="default" w:ascii="Times New Roman" w:hAnsi="Times New Roman" w:eastAsia="宋体" w:cs="Times New Roman"/>
                <w:color w:val="auto"/>
                <w:kern w:val="0"/>
                <w:sz w:val="21"/>
                <w:szCs w:val="21"/>
                <w:highlight w:val="none"/>
                <w:lang w:val="en-US" w:eastAsia="zh-CN" w:bidi="ar"/>
              </w:rPr>
              <w:t>工序颗粒物产生量为</w:t>
            </w:r>
            <w:r>
              <w:rPr>
                <w:rFonts w:hint="eastAsia" w:cs="Times New Roman"/>
                <w:color w:val="auto"/>
                <w:kern w:val="0"/>
                <w:sz w:val="21"/>
                <w:szCs w:val="21"/>
                <w:highlight w:val="none"/>
                <w:lang w:val="en-US" w:eastAsia="zh-CN" w:bidi="ar"/>
              </w:rPr>
              <w:t>4.01</w:t>
            </w:r>
            <w:r>
              <w:rPr>
                <w:rFonts w:hint="default" w:ascii="Times New Roman" w:hAnsi="Times New Roman" w:eastAsia="宋体" w:cs="Times New Roman"/>
                <w:color w:val="auto"/>
                <w:kern w:val="0"/>
                <w:sz w:val="21"/>
                <w:szCs w:val="21"/>
                <w:highlight w:val="none"/>
                <w:lang w:val="en-US" w:eastAsia="zh-CN" w:bidi="ar"/>
              </w:rPr>
              <w:t>×10</w:t>
            </w:r>
            <w:r>
              <w:rPr>
                <w:rFonts w:hint="default" w:ascii="Times New Roman" w:hAnsi="Times New Roman" w:eastAsia="宋体" w:cs="Times New Roman"/>
                <w:color w:val="auto"/>
                <w:kern w:val="0"/>
                <w:sz w:val="21"/>
                <w:szCs w:val="21"/>
                <w:highlight w:val="none"/>
                <w:vertAlign w:val="superscript"/>
                <w:lang w:val="en-US" w:eastAsia="zh-CN" w:bidi="ar"/>
              </w:rPr>
              <w:t>-</w:t>
            </w:r>
            <w:r>
              <w:rPr>
                <w:rFonts w:hint="eastAsia"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val="en-US" w:eastAsia="zh-CN" w:bidi="ar"/>
              </w:rPr>
              <w:t xml:space="preserve"> t/t 产品</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lang w:val="en-US" w:eastAsia="zh-CN"/>
              </w:rPr>
              <w:t>本项目</w:t>
            </w:r>
            <w:r>
              <w:rPr>
                <w:rFonts w:hint="eastAsia" w:eastAsia="宋体" w:cs="Times New Roman"/>
                <w:color w:val="auto"/>
                <w:lang w:val="en-US" w:eastAsia="zh-CN"/>
              </w:rPr>
              <w:t>1</w:t>
            </w:r>
            <w:r>
              <w:rPr>
                <w:rFonts w:hint="default" w:ascii="Times New Roman" w:hAnsi="Times New Roman" w:eastAsia="宋体" w:cs="Times New Roman"/>
                <w:color w:val="auto"/>
                <w:lang w:val="en-US" w:eastAsia="zh-CN"/>
              </w:rPr>
              <w:t>号生产车间年产生物质颗粒10000t/a，则颗粒物产生量为</w:t>
            </w:r>
            <w:r>
              <w:rPr>
                <w:rFonts w:hint="eastAsia" w:eastAsia="宋体" w:cs="Times New Roman"/>
                <w:color w:val="auto"/>
                <w:lang w:val="en-US" w:eastAsia="zh-CN"/>
              </w:rPr>
              <w:t>40.1</w:t>
            </w:r>
            <w:r>
              <w:rPr>
                <w:rFonts w:hint="default" w:ascii="Times New Roman" w:hAnsi="Times New Roman" w:eastAsia="宋体" w:cs="Times New Roman"/>
                <w:color w:val="auto"/>
                <w:lang w:val="en-US" w:eastAsia="zh-CN"/>
              </w:rPr>
              <w:t>t/a、</w:t>
            </w:r>
            <w:r>
              <w:rPr>
                <w:rFonts w:hint="eastAsia" w:cs="Times New Roman"/>
                <w:color w:val="auto"/>
                <w:lang w:val="en-US" w:eastAsia="zh-CN"/>
              </w:rPr>
              <w:t>6.683</w:t>
            </w:r>
            <w:r>
              <w:rPr>
                <w:rFonts w:hint="default" w:ascii="Times New Roman" w:hAnsi="Times New Roman" w:eastAsia="宋体" w:cs="Times New Roman"/>
                <w:color w:val="auto"/>
                <w:lang w:val="en-US" w:eastAsia="zh-CN"/>
              </w:rPr>
              <w:t>kg/h。</w:t>
            </w:r>
            <w:r>
              <w:rPr>
                <w:rFonts w:hint="eastAsia" w:eastAsia="宋体" w:cs="Times New Roman"/>
                <w:color w:val="auto"/>
                <w:lang w:val="en-US" w:eastAsia="zh-CN"/>
              </w:rPr>
              <w:t>烘干废气进入生物质燃烧器布袋除尘器（除尘效率</w:t>
            </w:r>
            <w:r>
              <w:rPr>
                <w:rFonts w:hint="eastAsia" w:cs="Times New Roman"/>
                <w:color w:val="auto"/>
                <w:lang w:val="en-US" w:eastAsia="zh-CN"/>
              </w:rPr>
              <w:t>99%</w:t>
            </w:r>
            <w:r>
              <w:rPr>
                <w:rFonts w:hint="eastAsia" w:eastAsia="宋体" w:cs="Times New Roman"/>
                <w:color w:val="auto"/>
                <w:lang w:val="en-US" w:eastAsia="zh-CN"/>
              </w:rPr>
              <w:t>）处理后经15米高烟囱（DA001）排放，则颗粒物</w:t>
            </w:r>
            <w:r>
              <w:rPr>
                <w:rFonts w:hint="default" w:ascii="Times New Roman" w:hAnsi="Times New Roman" w:cs="Times New Roman"/>
                <w:color w:val="auto"/>
                <w:sz w:val="21"/>
                <w:szCs w:val="21"/>
                <w:highlight w:val="none"/>
                <w:lang w:val="zh-TW"/>
              </w:rPr>
              <w:t>排放量为</w:t>
            </w:r>
            <w:r>
              <w:rPr>
                <w:rFonts w:hint="eastAsia" w:cs="Times New Roman"/>
                <w:color w:val="auto"/>
                <w:sz w:val="21"/>
                <w:szCs w:val="21"/>
                <w:highlight w:val="none"/>
                <w:lang w:val="en-US" w:eastAsia="zh-CN"/>
              </w:rPr>
              <w:t>0.401</w:t>
            </w:r>
            <w:r>
              <w:rPr>
                <w:rFonts w:hint="default" w:ascii="Times New Roman" w:hAnsi="Times New Roman" w:cs="Times New Roman"/>
                <w:color w:val="auto"/>
                <w:sz w:val="21"/>
                <w:szCs w:val="21"/>
                <w:highlight w:val="none"/>
                <w:lang w:val="zh-TW"/>
              </w:rPr>
              <w:t>t/a，排放速率为</w:t>
            </w:r>
            <w:r>
              <w:rPr>
                <w:rFonts w:hint="eastAsia" w:cs="Times New Roman"/>
                <w:color w:val="auto"/>
                <w:sz w:val="21"/>
                <w:szCs w:val="21"/>
                <w:highlight w:val="none"/>
                <w:lang w:val="en-US" w:eastAsia="zh-CN"/>
              </w:rPr>
              <w:t>0.067</w:t>
            </w:r>
            <w:r>
              <w:rPr>
                <w:rFonts w:hint="default" w:ascii="Times New Roman" w:hAnsi="Times New Roman" w:cs="Times New Roman"/>
                <w:color w:val="auto"/>
                <w:sz w:val="21"/>
                <w:szCs w:val="21"/>
                <w:highlight w:val="none"/>
                <w:lang w:val="zh-TW"/>
              </w:rPr>
              <w:t>kg/h，排放浓度为</w:t>
            </w:r>
            <w:r>
              <w:rPr>
                <w:rFonts w:hint="eastAsia" w:cs="Times New Roman"/>
                <w:color w:val="auto"/>
                <w:sz w:val="21"/>
                <w:szCs w:val="21"/>
                <w:highlight w:val="none"/>
                <w:lang w:val="en-US" w:eastAsia="zh-CN"/>
              </w:rPr>
              <w:t>12.785</w:t>
            </w:r>
            <w:r>
              <w:rPr>
                <w:rFonts w:hint="default" w:ascii="Times New Roman" w:hAnsi="Times New Roman" w:cs="Times New Roman"/>
                <w:color w:val="auto"/>
                <w:sz w:val="21"/>
                <w:szCs w:val="21"/>
                <w:highlight w:val="none"/>
                <w:lang w:val="zh-TW"/>
              </w:rPr>
              <w:t>mg/m</w:t>
            </w:r>
            <w:r>
              <w:rPr>
                <w:rFonts w:hint="default" w:ascii="Times New Roman" w:hAnsi="Times New Roman" w:cs="Times New Roman"/>
                <w:color w:val="auto"/>
                <w:sz w:val="21"/>
                <w:szCs w:val="21"/>
                <w:highlight w:val="none"/>
                <w:vertAlign w:val="superscript"/>
                <w:lang w:val="zh-TW"/>
              </w:rPr>
              <w:t>3</w:t>
            </w:r>
            <w:r>
              <w:rPr>
                <w:rFonts w:hint="default" w:ascii="Times New Roman" w:hAnsi="Times New Roman" w:cs="Times New Roman"/>
                <w:color w:val="auto"/>
                <w:sz w:val="21"/>
                <w:szCs w:val="21"/>
                <w:highlight w:val="none"/>
                <w:lang w:val="zh-TW"/>
              </w:rPr>
              <w:t>。</w:t>
            </w:r>
            <w:r>
              <w:rPr>
                <w:rFonts w:hint="eastAsia" w:ascii="Times New Roman" w:hAnsi="Times New Roman" w:cs="Times New Roman"/>
                <w:color w:val="auto"/>
                <w:sz w:val="21"/>
                <w:szCs w:val="21"/>
                <w:highlight w:val="none"/>
                <w:lang w:val="en-US" w:eastAsia="zh-CN"/>
              </w:rPr>
              <w:t>颗粒物</w:t>
            </w:r>
            <w:r>
              <w:rPr>
                <w:rFonts w:hint="default" w:ascii="Times New Roman" w:hAnsi="Times New Roman" w:cs="Times New Roman"/>
                <w:color w:val="auto"/>
                <w:sz w:val="21"/>
                <w:szCs w:val="21"/>
                <w:highlight w:val="none"/>
                <w:lang w:val="en-US" w:eastAsia="zh-CN"/>
              </w:rPr>
              <w:t>排放满足</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《工业炉窑大气污染物排放标准》（GB9078-1996）中表2中二级标准。</w:t>
            </w:r>
          </w:p>
          <w:p w14:paraId="128794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② 2号生产车间</w:t>
            </w:r>
          </w:p>
          <w:p w14:paraId="43CB23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color w:val="auto"/>
                <w:lang w:eastAsia="zh-CN"/>
              </w:rPr>
            </w:pPr>
            <w:r>
              <w:rPr>
                <w:rFonts w:hint="default" w:ascii="Times New Roman" w:hAnsi="Times New Roman" w:eastAsia="宋体" w:cs="Times New Roman"/>
                <w:color w:val="auto"/>
                <w:sz w:val="21"/>
                <w:szCs w:val="21"/>
                <w:highlight w:val="none"/>
                <w:lang w:val="en-US" w:eastAsia="zh-CN"/>
              </w:rPr>
              <w:t>本项目生物质压块、生物质颗粒及木质颗粒生产中</w:t>
            </w:r>
            <w:r>
              <w:rPr>
                <w:rFonts w:hint="eastAsia" w:ascii="Times New Roman" w:hAnsi="Times New Roman" w:eastAsia="宋体" w:cs="Times New Roman"/>
                <w:color w:val="auto"/>
                <w:sz w:val="21"/>
                <w:szCs w:val="21"/>
                <w:highlight w:val="none"/>
                <w:lang w:val="en-US" w:eastAsia="zh-CN"/>
              </w:rPr>
              <w:t>烘干</w:t>
            </w:r>
            <w:r>
              <w:rPr>
                <w:rFonts w:hint="default" w:ascii="Times New Roman" w:hAnsi="Times New Roman" w:eastAsia="宋体" w:cs="Times New Roman"/>
                <w:color w:val="auto"/>
                <w:sz w:val="21"/>
                <w:szCs w:val="21"/>
                <w:highlight w:val="none"/>
                <w:lang w:val="en-US" w:eastAsia="zh-CN"/>
              </w:rPr>
              <w:t>工序产生颗粒物</w:t>
            </w:r>
            <w:r>
              <w:rPr>
                <w:rFonts w:hint="default" w:ascii="Times New Roman" w:hAnsi="Times New Roman" w:eastAsia="宋体" w:cs="Times New Roman"/>
                <w:color w:val="auto"/>
                <w:sz w:val="21"/>
                <w:szCs w:val="21"/>
                <w:highlight w:val="none"/>
              </w:rPr>
              <w:t>，</w:t>
            </w:r>
            <w:r>
              <w:rPr>
                <w:rFonts w:hint="default" w:ascii="Times New Roman" w:hAnsi="Times New Roman" w:eastAsia="宋体" w:cs="Times New Roman"/>
                <w:color w:val="auto"/>
                <w:kern w:val="0"/>
                <w:sz w:val="21"/>
                <w:szCs w:val="21"/>
                <w:highlight w:val="none"/>
                <w:lang w:val="en-US" w:eastAsia="zh-CN" w:bidi="ar"/>
              </w:rPr>
              <w:t>根据《排放源统计调查产排核算方法和系数手册》（生态环境部公告2021年第24号）中2542生物质致密成型燃料加工行业系数手册，</w:t>
            </w:r>
            <w:r>
              <w:rPr>
                <w:rFonts w:hint="eastAsia" w:cs="Times New Roman"/>
                <w:color w:val="auto"/>
                <w:kern w:val="0"/>
                <w:sz w:val="21"/>
                <w:szCs w:val="21"/>
                <w:highlight w:val="none"/>
                <w:lang w:val="en-US" w:eastAsia="zh-CN" w:bidi="ar"/>
              </w:rPr>
              <w:t>烘干</w:t>
            </w:r>
            <w:r>
              <w:rPr>
                <w:rFonts w:hint="default" w:ascii="Times New Roman" w:hAnsi="Times New Roman" w:eastAsia="宋体" w:cs="Times New Roman"/>
                <w:color w:val="auto"/>
                <w:kern w:val="0"/>
                <w:sz w:val="21"/>
                <w:szCs w:val="21"/>
                <w:highlight w:val="none"/>
                <w:lang w:val="en-US" w:eastAsia="zh-CN" w:bidi="ar"/>
              </w:rPr>
              <w:t>工序颗粒物产生量为</w:t>
            </w:r>
            <w:r>
              <w:rPr>
                <w:rFonts w:hint="eastAsia" w:cs="Times New Roman"/>
                <w:color w:val="auto"/>
                <w:kern w:val="0"/>
                <w:sz w:val="21"/>
                <w:szCs w:val="21"/>
                <w:highlight w:val="none"/>
                <w:lang w:val="en-US" w:eastAsia="zh-CN" w:bidi="ar"/>
              </w:rPr>
              <w:t>4.01</w:t>
            </w:r>
            <w:r>
              <w:rPr>
                <w:rFonts w:hint="default" w:ascii="Times New Roman" w:hAnsi="Times New Roman" w:eastAsia="宋体" w:cs="Times New Roman"/>
                <w:color w:val="auto"/>
                <w:kern w:val="0"/>
                <w:sz w:val="21"/>
                <w:szCs w:val="21"/>
                <w:highlight w:val="none"/>
                <w:lang w:val="en-US" w:eastAsia="zh-CN" w:bidi="ar"/>
              </w:rPr>
              <w:t>×10</w:t>
            </w:r>
            <w:r>
              <w:rPr>
                <w:rFonts w:hint="default" w:ascii="Times New Roman" w:hAnsi="Times New Roman" w:eastAsia="宋体" w:cs="Times New Roman"/>
                <w:color w:val="auto"/>
                <w:kern w:val="0"/>
                <w:sz w:val="21"/>
                <w:szCs w:val="21"/>
                <w:highlight w:val="none"/>
                <w:vertAlign w:val="superscript"/>
                <w:lang w:val="en-US" w:eastAsia="zh-CN" w:bidi="ar"/>
              </w:rPr>
              <w:t>-</w:t>
            </w:r>
            <w:r>
              <w:rPr>
                <w:rFonts w:hint="eastAsia" w:cs="Times New Roman"/>
                <w:color w:val="auto"/>
                <w:kern w:val="0"/>
                <w:sz w:val="21"/>
                <w:szCs w:val="21"/>
                <w:highlight w:val="none"/>
                <w:vertAlign w:val="superscript"/>
                <w:lang w:val="en-US" w:eastAsia="zh-CN" w:bidi="ar"/>
              </w:rPr>
              <w:t>3</w:t>
            </w:r>
            <w:r>
              <w:rPr>
                <w:rFonts w:hint="default" w:ascii="Times New Roman" w:hAnsi="Times New Roman" w:eastAsia="宋体" w:cs="Times New Roman"/>
                <w:color w:val="auto"/>
                <w:kern w:val="0"/>
                <w:sz w:val="21"/>
                <w:szCs w:val="21"/>
                <w:highlight w:val="none"/>
                <w:lang w:val="en-US" w:eastAsia="zh-CN" w:bidi="ar"/>
              </w:rPr>
              <w:t xml:space="preserve"> t/t 产品</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lang w:val="en-US" w:eastAsia="zh-CN"/>
              </w:rPr>
              <w:t>本项目</w:t>
            </w:r>
            <w:r>
              <w:rPr>
                <w:rFonts w:hint="eastAsia" w:eastAsia="宋体" w:cs="Times New Roman"/>
                <w:color w:val="auto"/>
                <w:lang w:val="en-US" w:eastAsia="zh-CN"/>
              </w:rPr>
              <w:t>1</w:t>
            </w:r>
            <w:r>
              <w:rPr>
                <w:rFonts w:hint="default" w:ascii="Times New Roman" w:hAnsi="Times New Roman" w:eastAsia="宋体" w:cs="Times New Roman"/>
                <w:color w:val="auto"/>
                <w:lang w:val="en-US" w:eastAsia="zh-CN"/>
              </w:rPr>
              <w:t>号生产车间年产生物质颗粒10000t/a，则颗粒物产生量为</w:t>
            </w:r>
            <w:r>
              <w:rPr>
                <w:rFonts w:hint="eastAsia" w:eastAsia="宋体" w:cs="Times New Roman"/>
                <w:color w:val="auto"/>
                <w:lang w:val="en-US" w:eastAsia="zh-CN"/>
              </w:rPr>
              <w:t>40.1</w:t>
            </w:r>
            <w:r>
              <w:rPr>
                <w:rFonts w:hint="default" w:ascii="Times New Roman" w:hAnsi="Times New Roman" w:eastAsia="宋体" w:cs="Times New Roman"/>
                <w:color w:val="auto"/>
                <w:lang w:val="en-US" w:eastAsia="zh-CN"/>
              </w:rPr>
              <w:t>t/a、</w:t>
            </w:r>
            <w:r>
              <w:rPr>
                <w:rFonts w:hint="eastAsia" w:cs="Times New Roman"/>
                <w:color w:val="auto"/>
                <w:lang w:val="en-US" w:eastAsia="zh-CN"/>
              </w:rPr>
              <w:t>6.683</w:t>
            </w:r>
            <w:r>
              <w:rPr>
                <w:rFonts w:hint="default" w:ascii="Times New Roman" w:hAnsi="Times New Roman" w:eastAsia="宋体" w:cs="Times New Roman"/>
                <w:color w:val="auto"/>
                <w:lang w:val="en-US" w:eastAsia="zh-CN"/>
              </w:rPr>
              <w:t>kg/h。</w:t>
            </w:r>
            <w:r>
              <w:rPr>
                <w:rFonts w:hint="eastAsia" w:eastAsia="宋体" w:cs="Times New Roman"/>
                <w:color w:val="auto"/>
                <w:lang w:val="en-US" w:eastAsia="zh-CN"/>
              </w:rPr>
              <w:t>烘干废气进入生物质燃烧器布袋除尘器（除尘效率</w:t>
            </w:r>
            <w:r>
              <w:rPr>
                <w:rFonts w:hint="eastAsia" w:cs="Times New Roman"/>
                <w:color w:val="auto"/>
                <w:lang w:val="en-US" w:eastAsia="zh-CN"/>
              </w:rPr>
              <w:t>99%</w:t>
            </w:r>
            <w:r>
              <w:rPr>
                <w:rFonts w:hint="eastAsia" w:eastAsia="宋体" w:cs="Times New Roman"/>
                <w:color w:val="auto"/>
                <w:lang w:val="en-US" w:eastAsia="zh-CN"/>
              </w:rPr>
              <w:t>）处理后经15米高烟囱（DA003）排放，则颗粒物</w:t>
            </w:r>
            <w:r>
              <w:rPr>
                <w:rFonts w:hint="default" w:ascii="Times New Roman" w:hAnsi="Times New Roman" w:cs="Times New Roman"/>
                <w:color w:val="auto"/>
                <w:sz w:val="21"/>
                <w:szCs w:val="21"/>
                <w:highlight w:val="none"/>
                <w:lang w:val="zh-TW"/>
              </w:rPr>
              <w:t>排放量为</w:t>
            </w:r>
            <w:r>
              <w:rPr>
                <w:rFonts w:hint="eastAsia" w:cs="Times New Roman"/>
                <w:color w:val="auto"/>
                <w:sz w:val="21"/>
                <w:szCs w:val="21"/>
                <w:highlight w:val="none"/>
                <w:lang w:val="en-US" w:eastAsia="zh-CN"/>
              </w:rPr>
              <w:t>0.401</w:t>
            </w:r>
            <w:r>
              <w:rPr>
                <w:rFonts w:hint="default" w:ascii="Times New Roman" w:hAnsi="Times New Roman" w:cs="Times New Roman"/>
                <w:color w:val="auto"/>
                <w:sz w:val="21"/>
                <w:szCs w:val="21"/>
                <w:highlight w:val="none"/>
                <w:lang w:val="zh-TW"/>
              </w:rPr>
              <w:t>t/a，排放速率为</w:t>
            </w:r>
            <w:r>
              <w:rPr>
                <w:rFonts w:hint="eastAsia" w:cs="Times New Roman"/>
                <w:color w:val="auto"/>
                <w:sz w:val="21"/>
                <w:szCs w:val="21"/>
                <w:highlight w:val="none"/>
                <w:lang w:val="en-US" w:eastAsia="zh-CN"/>
              </w:rPr>
              <w:t>0.067</w:t>
            </w:r>
            <w:r>
              <w:rPr>
                <w:rFonts w:hint="default" w:ascii="Times New Roman" w:hAnsi="Times New Roman" w:cs="Times New Roman"/>
                <w:color w:val="auto"/>
                <w:sz w:val="21"/>
                <w:szCs w:val="21"/>
                <w:highlight w:val="none"/>
                <w:lang w:val="zh-TW"/>
              </w:rPr>
              <w:t>kg/h，排放浓度为</w:t>
            </w:r>
            <w:r>
              <w:rPr>
                <w:rFonts w:hint="eastAsia" w:cs="Times New Roman"/>
                <w:color w:val="auto"/>
                <w:sz w:val="21"/>
                <w:szCs w:val="21"/>
                <w:highlight w:val="none"/>
                <w:lang w:val="en-US" w:eastAsia="zh-CN"/>
              </w:rPr>
              <w:t>12.785</w:t>
            </w:r>
            <w:r>
              <w:rPr>
                <w:rFonts w:hint="default" w:ascii="Times New Roman" w:hAnsi="Times New Roman" w:cs="Times New Roman"/>
                <w:color w:val="auto"/>
                <w:sz w:val="21"/>
                <w:szCs w:val="21"/>
                <w:highlight w:val="none"/>
                <w:lang w:val="zh-TW"/>
              </w:rPr>
              <w:t>mg/m</w:t>
            </w:r>
            <w:r>
              <w:rPr>
                <w:rFonts w:hint="default" w:ascii="Times New Roman" w:hAnsi="Times New Roman" w:cs="Times New Roman"/>
                <w:color w:val="auto"/>
                <w:sz w:val="21"/>
                <w:szCs w:val="21"/>
                <w:highlight w:val="none"/>
                <w:vertAlign w:val="superscript"/>
                <w:lang w:val="zh-TW"/>
              </w:rPr>
              <w:t>3</w:t>
            </w:r>
            <w:r>
              <w:rPr>
                <w:rFonts w:hint="default" w:ascii="Times New Roman" w:hAnsi="Times New Roman" w:cs="Times New Roman"/>
                <w:color w:val="auto"/>
                <w:sz w:val="21"/>
                <w:szCs w:val="21"/>
                <w:highlight w:val="none"/>
                <w:lang w:val="zh-TW"/>
              </w:rPr>
              <w:t>。</w:t>
            </w:r>
            <w:r>
              <w:rPr>
                <w:rFonts w:hint="eastAsia" w:ascii="Times New Roman" w:hAnsi="Times New Roman" w:cs="Times New Roman"/>
                <w:color w:val="auto"/>
                <w:sz w:val="21"/>
                <w:szCs w:val="21"/>
                <w:highlight w:val="none"/>
                <w:lang w:val="en-US" w:eastAsia="zh-CN"/>
              </w:rPr>
              <w:t>颗粒物</w:t>
            </w:r>
            <w:r>
              <w:rPr>
                <w:rFonts w:hint="default" w:ascii="Times New Roman" w:hAnsi="Times New Roman" w:cs="Times New Roman"/>
                <w:color w:val="auto"/>
                <w:sz w:val="21"/>
                <w:szCs w:val="21"/>
                <w:highlight w:val="none"/>
                <w:lang w:val="en-US" w:eastAsia="zh-CN"/>
              </w:rPr>
              <w:t>排放满足</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《工业炉窑大气污染物排放标准》（GB9078-1996）中表2中二级标准。</w:t>
            </w:r>
          </w:p>
          <w:p w14:paraId="24240111">
            <w:pPr>
              <w:keepNext w:val="0"/>
              <w:keepLines w:val="0"/>
              <w:suppressLineNumbers w:val="0"/>
              <w:adjustRightInd w:val="0"/>
              <w:snapToGrid w:val="0"/>
              <w:spacing w:before="0" w:beforeAutospacing="0" w:after="0" w:afterAutospacing="0" w:line="360" w:lineRule="auto"/>
              <w:ind w:left="0" w:right="0" w:firstLine="420" w:firstLineChars="200"/>
              <w:jc w:val="both"/>
              <w:rPr>
                <w:rFonts w:hint="default"/>
                <w:bCs/>
                <w:color w:val="auto"/>
                <w:szCs w:val="21"/>
                <w:highlight w:val="none"/>
              </w:rPr>
            </w:pPr>
            <w:r>
              <w:rPr>
                <w:rFonts w:hint="default"/>
                <w:bCs/>
                <w:color w:val="auto"/>
                <w:szCs w:val="21"/>
                <w:highlight w:val="none"/>
              </w:rPr>
              <w:t>（</w:t>
            </w:r>
            <w:r>
              <w:rPr>
                <w:rFonts w:hint="eastAsia"/>
                <w:bCs/>
                <w:color w:val="auto"/>
                <w:szCs w:val="21"/>
                <w:highlight w:val="none"/>
                <w:lang w:val="en-US" w:eastAsia="zh-CN"/>
              </w:rPr>
              <w:t>2</w:t>
            </w:r>
            <w:r>
              <w:rPr>
                <w:rFonts w:hint="default"/>
                <w:bCs/>
                <w:color w:val="auto"/>
                <w:szCs w:val="21"/>
                <w:highlight w:val="none"/>
              </w:rPr>
              <w:t>）排放口基本情况</w:t>
            </w:r>
          </w:p>
          <w:p w14:paraId="32E7AEFB">
            <w:pPr>
              <w:pStyle w:val="143"/>
              <w:keepNext w:val="0"/>
              <w:keepLines w:val="0"/>
              <w:suppressLineNumbers w:val="0"/>
              <w:spacing w:before="0" w:beforeAutospacing="0" w:after="0" w:afterAutospacing="0" w:line="240" w:lineRule="auto"/>
              <w:ind w:left="0" w:right="0"/>
              <w:jc w:val="center"/>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表4</w:t>
            </w:r>
            <w:r>
              <w:rPr>
                <w:rFonts w:hint="eastAsia" w:ascii="Times New Roman" w:hAnsi="Times New Roman" w:eastAsia="宋体" w:cs="Times New Roman"/>
                <w:b/>
                <w:color w:val="auto"/>
                <w:sz w:val="21"/>
                <w:szCs w:val="21"/>
                <w:highlight w:val="none"/>
                <w:lang w:val="en-US" w:eastAsia="zh-CN"/>
              </w:rPr>
              <w:t xml:space="preserve">-2 </w:t>
            </w:r>
            <w:r>
              <w:rPr>
                <w:rFonts w:hint="default" w:ascii="Times New Roman" w:hAnsi="Times New Roman" w:eastAsia="宋体" w:cs="Times New Roman"/>
                <w:b/>
                <w:color w:val="auto"/>
                <w:sz w:val="21"/>
                <w:szCs w:val="21"/>
                <w:highlight w:val="none"/>
              </w:rPr>
              <w:t>废气排放口基本情况一览表</w:t>
            </w:r>
          </w:p>
          <w:tbl>
            <w:tblPr>
              <w:tblStyle w:val="34"/>
              <w:tblW w:w="5000" w:type="pct"/>
              <w:jc w:val="center"/>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1"/>
              <w:gridCol w:w="1599"/>
              <w:gridCol w:w="920"/>
              <w:gridCol w:w="920"/>
              <w:gridCol w:w="1034"/>
              <w:gridCol w:w="1325"/>
              <w:gridCol w:w="2039"/>
            </w:tblGrid>
            <w:tr w14:paraId="78FA5070">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left w:val="nil"/>
                    <w:bottom w:val="single" w:color="auto" w:sz="4" w:space="0"/>
                    <w:right w:val="single" w:color="auto" w:sz="4" w:space="0"/>
                  </w:tcBorders>
                  <w:noWrap w:val="0"/>
                  <w:vAlign w:val="center"/>
                </w:tcPr>
                <w:p w14:paraId="328600F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编号</w:t>
                  </w:r>
                </w:p>
              </w:tc>
              <w:tc>
                <w:tcPr>
                  <w:tcW w:w="923" w:type="pct"/>
                  <w:tcBorders>
                    <w:left w:val="single" w:color="auto" w:sz="4" w:space="0"/>
                    <w:bottom w:val="single" w:color="auto" w:sz="4" w:space="0"/>
                    <w:right w:val="single" w:color="auto" w:sz="4" w:space="0"/>
                  </w:tcBorders>
                  <w:noWrap w:val="0"/>
                  <w:vAlign w:val="center"/>
                </w:tcPr>
                <w:p w14:paraId="5F1E41CC">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排放口名称</w:t>
                  </w:r>
                </w:p>
              </w:tc>
              <w:tc>
                <w:tcPr>
                  <w:tcW w:w="531" w:type="pct"/>
                  <w:tcBorders>
                    <w:left w:val="single" w:color="auto" w:sz="4" w:space="0"/>
                    <w:bottom w:val="single" w:color="auto" w:sz="4" w:space="0"/>
                    <w:right w:val="single" w:color="auto" w:sz="4" w:space="0"/>
                  </w:tcBorders>
                  <w:noWrap w:val="0"/>
                  <w:vAlign w:val="center"/>
                </w:tcPr>
                <w:p w14:paraId="5E235F2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高度/m</w:t>
                  </w:r>
                </w:p>
              </w:tc>
              <w:tc>
                <w:tcPr>
                  <w:tcW w:w="531" w:type="pct"/>
                  <w:tcBorders>
                    <w:left w:val="single" w:color="auto" w:sz="4" w:space="0"/>
                    <w:bottom w:val="single" w:color="auto" w:sz="4" w:space="0"/>
                    <w:right w:val="single" w:color="auto" w:sz="4" w:space="0"/>
                  </w:tcBorders>
                  <w:noWrap w:val="0"/>
                  <w:vAlign w:val="center"/>
                </w:tcPr>
                <w:p w14:paraId="1E5DBE3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内径/m</w:t>
                  </w:r>
                </w:p>
              </w:tc>
              <w:tc>
                <w:tcPr>
                  <w:tcW w:w="597" w:type="pct"/>
                  <w:tcBorders>
                    <w:left w:val="single" w:color="auto" w:sz="4" w:space="0"/>
                    <w:bottom w:val="single" w:color="auto" w:sz="4" w:space="0"/>
                    <w:right w:val="single" w:color="auto" w:sz="4" w:space="0"/>
                  </w:tcBorders>
                  <w:noWrap w:val="0"/>
                  <w:vAlign w:val="center"/>
                </w:tcPr>
                <w:p w14:paraId="0F198237">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温度/℃</w:t>
                  </w:r>
                </w:p>
              </w:tc>
              <w:tc>
                <w:tcPr>
                  <w:tcW w:w="765" w:type="pct"/>
                  <w:tcBorders>
                    <w:left w:val="single" w:color="auto" w:sz="4" w:space="0"/>
                    <w:bottom w:val="single" w:color="auto" w:sz="4" w:space="0"/>
                    <w:right w:val="single" w:color="auto" w:sz="4" w:space="0"/>
                  </w:tcBorders>
                  <w:noWrap w:val="0"/>
                  <w:vAlign w:val="center"/>
                </w:tcPr>
                <w:p w14:paraId="476B633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类型</w:t>
                  </w:r>
                </w:p>
              </w:tc>
              <w:tc>
                <w:tcPr>
                  <w:tcW w:w="1176" w:type="pct"/>
                  <w:tcBorders>
                    <w:left w:val="single" w:color="auto" w:sz="4" w:space="0"/>
                    <w:bottom w:val="single" w:color="auto" w:sz="4" w:space="0"/>
                    <w:right w:val="nil"/>
                  </w:tcBorders>
                  <w:noWrap w:val="0"/>
                  <w:vAlign w:val="center"/>
                </w:tcPr>
                <w:p w14:paraId="1BE1034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地理坐标</w:t>
                  </w:r>
                </w:p>
              </w:tc>
            </w:tr>
            <w:tr w14:paraId="551E8426">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op w:val="single" w:color="auto" w:sz="4" w:space="0"/>
                    <w:left w:val="nil"/>
                    <w:bottom w:val="single" w:color="auto" w:sz="4" w:space="0"/>
                    <w:right w:val="single" w:color="auto" w:sz="4" w:space="0"/>
                  </w:tcBorders>
                  <w:noWrap w:val="0"/>
                  <w:vAlign w:val="center"/>
                </w:tcPr>
                <w:p w14:paraId="5CE92160">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DA001</w:t>
                  </w:r>
                </w:p>
              </w:tc>
              <w:tc>
                <w:tcPr>
                  <w:tcW w:w="923" w:type="pct"/>
                  <w:tcBorders>
                    <w:top w:val="single" w:color="auto" w:sz="4" w:space="0"/>
                    <w:left w:val="single" w:color="auto" w:sz="4" w:space="0"/>
                    <w:bottom w:val="single" w:color="auto" w:sz="4" w:space="0"/>
                    <w:right w:val="single" w:color="auto" w:sz="4" w:space="0"/>
                  </w:tcBorders>
                  <w:noWrap w:val="0"/>
                  <w:vAlign w:val="center"/>
                </w:tcPr>
                <w:p w14:paraId="57C0315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18"/>
                      <w:szCs w:val="18"/>
                      <w:highlight w:val="none"/>
                      <w:lang w:eastAsia="zh-CN"/>
                    </w:rPr>
                  </w:pPr>
                  <w:r>
                    <w:rPr>
                      <w:rFonts w:hint="eastAsia"/>
                      <w:color w:val="auto"/>
                      <w:sz w:val="18"/>
                      <w:szCs w:val="18"/>
                      <w:highlight w:val="none"/>
                      <w:lang w:val="en-US" w:eastAsia="zh-CN"/>
                    </w:rPr>
                    <w:t>1号烘干燃烧器排气筒</w:t>
                  </w:r>
                </w:p>
              </w:tc>
              <w:tc>
                <w:tcPr>
                  <w:tcW w:w="531" w:type="pct"/>
                  <w:tcBorders>
                    <w:top w:val="single" w:color="auto" w:sz="4" w:space="0"/>
                    <w:left w:val="single" w:color="auto" w:sz="4" w:space="0"/>
                    <w:bottom w:val="single" w:color="auto" w:sz="4" w:space="0"/>
                    <w:right w:val="single" w:color="auto" w:sz="4" w:space="0"/>
                  </w:tcBorders>
                  <w:noWrap w:val="0"/>
                  <w:vAlign w:val="center"/>
                </w:tcPr>
                <w:p w14:paraId="5ABF2477">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531" w:type="pct"/>
                  <w:tcBorders>
                    <w:top w:val="single" w:color="auto" w:sz="4" w:space="0"/>
                    <w:left w:val="single" w:color="auto" w:sz="4" w:space="0"/>
                    <w:bottom w:val="single" w:color="auto" w:sz="4" w:space="0"/>
                    <w:right w:val="single" w:color="auto" w:sz="4" w:space="0"/>
                  </w:tcBorders>
                  <w:noWrap w:val="0"/>
                  <w:vAlign w:val="center"/>
                </w:tcPr>
                <w:p w14:paraId="08E29F9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eastAsia="宋体"/>
                      <w:color w:val="auto"/>
                      <w:sz w:val="18"/>
                      <w:szCs w:val="18"/>
                      <w:highlight w:val="none"/>
                      <w:lang w:val="en-US" w:eastAsia="zh-CN"/>
                    </w:rPr>
                    <w:t>0.4</w:t>
                  </w:r>
                </w:p>
              </w:tc>
              <w:tc>
                <w:tcPr>
                  <w:tcW w:w="597" w:type="pct"/>
                  <w:tcBorders>
                    <w:top w:val="single" w:color="auto" w:sz="4" w:space="0"/>
                    <w:left w:val="single" w:color="auto" w:sz="4" w:space="0"/>
                    <w:bottom w:val="single" w:color="auto" w:sz="4" w:space="0"/>
                    <w:right w:val="single" w:color="auto" w:sz="4" w:space="0"/>
                  </w:tcBorders>
                  <w:noWrap w:val="0"/>
                  <w:vAlign w:val="center"/>
                </w:tcPr>
                <w:p w14:paraId="3B853A2E">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eastAsia="宋体"/>
                      <w:color w:val="auto"/>
                      <w:sz w:val="18"/>
                      <w:szCs w:val="18"/>
                      <w:highlight w:val="none"/>
                      <w:lang w:val="en-US" w:eastAsia="zh-CN"/>
                    </w:rPr>
                    <w:t>1</w:t>
                  </w:r>
                  <w:r>
                    <w:rPr>
                      <w:rFonts w:hint="eastAsia"/>
                      <w:color w:val="auto"/>
                      <w:sz w:val="18"/>
                      <w:szCs w:val="18"/>
                      <w:highlight w:val="none"/>
                      <w:lang w:val="en-US" w:eastAsia="zh-CN"/>
                    </w:rPr>
                    <w:t>40</w:t>
                  </w:r>
                </w:p>
              </w:tc>
              <w:tc>
                <w:tcPr>
                  <w:tcW w:w="765" w:type="pct"/>
                  <w:tcBorders>
                    <w:top w:val="single" w:color="auto" w:sz="4" w:space="0"/>
                    <w:left w:val="single" w:color="auto" w:sz="4" w:space="0"/>
                    <w:bottom w:val="single" w:color="auto" w:sz="4" w:space="0"/>
                    <w:right w:val="single" w:color="auto" w:sz="4" w:space="0"/>
                  </w:tcBorders>
                  <w:noWrap w:val="0"/>
                  <w:vAlign w:val="center"/>
                </w:tcPr>
                <w:p w14:paraId="29080E4A">
                  <w:pPr>
                    <w:keepNext w:val="0"/>
                    <w:keepLines w:val="0"/>
                    <w:suppressLineNumbers w:val="0"/>
                    <w:spacing w:before="0" w:beforeAutospacing="0" w:after="0" w:afterAutospacing="0"/>
                    <w:ind w:left="0" w:right="0"/>
                    <w:jc w:val="center"/>
                    <w:rPr>
                      <w:rFonts w:hint="default" w:ascii="Times New Roman" w:hAnsi="Times New Roman" w:cs="Times New Roman"/>
                      <w:color w:val="auto"/>
                      <w:sz w:val="18"/>
                      <w:szCs w:val="18"/>
                      <w:highlight w:val="none"/>
                    </w:rPr>
                  </w:pPr>
                  <w:r>
                    <w:rPr>
                      <w:rFonts w:hint="default"/>
                      <w:color w:val="auto"/>
                      <w:sz w:val="18"/>
                      <w:szCs w:val="18"/>
                      <w:highlight w:val="none"/>
                    </w:rPr>
                    <w:t>一般排放口</w:t>
                  </w:r>
                </w:p>
              </w:tc>
              <w:tc>
                <w:tcPr>
                  <w:tcW w:w="1176" w:type="pct"/>
                  <w:tcBorders>
                    <w:top w:val="single" w:color="auto" w:sz="4" w:space="0"/>
                    <w:left w:val="single" w:color="auto" w:sz="4" w:space="0"/>
                    <w:bottom w:val="single" w:color="auto" w:sz="4" w:space="0"/>
                    <w:right w:val="nil"/>
                  </w:tcBorders>
                  <w:noWrap w:val="0"/>
                  <w:vAlign w:val="center"/>
                </w:tcPr>
                <w:p w14:paraId="2D79DE0F">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bCs/>
                      <w:color w:val="auto"/>
                      <w:sz w:val="18"/>
                      <w:szCs w:val="18"/>
                      <w:highlight w:val="none"/>
                    </w:rPr>
                  </w:pPr>
                  <w:r>
                    <w:rPr>
                      <w:rFonts w:hint="default" w:ascii="Times New Roman" w:hAnsi="Times New Roman" w:cs="Times New Roman"/>
                      <w:color w:val="auto"/>
                      <w:sz w:val="18"/>
                      <w:szCs w:val="18"/>
                      <w:highlight w:val="none"/>
                    </w:rPr>
                    <w:t>经度：</w:t>
                  </w:r>
                  <w:r>
                    <w:rPr>
                      <w:rFonts w:hint="default"/>
                      <w:bCs/>
                      <w:color w:val="auto"/>
                      <w:sz w:val="18"/>
                      <w:szCs w:val="18"/>
                      <w:highlight w:val="none"/>
                    </w:rPr>
                    <w:t>130.71607500</w:t>
                  </w:r>
                </w:p>
                <w:p w14:paraId="1BC4D2C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纬度：</w:t>
                  </w:r>
                  <w:r>
                    <w:rPr>
                      <w:rFonts w:hint="default"/>
                      <w:bCs/>
                      <w:color w:val="auto"/>
                      <w:sz w:val="18"/>
                      <w:szCs w:val="18"/>
                      <w:highlight w:val="none"/>
                    </w:rPr>
                    <w:t>45.06501406</w:t>
                  </w:r>
                </w:p>
              </w:tc>
            </w:tr>
            <w:tr w14:paraId="2D96B31A">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op w:val="single" w:color="auto" w:sz="4" w:space="0"/>
                    <w:left w:val="nil"/>
                    <w:bottom w:val="single" w:color="auto" w:sz="4" w:space="0"/>
                    <w:right w:val="single" w:color="auto" w:sz="4" w:space="0"/>
                  </w:tcBorders>
                  <w:noWrap w:val="0"/>
                  <w:vAlign w:val="center"/>
                </w:tcPr>
                <w:p w14:paraId="5E53A36A">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DA002</w:t>
                  </w:r>
                </w:p>
              </w:tc>
              <w:tc>
                <w:tcPr>
                  <w:tcW w:w="923" w:type="pct"/>
                  <w:tcBorders>
                    <w:top w:val="single" w:color="auto" w:sz="4" w:space="0"/>
                    <w:left w:val="single" w:color="auto" w:sz="4" w:space="0"/>
                    <w:bottom w:val="single" w:color="auto" w:sz="4" w:space="0"/>
                    <w:right w:val="single" w:color="auto" w:sz="4" w:space="0"/>
                  </w:tcBorders>
                  <w:noWrap w:val="0"/>
                  <w:vAlign w:val="center"/>
                </w:tcPr>
                <w:p w14:paraId="6D56E7B3">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1号生产车间破碎、粉碎、造粒工序排气筒</w:t>
                  </w:r>
                </w:p>
              </w:tc>
              <w:tc>
                <w:tcPr>
                  <w:tcW w:w="531" w:type="pct"/>
                  <w:tcBorders>
                    <w:top w:val="single" w:color="auto" w:sz="4" w:space="0"/>
                    <w:left w:val="single" w:color="auto" w:sz="4" w:space="0"/>
                    <w:bottom w:val="single" w:color="auto" w:sz="4" w:space="0"/>
                    <w:right w:val="single" w:color="auto" w:sz="4" w:space="0"/>
                  </w:tcBorders>
                  <w:noWrap w:val="0"/>
                  <w:vAlign w:val="center"/>
                </w:tcPr>
                <w:p w14:paraId="282A3C3D">
                  <w:pPr>
                    <w:keepNext w:val="0"/>
                    <w:keepLines w:val="0"/>
                    <w:suppressLineNumbers w:val="0"/>
                    <w:spacing w:before="0" w:beforeAutospacing="0" w:after="0" w:afterAutospacing="0"/>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531" w:type="pct"/>
                  <w:tcBorders>
                    <w:top w:val="single" w:color="auto" w:sz="4" w:space="0"/>
                    <w:left w:val="single" w:color="auto" w:sz="4" w:space="0"/>
                    <w:bottom w:val="single" w:color="auto" w:sz="4" w:space="0"/>
                    <w:right w:val="single" w:color="auto" w:sz="4" w:space="0"/>
                  </w:tcBorders>
                  <w:noWrap w:val="0"/>
                  <w:vAlign w:val="center"/>
                </w:tcPr>
                <w:p w14:paraId="0B9F9B55">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eastAsia" w:eastAsia="宋体"/>
                      <w:color w:val="auto"/>
                      <w:sz w:val="18"/>
                      <w:szCs w:val="18"/>
                      <w:highlight w:val="none"/>
                      <w:lang w:val="en-US" w:eastAsia="zh-CN"/>
                    </w:rPr>
                    <w:t>0.4</w:t>
                  </w:r>
                </w:p>
              </w:tc>
              <w:tc>
                <w:tcPr>
                  <w:tcW w:w="597" w:type="pct"/>
                  <w:tcBorders>
                    <w:top w:val="single" w:color="auto" w:sz="4" w:space="0"/>
                    <w:left w:val="single" w:color="auto" w:sz="4" w:space="0"/>
                    <w:bottom w:val="single" w:color="auto" w:sz="4" w:space="0"/>
                    <w:right w:val="single" w:color="auto" w:sz="4" w:space="0"/>
                  </w:tcBorders>
                  <w:noWrap w:val="0"/>
                  <w:vAlign w:val="center"/>
                </w:tcPr>
                <w:p w14:paraId="4EDDBF29">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eastAsia" w:eastAsia="宋体"/>
                      <w:color w:val="auto"/>
                      <w:sz w:val="18"/>
                      <w:szCs w:val="18"/>
                      <w:highlight w:val="none"/>
                      <w:lang w:val="en-US" w:eastAsia="zh-CN"/>
                    </w:rPr>
                    <w:t>20</w:t>
                  </w:r>
                </w:p>
              </w:tc>
              <w:tc>
                <w:tcPr>
                  <w:tcW w:w="765" w:type="pct"/>
                  <w:tcBorders>
                    <w:top w:val="single" w:color="auto" w:sz="4" w:space="0"/>
                    <w:left w:val="single" w:color="auto" w:sz="4" w:space="0"/>
                    <w:bottom w:val="single" w:color="auto" w:sz="4" w:space="0"/>
                    <w:right w:val="single" w:color="auto" w:sz="4" w:space="0"/>
                  </w:tcBorders>
                  <w:noWrap w:val="0"/>
                  <w:vAlign w:val="center"/>
                </w:tcPr>
                <w:p w14:paraId="7B4469BF">
                  <w:pPr>
                    <w:keepNext w:val="0"/>
                    <w:keepLines w:val="0"/>
                    <w:suppressLineNumbers w:val="0"/>
                    <w:spacing w:before="0" w:beforeAutospacing="0" w:after="0" w:afterAutospacing="0"/>
                    <w:ind w:left="0" w:leftChars="0" w:right="0" w:rightChars="0"/>
                    <w:jc w:val="center"/>
                    <w:rPr>
                      <w:rFonts w:hint="default"/>
                      <w:color w:val="auto"/>
                      <w:sz w:val="18"/>
                      <w:szCs w:val="18"/>
                      <w:highlight w:val="none"/>
                    </w:rPr>
                  </w:pPr>
                  <w:r>
                    <w:rPr>
                      <w:rFonts w:hint="default"/>
                      <w:color w:val="auto"/>
                      <w:sz w:val="18"/>
                      <w:szCs w:val="18"/>
                      <w:highlight w:val="none"/>
                    </w:rPr>
                    <w:t>一般排放口</w:t>
                  </w:r>
                </w:p>
              </w:tc>
              <w:tc>
                <w:tcPr>
                  <w:tcW w:w="1176" w:type="pct"/>
                  <w:tcBorders>
                    <w:top w:val="single" w:color="auto" w:sz="4" w:space="0"/>
                    <w:left w:val="single" w:color="auto" w:sz="4" w:space="0"/>
                    <w:bottom w:val="single" w:color="auto" w:sz="4" w:space="0"/>
                    <w:right w:val="nil"/>
                  </w:tcBorders>
                  <w:noWrap w:val="0"/>
                  <w:vAlign w:val="center"/>
                </w:tcPr>
                <w:p w14:paraId="7B95A878">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经度：</w:t>
                  </w:r>
                  <w:r>
                    <w:rPr>
                      <w:rFonts w:hint="default"/>
                      <w:bCs/>
                      <w:color w:val="auto"/>
                      <w:sz w:val="18"/>
                      <w:szCs w:val="18"/>
                      <w:highlight w:val="none"/>
                    </w:rPr>
                    <w:t>130.71614742</w:t>
                  </w:r>
                </w:p>
                <w:p w14:paraId="681CB67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纬度：</w:t>
                  </w:r>
                  <w:r>
                    <w:rPr>
                      <w:rFonts w:hint="default"/>
                      <w:bCs/>
                      <w:color w:val="auto"/>
                      <w:sz w:val="18"/>
                      <w:szCs w:val="18"/>
                      <w:highlight w:val="none"/>
                    </w:rPr>
                    <w:t>45.06508916</w:t>
                  </w:r>
                </w:p>
              </w:tc>
            </w:tr>
            <w:tr w14:paraId="3F8E0C35">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op w:val="single" w:color="auto" w:sz="4" w:space="0"/>
                    <w:left w:val="nil"/>
                    <w:bottom w:val="single" w:color="auto" w:sz="4" w:space="0"/>
                    <w:right w:val="single" w:color="auto" w:sz="4" w:space="0"/>
                  </w:tcBorders>
                  <w:noWrap w:val="0"/>
                  <w:vAlign w:val="center"/>
                </w:tcPr>
                <w:p w14:paraId="615AFB98">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DA003</w:t>
                  </w:r>
                </w:p>
              </w:tc>
              <w:tc>
                <w:tcPr>
                  <w:tcW w:w="923" w:type="pct"/>
                  <w:tcBorders>
                    <w:top w:val="single" w:color="auto" w:sz="4" w:space="0"/>
                    <w:left w:val="single" w:color="auto" w:sz="4" w:space="0"/>
                    <w:bottom w:val="single" w:color="auto" w:sz="4" w:space="0"/>
                    <w:right w:val="single" w:color="auto" w:sz="4" w:space="0"/>
                  </w:tcBorders>
                  <w:noWrap w:val="0"/>
                  <w:vAlign w:val="center"/>
                </w:tcPr>
                <w:p w14:paraId="08C8AF6B">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2号烘干燃烧器排气筒</w:t>
                  </w:r>
                </w:p>
              </w:tc>
              <w:tc>
                <w:tcPr>
                  <w:tcW w:w="531" w:type="pct"/>
                  <w:tcBorders>
                    <w:top w:val="single" w:color="auto" w:sz="4" w:space="0"/>
                    <w:left w:val="single" w:color="auto" w:sz="4" w:space="0"/>
                    <w:bottom w:val="single" w:color="auto" w:sz="4" w:space="0"/>
                    <w:right w:val="single" w:color="auto" w:sz="4" w:space="0"/>
                  </w:tcBorders>
                  <w:noWrap w:val="0"/>
                  <w:vAlign w:val="center"/>
                </w:tcPr>
                <w:p w14:paraId="4B146C6C">
                  <w:pPr>
                    <w:keepNext w:val="0"/>
                    <w:keepLines w:val="0"/>
                    <w:suppressLineNumbers w:val="0"/>
                    <w:spacing w:before="0" w:beforeAutospacing="0" w:after="0" w:afterAutospacing="0"/>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531" w:type="pct"/>
                  <w:tcBorders>
                    <w:top w:val="single" w:color="auto" w:sz="4" w:space="0"/>
                    <w:left w:val="single" w:color="auto" w:sz="4" w:space="0"/>
                    <w:bottom w:val="single" w:color="auto" w:sz="4" w:space="0"/>
                    <w:right w:val="single" w:color="auto" w:sz="4" w:space="0"/>
                  </w:tcBorders>
                  <w:noWrap w:val="0"/>
                  <w:vAlign w:val="center"/>
                </w:tcPr>
                <w:p w14:paraId="1E47439A">
                  <w:pPr>
                    <w:keepNext w:val="0"/>
                    <w:keepLines w:val="0"/>
                    <w:suppressLineNumbers w:val="0"/>
                    <w:spacing w:before="0" w:beforeAutospacing="0" w:after="0" w:afterAutospacing="0"/>
                    <w:ind w:left="0" w:right="0"/>
                    <w:jc w:val="center"/>
                    <w:rPr>
                      <w:rFonts w:hint="eastAsia" w:eastAsia="宋体"/>
                      <w:color w:val="auto"/>
                      <w:sz w:val="18"/>
                      <w:szCs w:val="18"/>
                      <w:highlight w:val="none"/>
                      <w:lang w:val="en-US" w:eastAsia="zh-CN"/>
                    </w:rPr>
                  </w:pPr>
                  <w:r>
                    <w:rPr>
                      <w:rFonts w:hint="eastAsia" w:eastAsia="宋体"/>
                      <w:color w:val="auto"/>
                      <w:sz w:val="18"/>
                      <w:szCs w:val="18"/>
                      <w:highlight w:val="none"/>
                      <w:lang w:val="en-US" w:eastAsia="zh-CN"/>
                    </w:rPr>
                    <w:t>0.4</w:t>
                  </w:r>
                </w:p>
              </w:tc>
              <w:tc>
                <w:tcPr>
                  <w:tcW w:w="597" w:type="pct"/>
                  <w:tcBorders>
                    <w:top w:val="single" w:color="auto" w:sz="4" w:space="0"/>
                    <w:left w:val="single" w:color="auto" w:sz="4" w:space="0"/>
                    <w:bottom w:val="single" w:color="auto" w:sz="4" w:space="0"/>
                    <w:right w:val="single" w:color="auto" w:sz="4" w:space="0"/>
                  </w:tcBorders>
                  <w:noWrap w:val="0"/>
                  <w:vAlign w:val="center"/>
                </w:tcPr>
                <w:p w14:paraId="1C87C7F7">
                  <w:pPr>
                    <w:keepNext w:val="0"/>
                    <w:keepLines w:val="0"/>
                    <w:suppressLineNumbers w:val="0"/>
                    <w:spacing w:before="0" w:beforeAutospacing="0" w:after="0" w:afterAutospacing="0"/>
                    <w:ind w:left="0" w:leftChars="0" w:right="0" w:rightChars="0"/>
                    <w:jc w:val="center"/>
                    <w:rPr>
                      <w:rFonts w:hint="eastAsia" w:eastAsia="宋体"/>
                      <w:color w:val="auto"/>
                      <w:sz w:val="18"/>
                      <w:szCs w:val="18"/>
                      <w:highlight w:val="none"/>
                      <w:lang w:val="en-US" w:eastAsia="zh-CN"/>
                    </w:rPr>
                  </w:pPr>
                  <w:r>
                    <w:rPr>
                      <w:rFonts w:hint="eastAsia" w:eastAsia="宋体"/>
                      <w:color w:val="auto"/>
                      <w:sz w:val="18"/>
                      <w:szCs w:val="18"/>
                      <w:highlight w:val="none"/>
                      <w:lang w:val="en-US" w:eastAsia="zh-CN"/>
                    </w:rPr>
                    <w:t>1</w:t>
                  </w:r>
                  <w:r>
                    <w:rPr>
                      <w:rFonts w:hint="eastAsia"/>
                      <w:color w:val="auto"/>
                      <w:sz w:val="18"/>
                      <w:szCs w:val="18"/>
                      <w:highlight w:val="none"/>
                      <w:lang w:val="en-US" w:eastAsia="zh-CN"/>
                    </w:rPr>
                    <w:t>40</w:t>
                  </w:r>
                </w:p>
              </w:tc>
              <w:tc>
                <w:tcPr>
                  <w:tcW w:w="765" w:type="pct"/>
                  <w:tcBorders>
                    <w:top w:val="single" w:color="auto" w:sz="4" w:space="0"/>
                    <w:left w:val="single" w:color="auto" w:sz="4" w:space="0"/>
                    <w:bottom w:val="single" w:color="auto" w:sz="4" w:space="0"/>
                    <w:right w:val="single" w:color="auto" w:sz="4" w:space="0"/>
                  </w:tcBorders>
                  <w:noWrap w:val="0"/>
                  <w:vAlign w:val="center"/>
                </w:tcPr>
                <w:p w14:paraId="454E8802">
                  <w:pPr>
                    <w:keepNext w:val="0"/>
                    <w:keepLines w:val="0"/>
                    <w:suppressLineNumbers w:val="0"/>
                    <w:spacing w:before="0" w:beforeAutospacing="0" w:after="0" w:afterAutospacing="0"/>
                    <w:ind w:left="0" w:leftChars="0" w:right="0" w:rightChars="0"/>
                    <w:jc w:val="center"/>
                    <w:rPr>
                      <w:rFonts w:hint="default"/>
                      <w:color w:val="auto"/>
                      <w:sz w:val="18"/>
                      <w:szCs w:val="18"/>
                      <w:highlight w:val="none"/>
                    </w:rPr>
                  </w:pPr>
                  <w:r>
                    <w:rPr>
                      <w:rFonts w:hint="default"/>
                      <w:color w:val="auto"/>
                      <w:sz w:val="18"/>
                      <w:szCs w:val="18"/>
                      <w:highlight w:val="none"/>
                    </w:rPr>
                    <w:t>一般排放口</w:t>
                  </w:r>
                </w:p>
              </w:tc>
              <w:tc>
                <w:tcPr>
                  <w:tcW w:w="1176" w:type="pct"/>
                  <w:tcBorders>
                    <w:top w:val="single" w:color="auto" w:sz="4" w:space="0"/>
                    <w:left w:val="single" w:color="auto" w:sz="4" w:space="0"/>
                    <w:bottom w:val="single" w:color="auto" w:sz="4" w:space="0"/>
                    <w:right w:val="nil"/>
                  </w:tcBorders>
                  <w:noWrap w:val="0"/>
                  <w:vAlign w:val="center"/>
                </w:tcPr>
                <w:p w14:paraId="32AF422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经度：</w:t>
                  </w:r>
                  <w:r>
                    <w:rPr>
                      <w:rFonts w:hint="default"/>
                      <w:bCs/>
                      <w:color w:val="auto"/>
                      <w:sz w:val="18"/>
                      <w:szCs w:val="18"/>
                      <w:highlight w:val="none"/>
                    </w:rPr>
                    <w:t>130.71662217</w:t>
                  </w:r>
                </w:p>
                <w:p w14:paraId="76E2FF05">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纬度：</w:t>
                  </w:r>
                  <w:r>
                    <w:rPr>
                      <w:rFonts w:hint="default"/>
                      <w:bCs/>
                      <w:color w:val="auto"/>
                      <w:sz w:val="18"/>
                      <w:szCs w:val="18"/>
                      <w:highlight w:val="none"/>
                    </w:rPr>
                    <w:t>45.06547808</w:t>
                  </w:r>
                </w:p>
              </w:tc>
            </w:tr>
            <w:tr w14:paraId="297B7782">
              <w:tblPrEx>
                <w:tblBorders>
                  <w:top w:val="sing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4" w:type="pct"/>
                  <w:tcBorders>
                    <w:top w:val="single" w:color="auto" w:sz="4" w:space="0"/>
                    <w:left w:val="nil"/>
                    <w:bottom w:val="single" w:color="auto" w:sz="4" w:space="0"/>
                    <w:right w:val="single" w:color="auto" w:sz="4" w:space="0"/>
                  </w:tcBorders>
                  <w:noWrap w:val="0"/>
                  <w:vAlign w:val="center"/>
                </w:tcPr>
                <w:p w14:paraId="194648A9">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DA004</w:t>
                  </w:r>
                </w:p>
              </w:tc>
              <w:tc>
                <w:tcPr>
                  <w:tcW w:w="923"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41F7EDE5">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2号生产车间破碎、粉碎、造粒工序排气筒</w:t>
                  </w:r>
                </w:p>
              </w:tc>
              <w:tc>
                <w:tcPr>
                  <w:tcW w:w="531" w:type="pct"/>
                  <w:tcBorders>
                    <w:top w:val="single" w:color="auto" w:sz="4" w:space="0"/>
                    <w:left w:val="single" w:color="auto" w:sz="4" w:space="0"/>
                    <w:bottom w:val="single" w:color="auto" w:sz="4" w:space="0"/>
                    <w:right w:val="single" w:color="auto" w:sz="4" w:space="0"/>
                  </w:tcBorders>
                  <w:noWrap w:val="0"/>
                  <w:vAlign w:val="center"/>
                </w:tcPr>
                <w:p w14:paraId="20B5ECED">
                  <w:pPr>
                    <w:keepNext w:val="0"/>
                    <w:keepLines w:val="0"/>
                    <w:suppressLineNumbers w:val="0"/>
                    <w:spacing w:before="0" w:beforeAutospacing="0" w:after="0" w:afterAutospacing="0"/>
                    <w:ind w:left="0" w:leftChars="0" w:right="0" w:rightChars="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531" w:type="pct"/>
                  <w:tcBorders>
                    <w:top w:val="single" w:color="auto" w:sz="4" w:space="0"/>
                    <w:left w:val="single" w:color="auto" w:sz="4" w:space="0"/>
                    <w:bottom w:val="single" w:color="auto" w:sz="4" w:space="0"/>
                    <w:right w:val="single" w:color="auto" w:sz="4" w:space="0"/>
                  </w:tcBorders>
                  <w:noWrap w:val="0"/>
                  <w:vAlign w:val="center"/>
                </w:tcPr>
                <w:p w14:paraId="546D8419">
                  <w:pPr>
                    <w:keepNext w:val="0"/>
                    <w:keepLines w:val="0"/>
                    <w:suppressLineNumbers w:val="0"/>
                    <w:spacing w:before="0" w:beforeAutospacing="0" w:after="0" w:afterAutospacing="0"/>
                    <w:ind w:left="0" w:leftChars="0" w:right="0" w:rightChars="0"/>
                    <w:jc w:val="center"/>
                    <w:rPr>
                      <w:rFonts w:hint="eastAsia" w:eastAsia="宋体"/>
                      <w:color w:val="auto"/>
                      <w:sz w:val="18"/>
                      <w:szCs w:val="18"/>
                      <w:highlight w:val="none"/>
                      <w:lang w:val="en-US" w:eastAsia="zh-CN"/>
                    </w:rPr>
                  </w:pPr>
                  <w:r>
                    <w:rPr>
                      <w:rFonts w:hint="eastAsia" w:eastAsia="宋体"/>
                      <w:color w:val="auto"/>
                      <w:sz w:val="18"/>
                      <w:szCs w:val="18"/>
                      <w:highlight w:val="none"/>
                      <w:lang w:val="en-US" w:eastAsia="zh-CN"/>
                    </w:rPr>
                    <w:t>0.4</w:t>
                  </w:r>
                </w:p>
              </w:tc>
              <w:tc>
                <w:tcPr>
                  <w:tcW w:w="597" w:type="pct"/>
                  <w:tcBorders>
                    <w:top w:val="single" w:color="auto" w:sz="4" w:space="0"/>
                    <w:left w:val="single" w:color="auto" w:sz="4" w:space="0"/>
                    <w:bottom w:val="single" w:color="auto" w:sz="4" w:space="0"/>
                    <w:right w:val="single" w:color="auto" w:sz="4" w:space="0"/>
                  </w:tcBorders>
                  <w:noWrap w:val="0"/>
                  <w:vAlign w:val="center"/>
                </w:tcPr>
                <w:p w14:paraId="184E8B31">
                  <w:pPr>
                    <w:keepNext w:val="0"/>
                    <w:keepLines w:val="0"/>
                    <w:suppressLineNumbers w:val="0"/>
                    <w:spacing w:before="0" w:beforeAutospacing="0" w:after="0" w:afterAutospacing="0"/>
                    <w:ind w:left="0" w:leftChars="0" w:right="0" w:rightChars="0"/>
                    <w:jc w:val="center"/>
                    <w:rPr>
                      <w:rFonts w:hint="eastAsia" w:eastAsia="宋体"/>
                      <w:color w:val="auto"/>
                      <w:sz w:val="18"/>
                      <w:szCs w:val="18"/>
                      <w:highlight w:val="none"/>
                      <w:lang w:val="en-US" w:eastAsia="zh-CN"/>
                    </w:rPr>
                  </w:pPr>
                  <w:r>
                    <w:rPr>
                      <w:rFonts w:hint="eastAsia" w:eastAsia="宋体"/>
                      <w:color w:val="auto"/>
                      <w:sz w:val="18"/>
                      <w:szCs w:val="18"/>
                      <w:highlight w:val="none"/>
                      <w:lang w:val="en-US" w:eastAsia="zh-CN"/>
                    </w:rPr>
                    <w:t>20</w:t>
                  </w:r>
                </w:p>
              </w:tc>
              <w:tc>
                <w:tcPr>
                  <w:tcW w:w="765"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23EADB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一般排放口</w:t>
                  </w:r>
                </w:p>
              </w:tc>
              <w:tc>
                <w:tcPr>
                  <w:tcW w:w="1176" w:type="pct"/>
                  <w:tcBorders>
                    <w:top w:val="single" w:color="auto" w:sz="4" w:space="0"/>
                    <w:left w:val="single" w:color="auto" w:sz="4" w:space="0"/>
                    <w:bottom w:val="single" w:color="auto" w:sz="4" w:space="0"/>
                    <w:right w:val="nil"/>
                  </w:tcBorders>
                  <w:shd w:val="clear" w:color="auto" w:fill="auto"/>
                  <w:noWrap w:val="0"/>
                  <w:vAlign w:val="center"/>
                </w:tcPr>
                <w:p w14:paraId="7FF988CF">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经度：</w:t>
                  </w:r>
                  <w:r>
                    <w:rPr>
                      <w:rFonts w:hint="default"/>
                      <w:bCs/>
                      <w:color w:val="auto"/>
                      <w:sz w:val="18"/>
                      <w:szCs w:val="18"/>
                      <w:highlight w:val="none"/>
                    </w:rPr>
                    <w:t>130.71652829</w:t>
                  </w:r>
                </w:p>
                <w:p w14:paraId="2A1BB10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纬度：</w:t>
                  </w:r>
                  <w:r>
                    <w:rPr>
                      <w:rFonts w:hint="default"/>
                      <w:bCs/>
                      <w:color w:val="auto"/>
                      <w:sz w:val="18"/>
                      <w:szCs w:val="18"/>
                      <w:highlight w:val="none"/>
                    </w:rPr>
                    <w:t>45.06551295</w:t>
                  </w:r>
                </w:p>
              </w:tc>
            </w:tr>
          </w:tbl>
          <w:p w14:paraId="5022F5B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r>
              <w:rPr>
                <w:rFonts w:hint="eastAsia"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）本项目非正常排放</w:t>
            </w:r>
          </w:p>
          <w:p w14:paraId="74141735">
            <w:pPr>
              <w:pStyle w:val="7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eastAsia" w:eastAsia="宋体"/>
                <w:color w:val="auto"/>
                <w:sz w:val="24"/>
                <w:highlight w:val="none"/>
                <w:lang w:eastAsia="zh-CN"/>
              </w:rPr>
            </w:pPr>
            <w:r>
              <w:rPr>
                <w:rFonts w:hint="default"/>
                <w:color w:val="auto"/>
                <w:sz w:val="21"/>
                <w:szCs w:val="21"/>
                <w:highlight w:val="none"/>
              </w:rPr>
              <w:t>废气治理措施发生故障，废气未经</w:t>
            </w:r>
            <w:r>
              <w:rPr>
                <w:rFonts w:hint="eastAsia"/>
                <w:color w:val="auto"/>
                <w:sz w:val="21"/>
                <w:szCs w:val="21"/>
                <w:highlight w:val="none"/>
                <w:lang w:val="en-US" w:eastAsia="zh-CN"/>
              </w:rPr>
              <w:t>有效的</w:t>
            </w:r>
            <w:r>
              <w:rPr>
                <w:rFonts w:hint="default"/>
                <w:color w:val="auto"/>
                <w:sz w:val="21"/>
                <w:szCs w:val="21"/>
                <w:highlight w:val="none"/>
              </w:rPr>
              <w:t>处理直接排放</w:t>
            </w:r>
            <w:r>
              <w:rPr>
                <w:rFonts w:hint="eastAsia"/>
                <w:color w:val="auto"/>
                <w:sz w:val="21"/>
                <w:szCs w:val="21"/>
                <w:highlight w:val="none"/>
                <w:lang w:eastAsia="zh-CN"/>
              </w:rPr>
              <w:t>。</w:t>
            </w:r>
          </w:p>
          <w:p w14:paraId="27D1F926">
            <w:pPr>
              <w:pStyle w:val="74"/>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w:t>
            </w:r>
            <w:r>
              <w:rPr>
                <w:rFonts w:hint="eastAsia" w:cs="Times New Roman"/>
                <w:b/>
                <w:color w:val="auto"/>
                <w:sz w:val="21"/>
                <w:szCs w:val="21"/>
                <w:highlight w:val="none"/>
                <w:lang w:val="en-US" w:eastAsia="zh-CN"/>
              </w:rPr>
              <w:t xml:space="preserve">3 </w:t>
            </w:r>
            <w:r>
              <w:rPr>
                <w:rFonts w:hint="default" w:ascii="Times New Roman" w:hAnsi="Times New Roman" w:cs="Times New Roman"/>
                <w:b/>
                <w:color w:val="auto"/>
                <w:sz w:val="21"/>
                <w:szCs w:val="21"/>
                <w:highlight w:val="none"/>
              </w:rPr>
              <w:t>非正常排放参数表</w:t>
            </w:r>
          </w:p>
          <w:tbl>
            <w:tblPr>
              <w:tblStyle w:val="34"/>
              <w:tblW w:w="5000" w:type="pct"/>
              <w:jc w:val="center"/>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208"/>
              <w:gridCol w:w="1503"/>
              <w:gridCol w:w="853"/>
              <w:gridCol w:w="1135"/>
              <w:gridCol w:w="1135"/>
              <w:gridCol w:w="891"/>
              <w:gridCol w:w="953"/>
              <w:gridCol w:w="980"/>
            </w:tblGrid>
            <w:tr w14:paraId="5DF2756B">
              <w:tblPrEx>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97" w:type="pct"/>
                  <w:tcBorders>
                    <w:left w:val="nil"/>
                    <w:bottom w:val="single" w:color="000000" w:sz="4" w:space="0"/>
                    <w:right w:val="single" w:color="000000" w:sz="4" w:space="0"/>
                  </w:tcBorders>
                  <w:noWrap w:val="0"/>
                  <w:vAlign w:val="center"/>
                </w:tcPr>
                <w:p w14:paraId="4740974D">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非正常排放源</w:t>
                  </w:r>
                </w:p>
              </w:tc>
              <w:tc>
                <w:tcPr>
                  <w:tcW w:w="867" w:type="pct"/>
                  <w:tcBorders>
                    <w:left w:val="single" w:color="000000" w:sz="4" w:space="0"/>
                    <w:bottom w:val="single" w:color="000000" w:sz="4" w:space="0"/>
                    <w:right w:val="single" w:color="000000" w:sz="4" w:space="0"/>
                  </w:tcBorders>
                  <w:noWrap w:val="0"/>
                  <w:vAlign w:val="center"/>
                </w:tcPr>
                <w:p w14:paraId="230616AA">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非正常</w:t>
                  </w:r>
                </w:p>
                <w:p w14:paraId="20B609B8">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排放原因</w:t>
                  </w:r>
                </w:p>
              </w:tc>
              <w:tc>
                <w:tcPr>
                  <w:tcW w:w="492" w:type="pct"/>
                  <w:tcBorders>
                    <w:left w:val="single" w:color="000000" w:sz="4" w:space="0"/>
                    <w:bottom w:val="single" w:color="000000" w:sz="4" w:space="0"/>
                    <w:right w:val="single" w:color="000000" w:sz="4" w:space="0"/>
                  </w:tcBorders>
                  <w:noWrap w:val="0"/>
                  <w:vAlign w:val="center"/>
                </w:tcPr>
                <w:p w14:paraId="14173F62">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污染物</w:t>
                  </w:r>
                </w:p>
              </w:tc>
              <w:tc>
                <w:tcPr>
                  <w:tcW w:w="655" w:type="pct"/>
                  <w:tcBorders>
                    <w:left w:val="single" w:color="auto" w:sz="4" w:space="0"/>
                    <w:bottom w:val="single" w:color="000000" w:sz="4" w:space="0"/>
                    <w:right w:val="single" w:color="000000" w:sz="4" w:space="0"/>
                  </w:tcBorders>
                  <w:noWrap w:val="0"/>
                  <w:vAlign w:val="center"/>
                </w:tcPr>
                <w:p w14:paraId="5EC1F754">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非正常</w:t>
                  </w:r>
                  <w:r>
                    <w:rPr>
                      <w:rFonts w:hint="default"/>
                      <w:bCs/>
                      <w:color w:val="auto"/>
                      <w:spacing w:val="0"/>
                      <w:position w:val="0"/>
                      <w:sz w:val="18"/>
                      <w:szCs w:val="18"/>
                      <w:highlight w:val="none"/>
                    </w:rPr>
                    <w:t>排放浓度mg/m</w:t>
                  </w:r>
                  <w:r>
                    <w:rPr>
                      <w:rFonts w:hint="default"/>
                      <w:bCs/>
                      <w:color w:val="auto"/>
                      <w:spacing w:val="0"/>
                      <w:position w:val="0"/>
                      <w:sz w:val="18"/>
                      <w:szCs w:val="18"/>
                      <w:highlight w:val="none"/>
                      <w:vertAlign w:val="superscript"/>
                    </w:rPr>
                    <w:t>3</w:t>
                  </w:r>
                </w:p>
              </w:tc>
              <w:tc>
                <w:tcPr>
                  <w:tcW w:w="655" w:type="pct"/>
                  <w:tcBorders>
                    <w:left w:val="single" w:color="auto" w:sz="4" w:space="0"/>
                    <w:bottom w:val="single" w:color="000000" w:sz="4" w:space="0"/>
                    <w:right w:val="single" w:color="000000" w:sz="4" w:space="0"/>
                  </w:tcBorders>
                  <w:noWrap w:val="0"/>
                  <w:vAlign w:val="center"/>
                </w:tcPr>
                <w:p w14:paraId="5836E3A3">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非正常排放</w:t>
                  </w:r>
                  <w:r>
                    <w:rPr>
                      <w:rFonts w:hint="default" w:ascii="Times New Roman" w:hAnsi="Times New Roman" w:eastAsia="宋体" w:cs="Times New Roman"/>
                      <w:bCs/>
                      <w:color w:val="auto"/>
                      <w:sz w:val="18"/>
                      <w:szCs w:val="18"/>
                      <w:highlight w:val="none"/>
                    </w:rPr>
                    <w:t>速率kg/h</w:t>
                  </w:r>
                </w:p>
              </w:tc>
              <w:tc>
                <w:tcPr>
                  <w:tcW w:w="514" w:type="pct"/>
                  <w:tcBorders>
                    <w:left w:val="single" w:color="000000" w:sz="4" w:space="0"/>
                    <w:bottom w:val="single" w:color="000000" w:sz="4" w:space="0"/>
                    <w:right w:val="single" w:color="000000" w:sz="4" w:space="0"/>
                  </w:tcBorders>
                  <w:noWrap w:val="0"/>
                  <w:vAlign w:val="center"/>
                </w:tcPr>
                <w:p w14:paraId="0D38BBC4">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单次持续时间/h</w:t>
                  </w:r>
                </w:p>
              </w:tc>
              <w:tc>
                <w:tcPr>
                  <w:tcW w:w="550" w:type="pct"/>
                  <w:tcBorders>
                    <w:left w:val="single" w:color="000000" w:sz="4" w:space="0"/>
                    <w:bottom w:val="single" w:color="000000" w:sz="4" w:space="0"/>
                    <w:right w:val="single" w:color="auto" w:sz="4" w:space="0"/>
                  </w:tcBorders>
                  <w:noWrap w:val="0"/>
                  <w:vAlign w:val="center"/>
                </w:tcPr>
                <w:p w14:paraId="116C2503">
                  <w:pPr>
                    <w:pStyle w:val="74"/>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年发生频次/次</w:t>
                  </w:r>
                </w:p>
              </w:tc>
              <w:tc>
                <w:tcPr>
                  <w:tcW w:w="565" w:type="pct"/>
                  <w:tcBorders>
                    <w:left w:val="single" w:color="auto" w:sz="4" w:space="0"/>
                    <w:bottom w:val="single" w:color="000000" w:sz="4" w:space="0"/>
                    <w:right w:val="nil"/>
                  </w:tcBorders>
                  <w:noWrap w:val="0"/>
                  <w:vAlign w:val="center"/>
                </w:tcPr>
                <w:p w14:paraId="0F660EA7">
                  <w:pPr>
                    <w:keepNext w:val="0"/>
                    <w:keepLines w:val="0"/>
                    <w:pageBreakBefore w:val="0"/>
                    <w:widowControl w:val="0"/>
                    <w:suppressLineNumbers w:val="0"/>
                    <w:kinsoku/>
                    <w:wordWrap/>
                    <w:overflowPunct/>
                    <w:topLinePunct w:val="0"/>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应对措施</w:t>
                  </w:r>
                </w:p>
              </w:tc>
            </w:tr>
            <w:tr w14:paraId="6B151902">
              <w:tblPrEx>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97" w:type="pct"/>
                  <w:tcBorders>
                    <w:top w:val="single" w:color="000000" w:sz="4" w:space="0"/>
                    <w:left w:val="nil"/>
                    <w:bottom w:val="single" w:color="000000" w:sz="4" w:space="0"/>
                    <w:right w:val="single" w:color="000000" w:sz="4" w:space="0"/>
                  </w:tcBorders>
                  <w:noWrap w:val="0"/>
                  <w:vAlign w:val="center"/>
                </w:tcPr>
                <w:p w14:paraId="4106F853">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DA001</w:t>
                  </w:r>
                </w:p>
              </w:tc>
              <w:tc>
                <w:tcPr>
                  <w:tcW w:w="867" w:type="pct"/>
                  <w:tcBorders>
                    <w:top w:val="single" w:color="000000" w:sz="4" w:space="0"/>
                    <w:left w:val="single" w:color="000000" w:sz="4" w:space="0"/>
                    <w:bottom w:val="single" w:color="000000" w:sz="4" w:space="0"/>
                    <w:right w:val="single" w:color="000000" w:sz="4" w:space="0"/>
                  </w:tcBorders>
                  <w:noWrap w:val="0"/>
                  <w:vAlign w:val="center"/>
                </w:tcPr>
                <w:p w14:paraId="711B9249">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color w:val="auto"/>
                      <w:sz w:val="18"/>
                      <w:szCs w:val="18"/>
                      <w:highlight w:val="none"/>
                      <w:lang w:val="en-US" w:eastAsia="zh-CN"/>
                    </w:rPr>
                    <w:t>布袋</w:t>
                  </w:r>
                  <w:r>
                    <w:rPr>
                      <w:rFonts w:hint="default" w:ascii="Times New Roman" w:hAnsi="Times New Roman" w:eastAsia="宋体" w:cs="Times New Roman"/>
                      <w:color w:val="auto"/>
                      <w:sz w:val="18"/>
                      <w:szCs w:val="18"/>
                      <w:highlight w:val="none"/>
                    </w:rPr>
                    <w:t>除尘器发生故障，处理效率降低为</w:t>
                  </w:r>
                  <w:r>
                    <w:rPr>
                      <w:rFonts w:hint="eastAsia" w:cs="Times New Roman"/>
                      <w:color w:val="auto"/>
                      <w:sz w:val="18"/>
                      <w:szCs w:val="18"/>
                      <w:highlight w:val="none"/>
                      <w:lang w:val="en-US" w:eastAsia="zh-CN"/>
                    </w:rPr>
                    <w:t>50</w:t>
                  </w:r>
                  <w:r>
                    <w:rPr>
                      <w:rFonts w:hint="default" w:ascii="Times New Roman" w:hAnsi="Times New Roman" w:eastAsia="宋体" w:cs="Times New Roman"/>
                      <w:color w:val="auto"/>
                      <w:sz w:val="18"/>
                      <w:szCs w:val="18"/>
                      <w:highlight w:val="none"/>
                    </w:rPr>
                    <w:t>%</w:t>
                  </w:r>
                </w:p>
              </w:tc>
              <w:tc>
                <w:tcPr>
                  <w:tcW w:w="492" w:type="pct"/>
                  <w:tcBorders>
                    <w:top w:val="single" w:color="000000" w:sz="4" w:space="0"/>
                    <w:left w:val="single" w:color="000000" w:sz="4" w:space="0"/>
                    <w:bottom w:val="single" w:color="000000" w:sz="4" w:space="0"/>
                    <w:right w:val="single" w:color="000000" w:sz="4" w:space="0"/>
                  </w:tcBorders>
                  <w:noWrap w:val="0"/>
                  <w:vAlign w:val="center"/>
                </w:tcPr>
                <w:p w14:paraId="38882998">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val="en-US" w:eastAsia="zh-CN"/>
                    </w:rPr>
                    <w:t>颗粒物</w:t>
                  </w:r>
                </w:p>
              </w:tc>
              <w:tc>
                <w:tcPr>
                  <w:tcW w:w="655" w:type="pct"/>
                  <w:tcBorders>
                    <w:top w:val="single" w:color="000000" w:sz="4" w:space="0"/>
                    <w:left w:val="single" w:color="auto" w:sz="4" w:space="0"/>
                    <w:bottom w:val="single" w:color="000000" w:sz="4" w:space="0"/>
                    <w:right w:val="single" w:color="000000" w:sz="4" w:space="0"/>
                  </w:tcBorders>
                  <w:noWrap w:val="0"/>
                  <w:vAlign w:val="center"/>
                </w:tcPr>
                <w:p w14:paraId="35DA80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2061.5</w:t>
                  </w:r>
                </w:p>
              </w:tc>
              <w:tc>
                <w:tcPr>
                  <w:tcW w:w="655" w:type="pct"/>
                  <w:tcBorders>
                    <w:top w:val="single" w:color="000000" w:sz="4" w:space="0"/>
                    <w:left w:val="single" w:color="auto" w:sz="4" w:space="0"/>
                    <w:bottom w:val="single" w:color="000000" w:sz="4" w:space="0"/>
                    <w:right w:val="single" w:color="000000" w:sz="4" w:space="0"/>
                  </w:tcBorders>
                  <w:noWrap w:val="0"/>
                  <w:vAlign w:val="center"/>
                </w:tcPr>
                <w:p w14:paraId="6E39E7F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10.778</w:t>
                  </w:r>
                </w:p>
              </w:tc>
              <w:tc>
                <w:tcPr>
                  <w:tcW w:w="514" w:type="pct"/>
                  <w:tcBorders>
                    <w:top w:val="single" w:color="000000" w:sz="4" w:space="0"/>
                    <w:left w:val="single" w:color="000000" w:sz="4" w:space="0"/>
                    <w:bottom w:val="single" w:color="000000" w:sz="4" w:space="0"/>
                    <w:right w:val="single" w:color="000000" w:sz="4" w:space="0"/>
                  </w:tcBorders>
                  <w:noWrap w:val="0"/>
                  <w:vAlign w:val="center"/>
                </w:tcPr>
                <w:p w14:paraId="01C51ED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550" w:type="pct"/>
                  <w:tcBorders>
                    <w:top w:val="single" w:color="000000" w:sz="4" w:space="0"/>
                    <w:left w:val="single" w:color="000000" w:sz="4" w:space="0"/>
                    <w:bottom w:val="single" w:color="000000" w:sz="4" w:space="0"/>
                    <w:right w:val="single" w:color="auto" w:sz="4" w:space="0"/>
                  </w:tcBorders>
                  <w:noWrap w:val="0"/>
                  <w:vAlign w:val="center"/>
                </w:tcPr>
                <w:p w14:paraId="19FE0D6A">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565" w:type="pct"/>
                  <w:tcBorders>
                    <w:top w:val="single" w:color="000000" w:sz="4" w:space="0"/>
                    <w:left w:val="single" w:color="auto" w:sz="4" w:space="0"/>
                    <w:bottom w:val="single" w:color="000000" w:sz="4" w:space="0"/>
                    <w:right w:val="nil"/>
                  </w:tcBorders>
                  <w:noWrap w:val="0"/>
                  <w:vAlign w:val="center"/>
                </w:tcPr>
                <w:p w14:paraId="0967EFA1">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sz w:val="18"/>
                      <w:szCs w:val="18"/>
                      <w:highlight w:val="none"/>
                    </w:rPr>
                    <w:t>设备停止运行，进行检修维护</w:t>
                  </w:r>
                </w:p>
              </w:tc>
            </w:tr>
            <w:tr w14:paraId="146211A9">
              <w:tblPrEx>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97" w:type="pct"/>
                  <w:tcBorders>
                    <w:top w:val="single" w:color="000000" w:sz="4" w:space="0"/>
                    <w:left w:val="nil"/>
                    <w:bottom w:val="single" w:color="000000" w:sz="4" w:space="0"/>
                    <w:right w:val="single" w:color="000000" w:sz="4" w:space="0"/>
                  </w:tcBorders>
                  <w:noWrap w:val="0"/>
                  <w:vAlign w:val="center"/>
                </w:tcPr>
                <w:p w14:paraId="17BA2C30">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DA002</w:t>
                  </w:r>
                </w:p>
              </w:tc>
              <w:tc>
                <w:tcPr>
                  <w:tcW w:w="867" w:type="pct"/>
                  <w:tcBorders>
                    <w:top w:val="single" w:color="000000" w:sz="4" w:space="0"/>
                    <w:left w:val="single" w:color="000000" w:sz="4" w:space="0"/>
                    <w:bottom w:val="single" w:color="000000" w:sz="4" w:space="0"/>
                    <w:right w:val="single" w:color="000000" w:sz="4" w:space="0"/>
                  </w:tcBorders>
                  <w:noWrap w:val="0"/>
                  <w:vAlign w:val="center"/>
                </w:tcPr>
                <w:p w14:paraId="6DFE684A">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布袋</w:t>
                  </w:r>
                  <w:r>
                    <w:rPr>
                      <w:rFonts w:hint="default" w:ascii="Times New Roman" w:hAnsi="Times New Roman" w:eastAsia="宋体" w:cs="Times New Roman"/>
                      <w:color w:val="auto"/>
                      <w:sz w:val="18"/>
                      <w:szCs w:val="18"/>
                      <w:highlight w:val="none"/>
                    </w:rPr>
                    <w:t>除尘器发生故障，处理效率降低为</w:t>
                  </w:r>
                  <w:r>
                    <w:rPr>
                      <w:rFonts w:hint="eastAsia" w:cs="Times New Roman"/>
                      <w:color w:val="auto"/>
                      <w:sz w:val="18"/>
                      <w:szCs w:val="18"/>
                      <w:highlight w:val="none"/>
                      <w:lang w:val="en-US" w:eastAsia="zh-CN"/>
                    </w:rPr>
                    <w:t>50</w:t>
                  </w:r>
                  <w:r>
                    <w:rPr>
                      <w:rFonts w:hint="default" w:ascii="Times New Roman" w:hAnsi="Times New Roman" w:eastAsia="宋体" w:cs="Times New Roman"/>
                      <w:color w:val="auto"/>
                      <w:sz w:val="18"/>
                      <w:szCs w:val="18"/>
                      <w:highlight w:val="none"/>
                    </w:rPr>
                    <w:t>%</w:t>
                  </w:r>
                </w:p>
              </w:tc>
              <w:tc>
                <w:tcPr>
                  <w:tcW w:w="492" w:type="pct"/>
                  <w:tcBorders>
                    <w:top w:val="single" w:color="000000" w:sz="4" w:space="0"/>
                    <w:left w:val="single" w:color="000000" w:sz="4" w:space="0"/>
                    <w:bottom w:val="single" w:color="000000" w:sz="4" w:space="0"/>
                    <w:right w:val="single" w:color="000000" w:sz="4" w:space="0"/>
                  </w:tcBorders>
                  <w:noWrap w:val="0"/>
                  <w:vAlign w:val="center"/>
                </w:tcPr>
                <w:p w14:paraId="403E017C">
                  <w:pPr>
                    <w:keepNext w:val="0"/>
                    <w:keepLines w:val="0"/>
                    <w:suppressLineNumbers w:val="0"/>
                    <w:spacing w:before="0" w:beforeAutospacing="0" w:after="0" w:afterAutospacing="0"/>
                    <w:ind w:left="0" w:right="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655" w:type="pct"/>
                  <w:tcBorders>
                    <w:top w:val="single" w:color="000000" w:sz="4" w:space="0"/>
                    <w:left w:val="single" w:color="auto" w:sz="4" w:space="0"/>
                    <w:bottom w:val="single" w:color="000000" w:sz="4" w:space="0"/>
                    <w:right w:val="single" w:color="000000" w:sz="4" w:space="0"/>
                  </w:tcBorders>
                  <w:noWrap w:val="0"/>
                  <w:vAlign w:val="center"/>
                </w:tcPr>
                <w:p w14:paraId="781191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100.35</w:t>
                  </w:r>
                </w:p>
              </w:tc>
              <w:tc>
                <w:tcPr>
                  <w:tcW w:w="655" w:type="pct"/>
                  <w:tcBorders>
                    <w:top w:val="single" w:color="000000" w:sz="4" w:space="0"/>
                    <w:left w:val="single" w:color="auto" w:sz="4" w:space="0"/>
                    <w:bottom w:val="single" w:color="000000" w:sz="4" w:space="0"/>
                    <w:right w:val="single" w:color="000000" w:sz="4" w:space="0"/>
                  </w:tcBorders>
                  <w:noWrap w:val="0"/>
                  <w:vAlign w:val="center"/>
                </w:tcPr>
                <w:p w14:paraId="7164E5E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0.502</w:t>
                  </w:r>
                </w:p>
              </w:tc>
              <w:tc>
                <w:tcPr>
                  <w:tcW w:w="514" w:type="pct"/>
                  <w:tcBorders>
                    <w:top w:val="single" w:color="000000" w:sz="4" w:space="0"/>
                    <w:left w:val="single" w:color="000000" w:sz="4" w:space="0"/>
                    <w:bottom w:val="single" w:color="000000" w:sz="4" w:space="0"/>
                    <w:right w:val="single" w:color="000000" w:sz="4" w:space="0"/>
                  </w:tcBorders>
                  <w:noWrap w:val="0"/>
                  <w:vAlign w:val="center"/>
                </w:tcPr>
                <w:p w14:paraId="60518398">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550" w:type="pct"/>
                  <w:tcBorders>
                    <w:top w:val="single" w:color="000000" w:sz="4" w:space="0"/>
                    <w:left w:val="single" w:color="000000" w:sz="4" w:space="0"/>
                    <w:bottom w:val="single" w:color="000000" w:sz="4" w:space="0"/>
                    <w:right w:val="single" w:color="auto" w:sz="4" w:space="0"/>
                  </w:tcBorders>
                  <w:noWrap w:val="0"/>
                  <w:vAlign w:val="center"/>
                </w:tcPr>
                <w:p w14:paraId="3C9FFC6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565" w:type="pct"/>
                  <w:tcBorders>
                    <w:top w:val="single" w:color="000000" w:sz="4" w:space="0"/>
                    <w:left w:val="single" w:color="auto" w:sz="4" w:space="0"/>
                    <w:bottom w:val="single" w:color="000000" w:sz="4" w:space="0"/>
                    <w:right w:val="nil"/>
                  </w:tcBorders>
                  <w:noWrap w:val="0"/>
                  <w:vAlign w:val="center"/>
                </w:tcPr>
                <w:p w14:paraId="7771141C">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设备停止运行，进行检修维护</w:t>
                  </w:r>
                </w:p>
              </w:tc>
            </w:tr>
            <w:tr w14:paraId="5210D649">
              <w:tblPrEx>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97" w:type="pct"/>
                  <w:tcBorders>
                    <w:top w:val="single" w:color="000000" w:sz="4" w:space="0"/>
                    <w:left w:val="nil"/>
                    <w:bottom w:val="single" w:color="000000" w:sz="4" w:space="0"/>
                    <w:right w:val="single" w:color="000000" w:sz="4" w:space="0"/>
                  </w:tcBorders>
                  <w:noWrap w:val="0"/>
                  <w:vAlign w:val="center"/>
                </w:tcPr>
                <w:p w14:paraId="32AA6FB2">
                  <w:pPr>
                    <w:keepNext w:val="0"/>
                    <w:keepLines w:val="0"/>
                    <w:suppressLineNumbers w:val="0"/>
                    <w:spacing w:before="0" w:beforeAutospacing="0" w:after="0" w:afterAutospacing="0"/>
                    <w:ind w:left="0" w:right="0"/>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DA003</w:t>
                  </w:r>
                </w:p>
              </w:tc>
              <w:tc>
                <w:tcPr>
                  <w:tcW w:w="867" w:type="pct"/>
                  <w:tcBorders>
                    <w:top w:val="single" w:color="000000" w:sz="4" w:space="0"/>
                    <w:left w:val="single" w:color="000000" w:sz="4" w:space="0"/>
                    <w:bottom w:val="single" w:color="000000" w:sz="4" w:space="0"/>
                    <w:right w:val="single" w:color="000000" w:sz="4" w:space="0"/>
                  </w:tcBorders>
                  <w:noWrap w:val="0"/>
                  <w:vAlign w:val="center"/>
                </w:tcPr>
                <w:p w14:paraId="58BAE6ED">
                  <w:pPr>
                    <w:keepNext w:val="0"/>
                    <w:keepLines w:val="0"/>
                    <w:suppressLineNumbers w:val="0"/>
                    <w:spacing w:before="0" w:beforeAutospacing="0" w:after="0" w:afterAutospacing="0"/>
                    <w:ind w:left="0" w:right="0"/>
                    <w:jc w:val="center"/>
                    <w:rPr>
                      <w:rFonts w:hint="eastAsia"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布袋</w:t>
                  </w:r>
                  <w:r>
                    <w:rPr>
                      <w:rFonts w:hint="default" w:ascii="Times New Roman" w:hAnsi="Times New Roman" w:eastAsia="宋体" w:cs="Times New Roman"/>
                      <w:color w:val="auto"/>
                      <w:sz w:val="18"/>
                      <w:szCs w:val="18"/>
                      <w:highlight w:val="none"/>
                    </w:rPr>
                    <w:t>除尘器发生故障，处理效率降低为</w:t>
                  </w:r>
                  <w:r>
                    <w:rPr>
                      <w:rFonts w:hint="eastAsia" w:cs="Times New Roman"/>
                      <w:color w:val="auto"/>
                      <w:sz w:val="18"/>
                      <w:szCs w:val="18"/>
                      <w:highlight w:val="none"/>
                      <w:lang w:val="en-US" w:eastAsia="zh-CN"/>
                    </w:rPr>
                    <w:t>50</w:t>
                  </w:r>
                  <w:r>
                    <w:rPr>
                      <w:rFonts w:hint="default" w:ascii="Times New Roman" w:hAnsi="Times New Roman" w:eastAsia="宋体" w:cs="Times New Roman"/>
                      <w:color w:val="auto"/>
                      <w:sz w:val="18"/>
                      <w:szCs w:val="18"/>
                      <w:highlight w:val="none"/>
                    </w:rPr>
                    <w:t>%</w:t>
                  </w:r>
                </w:p>
              </w:tc>
              <w:tc>
                <w:tcPr>
                  <w:tcW w:w="492" w:type="pct"/>
                  <w:tcBorders>
                    <w:top w:val="single" w:color="000000" w:sz="4" w:space="0"/>
                    <w:left w:val="single" w:color="000000" w:sz="4" w:space="0"/>
                    <w:bottom w:val="single" w:color="000000" w:sz="4" w:space="0"/>
                    <w:right w:val="single" w:color="000000" w:sz="4" w:space="0"/>
                  </w:tcBorders>
                  <w:noWrap w:val="0"/>
                  <w:vAlign w:val="center"/>
                </w:tcPr>
                <w:p w14:paraId="5F7CD344">
                  <w:pPr>
                    <w:keepNext w:val="0"/>
                    <w:keepLines w:val="0"/>
                    <w:suppressLineNumbers w:val="0"/>
                    <w:spacing w:before="0" w:beforeAutospacing="0" w:after="0" w:afterAutospacing="0"/>
                    <w:ind w:left="0" w:right="0"/>
                    <w:jc w:val="center"/>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1135" w:type="dxa"/>
                  <w:tcBorders>
                    <w:top w:val="single" w:color="000000" w:sz="4" w:space="0"/>
                    <w:left w:val="single" w:color="auto" w:sz="4" w:space="0"/>
                    <w:bottom w:val="single" w:color="000000" w:sz="4" w:space="0"/>
                    <w:right w:val="single" w:color="000000" w:sz="4" w:space="0"/>
                  </w:tcBorders>
                  <w:noWrap w:val="0"/>
                  <w:vAlign w:val="center"/>
                </w:tcPr>
                <w:p w14:paraId="185D61D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bidi="ar-SA"/>
                    </w:rPr>
                    <w:t>2061.5</w:t>
                  </w:r>
                </w:p>
              </w:tc>
              <w:tc>
                <w:tcPr>
                  <w:tcW w:w="1135" w:type="dxa"/>
                  <w:tcBorders>
                    <w:top w:val="single" w:color="000000" w:sz="4" w:space="0"/>
                    <w:left w:val="single" w:color="auto" w:sz="4" w:space="0"/>
                    <w:bottom w:val="single" w:color="000000" w:sz="4" w:space="0"/>
                    <w:right w:val="single" w:color="000000" w:sz="4" w:space="0"/>
                  </w:tcBorders>
                  <w:noWrap w:val="0"/>
                  <w:vAlign w:val="center"/>
                </w:tcPr>
                <w:p w14:paraId="5E3C49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10.778</w:t>
                  </w:r>
                </w:p>
              </w:tc>
              <w:tc>
                <w:tcPr>
                  <w:tcW w:w="514" w:type="pct"/>
                  <w:tcBorders>
                    <w:top w:val="single" w:color="000000" w:sz="4" w:space="0"/>
                    <w:left w:val="single" w:color="000000" w:sz="4" w:space="0"/>
                    <w:bottom w:val="single" w:color="000000" w:sz="4" w:space="0"/>
                    <w:right w:val="single" w:color="000000" w:sz="4" w:space="0"/>
                  </w:tcBorders>
                  <w:noWrap w:val="0"/>
                  <w:vAlign w:val="center"/>
                </w:tcPr>
                <w:p w14:paraId="4E744A7E">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＜1</w:t>
                  </w:r>
                </w:p>
              </w:tc>
              <w:tc>
                <w:tcPr>
                  <w:tcW w:w="550" w:type="pct"/>
                  <w:tcBorders>
                    <w:top w:val="single" w:color="000000" w:sz="4" w:space="0"/>
                    <w:left w:val="single" w:color="000000" w:sz="4" w:space="0"/>
                    <w:bottom w:val="single" w:color="000000" w:sz="4" w:space="0"/>
                    <w:right w:val="single" w:color="auto" w:sz="4" w:space="0"/>
                  </w:tcBorders>
                  <w:noWrap w:val="0"/>
                  <w:vAlign w:val="center"/>
                </w:tcPr>
                <w:p w14:paraId="0271EF6B">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565" w:type="pct"/>
                  <w:tcBorders>
                    <w:top w:val="single" w:color="000000" w:sz="4" w:space="0"/>
                    <w:left w:val="single" w:color="auto" w:sz="4" w:space="0"/>
                    <w:bottom w:val="single" w:color="000000" w:sz="4" w:space="0"/>
                    <w:right w:val="nil"/>
                  </w:tcBorders>
                  <w:noWrap w:val="0"/>
                  <w:vAlign w:val="center"/>
                </w:tcPr>
                <w:p w14:paraId="1BB0D4A7">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设备停止运行，进行检修维护</w:t>
                  </w:r>
                </w:p>
              </w:tc>
            </w:tr>
            <w:tr w14:paraId="054437A1">
              <w:tblPrEx>
                <w:tblBorders>
                  <w:top w:val="single" w:color="auto" w:sz="4"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0" w:hRule="atLeast"/>
                <w:jc w:val="center"/>
              </w:trPr>
              <w:tc>
                <w:tcPr>
                  <w:tcW w:w="697" w:type="pct"/>
                  <w:tcBorders>
                    <w:top w:val="single" w:color="000000" w:sz="4" w:space="0"/>
                    <w:left w:val="nil"/>
                    <w:bottom w:val="single" w:color="000000" w:sz="4" w:space="0"/>
                    <w:right w:val="single" w:color="000000" w:sz="4" w:space="0"/>
                  </w:tcBorders>
                  <w:noWrap w:val="0"/>
                  <w:vAlign w:val="center"/>
                </w:tcPr>
                <w:p w14:paraId="39081E68">
                  <w:pPr>
                    <w:keepNext w:val="0"/>
                    <w:keepLines w:val="0"/>
                    <w:suppressLineNumbers w:val="0"/>
                    <w:spacing w:before="0" w:beforeAutospacing="0" w:after="0" w:afterAutospacing="0"/>
                    <w:ind w:left="0" w:right="0"/>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DA004</w:t>
                  </w:r>
                </w:p>
              </w:tc>
              <w:tc>
                <w:tcPr>
                  <w:tcW w:w="867"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95ABA38">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sz w:val="18"/>
                      <w:szCs w:val="18"/>
                      <w:highlight w:val="none"/>
                      <w:lang w:val="en-US" w:eastAsia="zh-CN"/>
                    </w:rPr>
                    <w:t>布袋</w:t>
                  </w:r>
                  <w:r>
                    <w:rPr>
                      <w:rFonts w:hint="default" w:ascii="Times New Roman" w:hAnsi="Times New Roman" w:eastAsia="宋体" w:cs="Times New Roman"/>
                      <w:color w:val="auto"/>
                      <w:sz w:val="18"/>
                      <w:szCs w:val="18"/>
                      <w:highlight w:val="none"/>
                    </w:rPr>
                    <w:t>除尘器发生故障，处理效率降低为</w:t>
                  </w:r>
                  <w:r>
                    <w:rPr>
                      <w:rFonts w:hint="eastAsia" w:cs="Times New Roman"/>
                      <w:color w:val="auto"/>
                      <w:sz w:val="18"/>
                      <w:szCs w:val="18"/>
                      <w:highlight w:val="none"/>
                      <w:lang w:val="en-US" w:eastAsia="zh-CN"/>
                    </w:rPr>
                    <w:t>50</w:t>
                  </w:r>
                  <w:r>
                    <w:rPr>
                      <w:rFonts w:hint="default" w:ascii="Times New Roman" w:hAnsi="Times New Roman" w:eastAsia="宋体" w:cs="Times New Roman"/>
                      <w:color w:val="auto"/>
                      <w:sz w:val="18"/>
                      <w:szCs w:val="18"/>
                      <w:highlight w:val="none"/>
                    </w:rPr>
                    <w:t>%</w:t>
                  </w:r>
                </w:p>
              </w:tc>
              <w:tc>
                <w:tcPr>
                  <w:tcW w:w="492"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4B20E7B">
                  <w:pPr>
                    <w:keepNext w:val="0"/>
                    <w:keepLines w:val="0"/>
                    <w:suppressLineNumbers w:val="0"/>
                    <w:spacing w:before="0" w:beforeAutospacing="0" w:after="0" w:afterAutospacing="0"/>
                    <w:ind w:left="0" w:leftChars="0" w:right="0" w:right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颗粒物</w:t>
                  </w:r>
                </w:p>
              </w:tc>
              <w:tc>
                <w:tcPr>
                  <w:tcW w:w="1135" w:type="dxa"/>
                  <w:tcBorders>
                    <w:top w:val="single" w:color="000000" w:sz="4" w:space="0"/>
                    <w:left w:val="single" w:color="auto" w:sz="4" w:space="0"/>
                    <w:bottom w:val="single" w:color="000000" w:sz="4" w:space="0"/>
                    <w:right w:val="single" w:color="000000" w:sz="4" w:space="0"/>
                  </w:tcBorders>
                  <w:noWrap w:val="0"/>
                  <w:vAlign w:val="center"/>
                </w:tcPr>
                <w:p w14:paraId="3E4CD8B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pacing w:val="0"/>
                      <w:kern w:val="0"/>
                      <w:position w:val="0"/>
                      <w:sz w:val="18"/>
                      <w:szCs w:val="18"/>
                      <w:highlight w:val="none"/>
                      <w:lang w:val="en-US" w:eastAsia="zh-CN"/>
                    </w:rPr>
                  </w:pPr>
                  <w:r>
                    <w:rPr>
                      <w:rFonts w:hint="eastAsia" w:cs="Times New Roman"/>
                      <w:color w:val="auto"/>
                      <w:spacing w:val="0"/>
                      <w:kern w:val="0"/>
                      <w:position w:val="0"/>
                      <w:sz w:val="18"/>
                      <w:szCs w:val="18"/>
                      <w:highlight w:val="none"/>
                      <w:lang w:val="en-US" w:eastAsia="zh-CN"/>
                    </w:rPr>
                    <w:t>100.35</w:t>
                  </w:r>
                </w:p>
              </w:tc>
              <w:tc>
                <w:tcPr>
                  <w:tcW w:w="1135" w:type="dxa"/>
                  <w:tcBorders>
                    <w:top w:val="single" w:color="000000" w:sz="4" w:space="0"/>
                    <w:left w:val="single" w:color="auto" w:sz="4" w:space="0"/>
                    <w:bottom w:val="single" w:color="000000" w:sz="4" w:space="0"/>
                    <w:right w:val="single" w:color="000000" w:sz="4" w:space="0"/>
                  </w:tcBorders>
                  <w:noWrap w:val="0"/>
                  <w:vAlign w:val="center"/>
                </w:tcPr>
                <w:p w14:paraId="32EE523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cs="Times New Roman"/>
                      <w:color w:val="auto"/>
                      <w:spacing w:val="0"/>
                      <w:kern w:val="0"/>
                      <w:position w:val="0"/>
                      <w:sz w:val="18"/>
                      <w:szCs w:val="18"/>
                      <w:highlight w:val="none"/>
                      <w:lang w:val="en-US" w:eastAsia="zh-CN" w:bidi="ar-SA"/>
                    </w:rPr>
                  </w:pPr>
                  <w:r>
                    <w:rPr>
                      <w:rFonts w:hint="eastAsia" w:cs="Times New Roman"/>
                      <w:color w:val="auto"/>
                      <w:spacing w:val="0"/>
                      <w:kern w:val="0"/>
                      <w:position w:val="0"/>
                      <w:sz w:val="18"/>
                      <w:szCs w:val="18"/>
                      <w:highlight w:val="none"/>
                      <w:lang w:val="en-US" w:eastAsia="zh-CN" w:bidi="ar-SA"/>
                    </w:rPr>
                    <w:t>0.502</w:t>
                  </w:r>
                </w:p>
              </w:tc>
              <w:tc>
                <w:tcPr>
                  <w:tcW w:w="891" w:type="dxa"/>
                  <w:tcBorders>
                    <w:top w:val="single" w:color="000000" w:sz="4" w:space="0"/>
                    <w:left w:val="single" w:color="000000" w:sz="4" w:space="0"/>
                    <w:bottom w:val="single" w:color="000000" w:sz="4" w:space="0"/>
                    <w:right w:val="single" w:color="000000" w:sz="4" w:space="0"/>
                  </w:tcBorders>
                  <w:noWrap w:val="0"/>
                  <w:vAlign w:val="center"/>
                </w:tcPr>
                <w:p w14:paraId="0037E42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953" w:type="dxa"/>
                  <w:tcBorders>
                    <w:top w:val="single" w:color="000000" w:sz="4" w:space="0"/>
                    <w:left w:val="single" w:color="000000" w:sz="4" w:space="0"/>
                    <w:bottom w:val="single" w:color="000000" w:sz="4" w:space="0"/>
                    <w:right w:val="single" w:color="auto" w:sz="4" w:space="0"/>
                  </w:tcBorders>
                  <w:noWrap w:val="0"/>
                  <w:vAlign w:val="center"/>
                </w:tcPr>
                <w:p w14:paraId="39C2B21E">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1</w:t>
                  </w:r>
                </w:p>
              </w:tc>
              <w:tc>
                <w:tcPr>
                  <w:tcW w:w="980" w:type="dxa"/>
                  <w:tcBorders>
                    <w:top w:val="single" w:color="000000" w:sz="4" w:space="0"/>
                    <w:left w:val="single" w:color="auto" w:sz="4" w:space="0"/>
                    <w:bottom w:val="single" w:color="000000" w:sz="4" w:space="0"/>
                    <w:right w:val="nil"/>
                  </w:tcBorders>
                  <w:noWrap w:val="0"/>
                  <w:vAlign w:val="center"/>
                </w:tcPr>
                <w:p w14:paraId="0CEC71EF">
                  <w:pPr>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设备停止运行，进行检修维护</w:t>
                  </w:r>
                </w:p>
              </w:tc>
            </w:tr>
          </w:tbl>
          <w:p w14:paraId="06FF8FC6">
            <w:pPr>
              <w:keepNext w:val="0"/>
              <w:keepLines w:val="0"/>
              <w:suppressLineNumbers w:val="0"/>
              <w:spacing w:before="0" w:beforeAutospacing="0" w:after="0" w:afterAutospacing="0" w:line="360" w:lineRule="auto"/>
              <w:ind w:left="0" w:right="0" w:firstLine="420" w:firstLineChars="200"/>
              <w:jc w:val="both"/>
              <w:rPr>
                <w:rFonts w:hint="default" w:ascii="Times New Roman" w:hAnsi="Times New Roman" w:cs="Times New Roman"/>
                <w:b/>
                <w:bCs/>
                <w:color w:val="auto"/>
                <w:szCs w:val="21"/>
                <w:highlight w:val="none"/>
              </w:rPr>
            </w:pPr>
            <w:r>
              <w:rPr>
                <w:rFonts w:hint="eastAsia" w:cs="Times New Roman"/>
                <w:b w:val="0"/>
                <w:bCs w:val="0"/>
                <w:color w:val="auto"/>
                <w:szCs w:val="21"/>
                <w:highlight w:val="none"/>
                <w:lang w:eastAsia="zh-CN"/>
              </w:rPr>
              <w:t>（</w:t>
            </w:r>
            <w:r>
              <w:rPr>
                <w:rFonts w:hint="eastAsia" w:cs="Times New Roman"/>
                <w:b w:val="0"/>
                <w:bCs w:val="0"/>
                <w:color w:val="auto"/>
                <w:szCs w:val="21"/>
                <w:highlight w:val="none"/>
                <w:lang w:val="en-US" w:eastAsia="zh-CN"/>
              </w:rPr>
              <w:t>4</w:t>
            </w:r>
            <w:r>
              <w:rPr>
                <w:rFonts w:hint="eastAsia" w:cs="Times New Roman"/>
                <w:b w:val="0"/>
                <w:bCs w:val="0"/>
                <w:color w:val="auto"/>
                <w:szCs w:val="21"/>
                <w:highlight w:val="none"/>
                <w:lang w:eastAsia="zh-CN"/>
              </w:rPr>
              <w:t>）</w:t>
            </w:r>
            <w:r>
              <w:rPr>
                <w:rFonts w:hint="default" w:ascii="Times New Roman" w:hAnsi="Times New Roman" w:cs="Times New Roman"/>
                <w:b w:val="0"/>
                <w:bCs w:val="0"/>
                <w:color w:val="auto"/>
                <w:szCs w:val="21"/>
                <w:highlight w:val="none"/>
              </w:rPr>
              <w:t>废气监测计划</w:t>
            </w:r>
          </w:p>
          <w:p w14:paraId="4023E8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left"/>
              <w:textAlignment w:val="auto"/>
              <w:rPr>
                <w:rFonts w:hint="default" w:ascii="Times New Roman" w:hAnsi="Times New Roman" w:cs="Times New Roman"/>
                <w:color w:val="auto"/>
                <w:sz w:val="21"/>
                <w:szCs w:val="21"/>
                <w:highlight w:val="none"/>
              </w:rPr>
            </w:pPr>
            <w:r>
              <w:rPr>
                <w:rFonts w:hint="default"/>
                <w:color w:val="auto"/>
                <w:sz w:val="21"/>
                <w:szCs w:val="21"/>
                <w:highlight w:val="none"/>
              </w:rPr>
              <w:t>根据</w:t>
            </w:r>
            <w:r>
              <w:rPr>
                <w:rFonts w:hint="default" w:ascii="Times New Roman" w:hAnsi="Times New Roman" w:cs="Times New Roman"/>
                <w:color w:val="auto"/>
                <w:sz w:val="21"/>
                <w:szCs w:val="21"/>
                <w:highlight w:val="none"/>
              </w:rPr>
              <w:t>《排污许可证申请与核发技术规范 工业炉窑》（HJ1121-2020）</w:t>
            </w:r>
            <w:r>
              <w:rPr>
                <w:rFonts w:hint="default"/>
                <w:color w:val="auto"/>
                <w:sz w:val="21"/>
                <w:szCs w:val="21"/>
                <w:highlight w:val="none"/>
              </w:rPr>
              <w:t>和</w:t>
            </w:r>
            <w:r>
              <w:rPr>
                <w:rFonts w:hint="default" w:ascii="Times New Roman" w:hAnsi="Times New Roman" w:cs="Times New Roman"/>
                <w:color w:val="auto"/>
                <w:sz w:val="21"/>
                <w:szCs w:val="21"/>
                <w:highlight w:val="none"/>
              </w:rPr>
              <w:t>《排污单位自行监测技术指南</w:t>
            </w:r>
            <w:r>
              <w:rPr>
                <w:rFonts w:hint="eastAsia"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总则》（HJ819-2017）</w:t>
            </w:r>
            <w:r>
              <w:rPr>
                <w:rFonts w:hint="eastAsia"/>
                <w:color w:val="auto"/>
                <w:sz w:val="21"/>
                <w:szCs w:val="21"/>
                <w:highlight w:val="none"/>
                <w:lang w:eastAsia="zh-CN"/>
              </w:rPr>
              <w:t>，</w:t>
            </w:r>
            <w:r>
              <w:rPr>
                <w:rFonts w:hint="default" w:ascii="Times New Roman" w:hAnsi="Times New Roman" w:cs="Times New Roman"/>
                <w:color w:val="auto"/>
                <w:sz w:val="21"/>
                <w:szCs w:val="21"/>
                <w:highlight w:val="none"/>
              </w:rPr>
              <w:t>制定本项目</w:t>
            </w:r>
            <w:r>
              <w:rPr>
                <w:rFonts w:hint="eastAsia" w:cs="Times New Roman"/>
                <w:color w:val="auto"/>
                <w:sz w:val="21"/>
                <w:szCs w:val="21"/>
                <w:highlight w:val="none"/>
                <w:lang w:val="en-US" w:eastAsia="zh-CN"/>
              </w:rPr>
              <w:t>运营期</w:t>
            </w:r>
            <w:r>
              <w:rPr>
                <w:rFonts w:hint="default" w:ascii="Times New Roman" w:hAnsi="Times New Roman" w:cs="Times New Roman"/>
                <w:color w:val="auto"/>
                <w:sz w:val="21"/>
                <w:szCs w:val="21"/>
                <w:highlight w:val="none"/>
              </w:rPr>
              <w:t>废气监测计划如下。</w:t>
            </w:r>
          </w:p>
          <w:p w14:paraId="6BC8A248">
            <w:pPr>
              <w:keepNext w:val="0"/>
              <w:keepLines w:val="0"/>
              <w:suppressLineNumbers w:val="0"/>
              <w:spacing w:before="0" w:beforeAutospacing="0" w:after="0" w:afterAutospacing="0"/>
              <w:ind w:left="0" w:right="0"/>
              <w:jc w:val="center"/>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4 </w:t>
            </w:r>
            <w:r>
              <w:rPr>
                <w:rFonts w:hint="default" w:ascii="Times New Roman" w:hAnsi="Times New Roman" w:cs="Times New Roman"/>
                <w:b/>
                <w:color w:val="auto"/>
                <w:szCs w:val="21"/>
                <w:highlight w:val="none"/>
              </w:rPr>
              <w:t>废气监测方案</w:t>
            </w:r>
          </w:p>
          <w:tbl>
            <w:tblPr>
              <w:tblStyle w:val="34"/>
              <w:tblW w:w="865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0"/>
              <w:gridCol w:w="1434"/>
              <w:gridCol w:w="2354"/>
              <w:gridCol w:w="1169"/>
              <w:gridCol w:w="2742"/>
            </w:tblGrid>
            <w:tr w14:paraId="2F4A34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960" w:type="dxa"/>
                  <w:tcBorders>
                    <w:left w:val="nil"/>
                    <w:bottom w:val="single" w:color="auto" w:sz="4" w:space="0"/>
                    <w:right w:val="single" w:color="auto" w:sz="4" w:space="0"/>
                  </w:tcBorders>
                  <w:noWrap w:val="0"/>
                  <w:vAlign w:val="center"/>
                </w:tcPr>
                <w:p w14:paraId="78190C65">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编号</w:t>
                  </w:r>
                </w:p>
              </w:tc>
              <w:tc>
                <w:tcPr>
                  <w:tcW w:w="1434" w:type="dxa"/>
                  <w:tcBorders>
                    <w:left w:val="single" w:color="auto" w:sz="4" w:space="0"/>
                    <w:bottom w:val="single" w:color="auto" w:sz="4" w:space="0"/>
                    <w:right w:val="single" w:color="auto" w:sz="4" w:space="0"/>
                  </w:tcBorders>
                  <w:noWrap w:val="0"/>
                  <w:vAlign w:val="center"/>
                </w:tcPr>
                <w:p w14:paraId="0E102BE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排放口名称</w:t>
                  </w:r>
                </w:p>
              </w:tc>
              <w:tc>
                <w:tcPr>
                  <w:tcW w:w="2354" w:type="dxa"/>
                  <w:tcBorders>
                    <w:left w:val="single" w:color="auto" w:sz="4" w:space="0"/>
                    <w:bottom w:val="single" w:color="auto" w:sz="4" w:space="0"/>
                    <w:right w:val="single" w:color="auto" w:sz="4" w:space="0"/>
                  </w:tcBorders>
                  <w:noWrap w:val="0"/>
                  <w:vAlign w:val="center"/>
                </w:tcPr>
                <w:p w14:paraId="1EF3D89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监测</w:t>
                  </w:r>
                  <w:r>
                    <w:rPr>
                      <w:rFonts w:hint="default" w:ascii="Times New Roman" w:hAnsi="Times New Roman" w:eastAsia="宋体" w:cs="Times New Roman"/>
                      <w:bCs/>
                      <w:color w:val="auto"/>
                      <w:sz w:val="18"/>
                      <w:szCs w:val="18"/>
                      <w:highlight w:val="none"/>
                    </w:rPr>
                    <w:t>因子</w:t>
                  </w:r>
                </w:p>
              </w:tc>
              <w:tc>
                <w:tcPr>
                  <w:tcW w:w="1169" w:type="dxa"/>
                  <w:tcBorders>
                    <w:left w:val="single" w:color="auto" w:sz="4" w:space="0"/>
                    <w:bottom w:val="single" w:color="auto" w:sz="4" w:space="0"/>
                    <w:right w:val="single" w:color="auto" w:sz="4" w:space="0"/>
                  </w:tcBorders>
                  <w:noWrap w:val="0"/>
                  <w:vAlign w:val="center"/>
                </w:tcPr>
                <w:p w14:paraId="2DA1668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监测频次</w:t>
                  </w:r>
                </w:p>
              </w:tc>
              <w:tc>
                <w:tcPr>
                  <w:tcW w:w="2742" w:type="dxa"/>
                  <w:tcBorders>
                    <w:left w:val="single" w:color="auto" w:sz="4" w:space="0"/>
                    <w:bottom w:val="single" w:color="auto" w:sz="4" w:space="0"/>
                    <w:right w:val="nil"/>
                  </w:tcBorders>
                  <w:noWrap w:val="0"/>
                  <w:vAlign w:val="center"/>
                </w:tcPr>
                <w:p w14:paraId="227B808E">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执行排放标准</w:t>
                  </w:r>
                </w:p>
              </w:tc>
            </w:tr>
            <w:tr w14:paraId="32DE1A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5" w:hRule="atLeast"/>
                <w:jc w:val="center"/>
              </w:trPr>
              <w:tc>
                <w:tcPr>
                  <w:tcW w:w="960" w:type="dxa"/>
                  <w:vMerge w:val="restart"/>
                  <w:tcBorders>
                    <w:top w:val="single" w:color="auto" w:sz="4" w:space="0"/>
                    <w:left w:val="nil"/>
                    <w:right w:val="single" w:color="auto" w:sz="4" w:space="0"/>
                  </w:tcBorders>
                  <w:noWrap w:val="0"/>
                  <w:vAlign w:val="center"/>
                </w:tcPr>
                <w:p w14:paraId="47182492">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DA001</w:t>
                  </w:r>
                </w:p>
              </w:tc>
              <w:tc>
                <w:tcPr>
                  <w:tcW w:w="1434" w:type="dxa"/>
                  <w:vMerge w:val="restart"/>
                  <w:tcBorders>
                    <w:top w:val="single" w:color="auto" w:sz="4" w:space="0"/>
                    <w:left w:val="single" w:color="auto" w:sz="4" w:space="0"/>
                    <w:right w:val="single" w:color="auto" w:sz="4" w:space="0"/>
                  </w:tcBorders>
                  <w:noWrap w:val="0"/>
                  <w:vAlign w:val="center"/>
                </w:tcPr>
                <w:p w14:paraId="4713A56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18"/>
                      <w:szCs w:val="18"/>
                      <w:highlight w:val="none"/>
                      <w:lang w:eastAsia="zh-CN"/>
                    </w:rPr>
                  </w:pPr>
                  <w:r>
                    <w:rPr>
                      <w:rFonts w:hint="eastAsia"/>
                      <w:color w:val="auto"/>
                      <w:sz w:val="18"/>
                      <w:szCs w:val="18"/>
                      <w:highlight w:val="none"/>
                      <w:lang w:val="en-US" w:eastAsia="zh-CN"/>
                    </w:rPr>
                    <w:t>1号</w:t>
                  </w:r>
                  <w:r>
                    <w:rPr>
                      <w:rFonts w:hint="eastAsia"/>
                      <w:color w:val="auto"/>
                      <w:sz w:val="18"/>
                      <w:szCs w:val="18"/>
                      <w:highlight w:val="none"/>
                      <w:lang w:eastAsia="zh-CN"/>
                    </w:rPr>
                    <w:t>烘干燃烧器排气筒</w:t>
                  </w:r>
                </w:p>
              </w:tc>
              <w:tc>
                <w:tcPr>
                  <w:tcW w:w="2354" w:type="dxa"/>
                  <w:tcBorders>
                    <w:top w:val="single" w:color="auto" w:sz="4" w:space="0"/>
                    <w:left w:val="single" w:color="auto" w:sz="4" w:space="0"/>
                    <w:bottom w:val="single" w:color="auto" w:sz="4" w:space="0"/>
                    <w:right w:val="single" w:color="auto" w:sz="4" w:space="0"/>
                  </w:tcBorders>
                  <w:noWrap w:val="0"/>
                  <w:vAlign w:val="center"/>
                </w:tcPr>
                <w:p w14:paraId="04BB2D5A">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lang w:val="en-US" w:eastAsia="zh-CN"/>
                    </w:rPr>
                  </w:pPr>
                  <w:r>
                    <w:rPr>
                      <w:rFonts w:hint="eastAsia"/>
                      <w:color w:val="auto"/>
                      <w:sz w:val="18"/>
                      <w:szCs w:val="18"/>
                      <w:highlight w:val="none"/>
                      <w:lang w:eastAsia="zh-CN"/>
                    </w:rPr>
                    <w:t>颗粒物、烟气黑度</w:t>
                  </w:r>
                  <w:r>
                    <w:rPr>
                      <w:rFonts w:hint="default"/>
                      <w:color w:val="auto"/>
                      <w:sz w:val="18"/>
                      <w:szCs w:val="18"/>
                      <w:highlight w:val="none"/>
                    </w:rPr>
                    <w:t>、SO</w:t>
                  </w:r>
                  <w:r>
                    <w:rPr>
                      <w:rFonts w:hint="default"/>
                      <w:color w:val="auto"/>
                      <w:sz w:val="18"/>
                      <w:szCs w:val="18"/>
                      <w:highlight w:val="none"/>
                      <w:vertAlign w:val="subscript"/>
                    </w:rPr>
                    <w:t>2</w:t>
                  </w:r>
                </w:p>
              </w:tc>
              <w:tc>
                <w:tcPr>
                  <w:tcW w:w="1169" w:type="dxa"/>
                  <w:tcBorders>
                    <w:top w:val="single" w:color="auto" w:sz="4" w:space="0"/>
                    <w:left w:val="single" w:color="auto" w:sz="4" w:space="0"/>
                    <w:right w:val="single" w:color="auto" w:sz="4" w:space="0"/>
                  </w:tcBorders>
                  <w:noWrap w:val="0"/>
                  <w:vAlign w:val="center"/>
                </w:tcPr>
                <w:p w14:paraId="2F5C0BA3">
                  <w:pPr>
                    <w:keepNext w:val="0"/>
                    <w:keepLines w:val="0"/>
                    <w:suppressLineNumbers w:val="0"/>
                    <w:spacing w:before="0" w:beforeAutospacing="0" w:after="0" w:afterAutospacing="0" w:line="240" w:lineRule="auto"/>
                    <w:ind w:left="0" w:right="0" w:firstLine="0" w:firstLineChars="0"/>
                    <w:jc w:val="center"/>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次/</w:t>
                  </w:r>
                  <w:r>
                    <w:rPr>
                      <w:rFonts w:hint="eastAsia" w:cs="Times New Roman"/>
                      <w:color w:val="auto"/>
                      <w:sz w:val="18"/>
                      <w:szCs w:val="18"/>
                      <w:highlight w:val="none"/>
                      <w:lang w:val="en-US" w:eastAsia="zh-CN"/>
                    </w:rPr>
                    <w:t>年</w:t>
                  </w:r>
                </w:p>
              </w:tc>
              <w:tc>
                <w:tcPr>
                  <w:tcW w:w="2742" w:type="dxa"/>
                  <w:tcBorders>
                    <w:top w:val="single" w:color="auto" w:sz="4" w:space="0"/>
                    <w:left w:val="single" w:color="auto" w:sz="4" w:space="0"/>
                    <w:right w:val="nil"/>
                  </w:tcBorders>
                  <w:noWrap w:val="0"/>
                  <w:vAlign w:val="center"/>
                </w:tcPr>
                <w:p w14:paraId="18ED8C00">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eastAsia" w:ascii="Times New Roman" w:hAnsi="Times New Roman" w:eastAsia="宋体" w:cs="Times New Roman"/>
                      <w:b w:val="0"/>
                      <w:bCs w:val="0"/>
                      <w:color w:val="auto"/>
                      <w:sz w:val="18"/>
                      <w:szCs w:val="18"/>
                      <w:highlight w:val="none"/>
                      <w:lang w:val="en-US" w:eastAsia="zh-CN"/>
                    </w:rPr>
                    <w:t>《工业炉窑大气污染物排放标准》（GB9078-1996）</w:t>
                  </w:r>
                </w:p>
              </w:tc>
            </w:tr>
            <w:tr w14:paraId="351C5E8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960" w:type="dxa"/>
                  <w:vMerge w:val="continue"/>
                  <w:tcBorders>
                    <w:left w:val="nil"/>
                    <w:right w:val="single" w:color="auto" w:sz="4" w:space="0"/>
                  </w:tcBorders>
                  <w:noWrap w:val="0"/>
                  <w:vAlign w:val="center"/>
                </w:tcPr>
                <w:p w14:paraId="35F45B74">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 w:val="18"/>
                      <w:szCs w:val="18"/>
                      <w:highlight w:val="none"/>
                    </w:rPr>
                  </w:pPr>
                </w:p>
              </w:tc>
              <w:tc>
                <w:tcPr>
                  <w:tcW w:w="1434" w:type="dxa"/>
                  <w:vMerge w:val="continue"/>
                  <w:tcBorders>
                    <w:left w:val="single" w:color="auto" w:sz="4" w:space="0"/>
                    <w:right w:val="single" w:color="auto" w:sz="4" w:space="0"/>
                  </w:tcBorders>
                  <w:noWrap w:val="0"/>
                  <w:vAlign w:val="center"/>
                </w:tcPr>
                <w:p w14:paraId="0837428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highlight w:val="none"/>
                    </w:rPr>
                  </w:pPr>
                </w:p>
              </w:tc>
              <w:tc>
                <w:tcPr>
                  <w:tcW w:w="2354" w:type="dxa"/>
                  <w:tcBorders>
                    <w:top w:val="single" w:color="auto" w:sz="4" w:space="0"/>
                    <w:left w:val="single" w:color="auto" w:sz="4" w:space="0"/>
                    <w:bottom w:val="single" w:color="auto" w:sz="4" w:space="0"/>
                    <w:right w:val="single" w:color="auto" w:sz="4" w:space="0"/>
                  </w:tcBorders>
                  <w:noWrap w:val="0"/>
                  <w:vAlign w:val="center"/>
                </w:tcPr>
                <w:p w14:paraId="3BBF8F04">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r>
                    <w:rPr>
                      <w:rFonts w:hint="default"/>
                      <w:color w:val="auto"/>
                      <w:sz w:val="18"/>
                      <w:szCs w:val="18"/>
                      <w:highlight w:val="none"/>
                    </w:rPr>
                    <w:t>NO</w:t>
                  </w:r>
                  <w:r>
                    <w:rPr>
                      <w:rFonts w:hint="default"/>
                      <w:color w:val="auto"/>
                      <w:sz w:val="18"/>
                      <w:szCs w:val="18"/>
                      <w:highlight w:val="none"/>
                      <w:vertAlign w:val="subscript"/>
                    </w:rPr>
                    <w:t>X</w:t>
                  </w:r>
                </w:p>
              </w:tc>
              <w:tc>
                <w:tcPr>
                  <w:tcW w:w="1169" w:type="dxa"/>
                  <w:tcBorders>
                    <w:left w:val="single" w:color="auto" w:sz="4" w:space="0"/>
                    <w:right w:val="single" w:color="auto" w:sz="4" w:space="0"/>
                  </w:tcBorders>
                  <w:noWrap w:val="0"/>
                  <w:vAlign w:val="center"/>
                </w:tcPr>
                <w:p w14:paraId="23580B31">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次/月</w:t>
                  </w:r>
                </w:p>
              </w:tc>
              <w:tc>
                <w:tcPr>
                  <w:tcW w:w="2742" w:type="dxa"/>
                  <w:tcBorders>
                    <w:left w:val="single" w:color="auto" w:sz="4" w:space="0"/>
                    <w:right w:val="nil"/>
                  </w:tcBorders>
                  <w:noWrap w:val="0"/>
                  <w:vAlign w:val="center"/>
                </w:tcPr>
                <w:p w14:paraId="7B7B3D17">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w:t>
                  </w:r>
                </w:p>
              </w:tc>
            </w:tr>
            <w:tr w14:paraId="1793DE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960" w:type="dxa"/>
                  <w:vMerge w:val="restart"/>
                  <w:tcBorders>
                    <w:left w:val="nil"/>
                    <w:right w:val="single" w:color="auto" w:sz="4" w:space="0"/>
                  </w:tcBorders>
                  <w:noWrap w:val="0"/>
                  <w:vAlign w:val="center"/>
                </w:tcPr>
                <w:p w14:paraId="4B63FB26">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eastAsia="宋体"/>
                      <w:color w:val="auto"/>
                      <w:sz w:val="18"/>
                      <w:szCs w:val="18"/>
                      <w:highlight w:val="none"/>
                      <w:lang w:val="en-US" w:eastAsia="zh-CN"/>
                    </w:rPr>
                  </w:pPr>
                  <w:r>
                    <w:rPr>
                      <w:rFonts w:hint="eastAsia"/>
                      <w:color w:val="auto"/>
                      <w:sz w:val="18"/>
                      <w:szCs w:val="18"/>
                      <w:highlight w:val="none"/>
                      <w:lang w:val="en-US" w:eastAsia="zh-CN"/>
                    </w:rPr>
                    <w:t>DA003</w:t>
                  </w:r>
                </w:p>
              </w:tc>
              <w:tc>
                <w:tcPr>
                  <w:tcW w:w="1434" w:type="dxa"/>
                  <w:vMerge w:val="restart"/>
                  <w:tcBorders>
                    <w:left w:val="single" w:color="auto" w:sz="4" w:space="0"/>
                    <w:right w:val="single" w:color="auto" w:sz="4" w:space="0"/>
                  </w:tcBorders>
                  <w:noWrap w:val="0"/>
                  <w:vAlign w:val="center"/>
                </w:tcPr>
                <w:p w14:paraId="0E8AD031">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color w:val="auto"/>
                      <w:highlight w:val="none"/>
                    </w:rPr>
                  </w:pPr>
                  <w:r>
                    <w:rPr>
                      <w:rFonts w:hint="eastAsia"/>
                      <w:color w:val="auto"/>
                      <w:sz w:val="18"/>
                      <w:szCs w:val="18"/>
                      <w:highlight w:val="none"/>
                      <w:lang w:val="en-US" w:eastAsia="zh-CN"/>
                    </w:rPr>
                    <w:t>2号</w:t>
                  </w:r>
                  <w:r>
                    <w:rPr>
                      <w:rFonts w:hint="eastAsia"/>
                      <w:color w:val="auto"/>
                      <w:sz w:val="18"/>
                      <w:szCs w:val="18"/>
                      <w:highlight w:val="none"/>
                      <w:lang w:eastAsia="zh-CN"/>
                    </w:rPr>
                    <w:t>烘干燃烧器排气筒</w:t>
                  </w:r>
                </w:p>
              </w:tc>
              <w:tc>
                <w:tcPr>
                  <w:tcW w:w="2354" w:type="dxa"/>
                  <w:tcBorders>
                    <w:top w:val="single" w:color="auto" w:sz="4" w:space="0"/>
                    <w:left w:val="single" w:color="auto" w:sz="4" w:space="0"/>
                    <w:bottom w:val="single" w:color="auto" w:sz="4" w:space="0"/>
                    <w:right w:val="single" w:color="auto" w:sz="4" w:space="0"/>
                  </w:tcBorders>
                  <w:noWrap w:val="0"/>
                  <w:vAlign w:val="center"/>
                </w:tcPr>
                <w:p w14:paraId="3501BD77">
                  <w:pPr>
                    <w:keepNext w:val="0"/>
                    <w:keepLines w:val="0"/>
                    <w:suppressLineNumbers w:val="0"/>
                    <w:spacing w:before="0" w:beforeAutospacing="0" w:after="0" w:afterAutospacing="0" w:line="240" w:lineRule="auto"/>
                    <w:ind w:left="0" w:leftChars="0" w:right="0" w:rightChars="0" w:firstLine="0" w:firstLineChars="0"/>
                    <w:jc w:val="center"/>
                    <w:rPr>
                      <w:rFonts w:hint="default"/>
                      <w:color w:val="auto"/>
                      <w:sz w:val="18"/>
                      <w:szCs w:val="18"/>
                      <w:highlight w:val="none"/>
                    </w:rPr>
                  </w:pPr>
                  <w:r>
                    <w:rPr>
                      <w:rFonts w:hint="eastAsia"/>
                      <w:color w:val="auto"/>
                      <w:sz w:val="18"/>
                      <w:szCs w:val="18"/>
                      <w:highlight w:val="none"/>
                      <w:lang w:eastAsia="zh-CN"/>
                    </w:rPr>
                    <w:t>颗粒物、烟气黑度</w:t>
                  </w:r>
                  <w:r>
                    <w:rPr>
                      <w:rFonts w:hint="default"/>
                      <w:color w:val="auto"/>
                      <w:sz w:val="18"/>
                      <w:szCs w:val="18"/>
                      <w:highlight w:val="none"/>
                    </w:rPr>
                    <w:t>、SO</w:t>
                  </w:r>
                  <w:r>
                    <w:rPr>
                      <w:rFonts w:hint="default"/>
                      <w:color w:val="auto"/>
                      <w:sz w:val="18"/>
                      <w:szCs w:val="18"/>
                      <w:highlight w:val="none"/>
                      <w:vertAlign w:val="subscript"/>
                    </w:rPr>
                    <w:t>2</w:t>
                  </w:r>
                </w:p>
              </w:tc>
              <w:tc>
                <w:tcPr>
                  <w:tcW w:w="1169" w:type="dxa"/>
                  <w:tcBorders>
                    <w:left w:val="single" w:color="auto" w:sz="4" w:space="0"/>
                    <w:right w:val="single" w:color="auto" w:sz="4" w:space="0"/>
                  </w:tcBorders>
                  <w:noWrap w:val="0"/>
                  <w:vAlign w:val="center"/>
                </w:tcPr>
                <w:p w14:paraId="27B68958">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次/</w:t>
                  </w:r>
                  <w:r>
                    <w:rPr>
                      <w:rFonts w:hint="eastAsia" w:cs="Times New Roman"/>
                      <w:color w:val="auto"/>
                      <w:sz w:val="18"/>
                      <w:szCs w:val="18"/>
                      <w:highlight w:val="none"/>
                      <w:lang w:val="en-US" w:eastAsia="zh-CN"/>
                    </w:rPr>
                    <w:t>年</w:t>
                  </w:r>
                </w:p>
              </w:tc>
              <w:tc>
                <w:tcPr>
                  <w:tcW w:w="2742" w:type="dxa"/>
                  <w:tcBorders>
                    <w:left w:val="single" w:color="auto" w:sz="4" w:space="0"/>
                    <w:right w:val="nil"/>
                  </w:tcBorders>
                  <w:shd w:val="clear" w:color="auto" w:fill="auto"/>
                  <w:noWrap w:val="0"/>
                  <w:vAlign w:val="center"/>
                </w:tcPr>
                <w:p w14:paraId="058BC00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b w:val="0"/>
                      <w:bCs w:val="0"/>
                      <w:color w:val="auto"/>
                      <w:sz w:val="18"/>
                      <w:szCs w:val="18"/>
                      <w:highlight w:val="none"/>
                      <w:lang w:val="en-US" w:eastAsia="zh-CN"/>
                    </w:rPr>
                    <w:t>《工业炉窑大气污染物排放标准》（GB9078-1996）</w:t>
                  </w:r>
                </w:p>
              </w:tc>
            </w:tr>
            <w:tr w14:paraId="45FE65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960" w:type="dxa"/>
                  <w:vMerge w:val="continue"/>
                  <w:tcBorders>
                    <w:left w:val="nil"/>
                    <w:right w:val="single" w:color="auto" w:sz="4" w:space="0"/>
                  </w:tcBorders>
                  <w:noWrap w:val="0"/>
                  <w:vAlign w:val="center"/>
                </w:tcPr>
                <w:p w14:paraId="4C3427FC">
                  <w:pPr>
                    <w:keepNext w:val="0"/>
                    <w:keepLines w:val="0"/>
                    <w:suppressLineNumbers w:val="0"/>
                    <w:spacing w:before="0" w:beforeAutospacing="0" w:after="0" w:afterAutospacing="0" w:line="240" w:lineRule="auto"/>
                    <w:ind w:left="0" w:right="0" w:firstLine="0" w:firstLineChars="0"/>
                    <w:jc w:val="center"/>
                    <w:rPr>
                      <w:rFonts w:hint="default"/>
                      <w:color w:val="auto"/>
                      <w:sz w:val="18"/>
                      <w:szCs w:val="18"/>
                    </w:rPr>
                  </w:pPr>
                </w:p>
              </w:tc>
              <w:tc>
                <w:tcPr>
                  <w:tcW w:w="1434" w:type="dxa"/>
                  <w:vMerge w:val="continue"/>
                  <w:tcBorders>
                    <w:left w:val="single" w:color="auto" w:sz="4" w:space="0"/>
                    <w:right w:val="single" w:color="auto" w:sz="4" w:space="0"/>
                  </w:tcBorders>
                  <w:noWrap w:val="0"/>
                  <w:vAlign w:val="center"/>
                </w:tcPr>
                <w:p w14:paraId="367B124C">
                  <w:pPr>
                    <w:keepNext w:val="0"/>
                    <w:keepLines w:val="0"/>
                    <w:suppressLineNumbers w:val="0"/>
                    <w:spacing w:before="0" w:beforeAutospacing="0" w:after="0" w:afterAutospacing="0" w:line="240" w:lineRule="auto"/>
                    <w:ind w:left="0" w:right="0" w:firstLine="0" w:firstLineChars="0"/>
                    <w:jc w:val="center"/>
                    <w:rPr>
                      <w:rFonts w:hint="default"/>
                      <w:color w:val="auto"/>
                    </w:rPr>
                  </w:pPr>
                </w:p>
              </w:tc>
              <w:tc>
                <w:tcPr>
                  <w:tcW w:w="235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E47AC87">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NO</w:t>
                  </w:r>
                  <w:r>
                    <w:rPr>
                      <w:rFonts w:hint="default"/>
                      <w:color w:val="auto"/>
                      <w:sz w:val="18"/>
                      <w:szCs w:val="18"/>
                      <w:highlight w:val="none"/>
                      <w:vertAlign w:val="subscript"/>
                    </w:rPr>
                    <w:t>X</w:t>
                  </w:r>
                </w:p>
              </w:tc>
              <w:tc>
                <w:tcPr>
                  <w:tcW w:w="1169" w:type="dxa"/>
                  <w:tcBorders>
                    <w:left w:val="single" w:color="auto" w:sz="4" w:space="0"/>
                    <w:right w:val="single" w:color="auto" w:sz="4" w:space="0"/>
                  </w:tcBorders>
                  <w:noWrap w:val="0"/>
                  <w:vAlign w:val="center"/>
                </w:tcPr>
                <w:p w14:paraId="1BC6061E">
                  <w:pPr>
                    <w:keepNext w:val="0"/>
                    <w:keepLines w:val="0"/>
                    <w:suppressLineNumbers w:val="0"/>
                    <w:spacing w:before="0" w:beforeAutospacing="0" w:after="0" w:afterAutospacing="0" w:line="240" w:lineRule="auto"/>
                    <w:ind w:left="0" w:leftChars="0" w:right="0" w:rightChars="0" w:firstLine="0" w:firstLineChars="0"/>
                    <w:jc w:val="center"/>
                    <w:rPr>
                      <w:rFonts w:hint="eastAsia"/>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次/月</w:t>
                  </w:r>
                </w:p>
              </w:tc>
              <w:tc>
                <w:tcPr>
                  <w:tcW w:w="2742" w:type="dxa"/>
                  <w:tcBorders>
                    <w:left w:val="single" w:color="auto" w:sz="4" w:space="0"/>
                    <w:right w:val="nil"/>
                  </w:tcBorders>
                  <w:noWrap w:val="0"/>
                  <w:vAlign w:val="center"/>
                </w:tcPr>
                <w:p w14:paraId="644A6E8F">
                  <w:pPr>
                    <w:keepNext w:val="0"/>
                    <w:keepLines w:val="0"/>
                    <w:suppressLineNumbers w:val="0"/>
                    <w:spacing w:before="0" w:beforeAutospacing="0" w:after="0" w:afterAutospacing="0" w:line="240" w:lineRule="auto"/>
                    <w:ind w:left="0" w:right="0" w:firstLine="0" w:firstLineChars="0"/>
                    <w:jc w:val="center"/>
                    <w:rPr>
                      <w:rFonts w:hint="default"/>
                      <w:color w:val="auto"/>
                      <w:sz w:val="18"/>
                      <w:szCs w:val="18"/>
                      <w:highlight w:val="none"/>
                      <w:lang w:val="en-US" w:eastAsia="zh-CN"/>
                    </w:rPr>
                  </w:pPr>
                  <w:r>
                    <w:rPr>
                      <w:rFonts w:hint="eastAsia"/>
                      <w:color w:val="auto"/>
                      <w:sz w:val="18"/>
                      <w:szCs w:val="18"/>
                      <w:highlight w:val="none"/>
                      <w:lang w:val="en-US" w:eastAsia="zh-CN"/>
                    </w:rPr>
                    <w:t>/</w:t>
                  </w:r>
                </w:p>
              </w:tc>
            </w:tr>
            <w:tr w14:paraId="2D94B7A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960" w:type="dxa"/>
                  <w:tcBorders>
                    <w:left w:val="nil"/>
                    <w:right w:val="single" w:color="auto" w:sz="4" w:space="0"/>
                  </w:tcBorders>
                  <w:shd w:val="clear" w:color="auto" w:fill="auto"/>
                  <w:noWrap w:val="0"/>
                  <w:vAlign w:val="center"/>
                </w:tcPr>
                <w:p w14:paraId="414CE3F8">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DA002</w:t>
                  </w:r>
                </w:p>
              </w:tc>
              <w:tc>
                <w:tcPr>
                  <w:tcW w:w="1434" w:type="dxa"/>
                  <w:tcBorders>
                    <w:left w:val="single" w:color="auto" w:sz="4" w:space="0"/>
                    <w:right w:val="single" w:color="auto" w:sz="4" w:space="0"/>
                  </w:tcBorders>
                  <w:noWrap w:val="0"/>
                  <w:vAlign w:val="center"/>
                </w:tcPr>
                <w:p w14:paraId="2D847F85">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1号生产车间排气筒</w:t>
                  </w:r>
                </w:p>
              </w:tc>
              <w:tc>
                <w:tcPr>
                  <w:tcW w:w="2354"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07208720">
                  <w:pPr>
                    <w:keepNext w:val="0"/>
                    <w:keepLines w:val="0"/>
                    <w:suppressLineNumbers w:val="0"/>
                    <w:spacing w:before="0" w:beforeAutospacing="0" w:after="0" w:afterAutospacing="0" w:line="240" w:lineRule="auto"/>
                    <w:ind w:left="0" w:leftChars="0" w:right="0" w:rightChars="0" w:firstLine="0" w:firstLineChars="0"/>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颗粒物</w:t>
                  </w:r>
                </w:p>
              </w:tc>
              <w:tc>
                <w:tcPr>
                  <w:tcW w:w="1169" w:type="dxa"/>
                  <w:vMerge w:val="restart"/>
                  <w:tcBorders>
                    <w:left w:val="single" w:color="auto" w:sz="4" w:space="0"/>
                    <w:right w:val="single" w:color="auto" w:sz="4" w:space="0"/>
                  </w:tcBorders>
                  <w:shd w:val="clear" w:color="auto" w:fill="auto"/>
                  <w:noWrap w:val="0"/>
                  <w:vAlign w:val="center"/>
                </w:tcPr>
                <w:p w14:paraId="28DB9B5B">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r>
                    <w:rPr>
                      <w:rFonts w:hint="default" w:ascii="Times New Roman" w:hAnsi="Times New Roman" w:cs="Times New Roman"/>
                      <w:color w:val="auto"/>
                      <w:sz w:val="18"/>
                      <w:szCs w:val="18"/>
                      <w:highlight w:val="none"/>
                    </w:rPr>
                    <w:t>次/</w:t>
                  </w:r>
                  <w:r>
                    <w:rPr>
                      <w:rFonts w:hint="eastAsia" w:cs="Times New Roman"/>
                      <w:color w:val="auto"/>
                      <w:sz w:val="18"/>
                      <w:szCs w:val="18"/>
                      <w:highlight w:val="none"/>
                      <w:lang w:val="en-US" w:eastAsia="zh-CN"/>
                    </w:rPr>
                    <w:t>年</w:t>
                  </w:r>
                </w:p>
                <w:p w14:paraId="65181F8D">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c>
                <w:tcPr>
                  <w:tcW w:w="2742" w:type="dxa"/>
                  <w:vMerge w:val="restart"/>
                  <w:tcBorders>
                    <w:left w:val="single" w:color="auto" w:sz="4" w:space="0"/>
                    <w:right w:val="nil"/>
                  </w:tcBorders>
                  <w:noWrap w:val="0"/>
                  <w:vAlign w:val="center"/>
                </w:tcPr>
                <w:p w14:paraId="1C85C111">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b w:val="0"/>
                      <w:bCs w:val="0"/>
                      <w:color w:val="auto"/>
                      <w:kern w:val="0"/>
                      <w:sz w:val="18"/>
                      <w:szCs w:val="18"/>
                      <w:highlight w:val="none"/>
                    </w:rPr>
                  </w:pPr>
                  <w:r>
                    <w:rPr>
                      <w:rFonts w:hint="default"/>
                      <w:b w:val="0"/>
                      <w:bCs w:val="0"/>
                      <w:color w:val="auto"/>
                      <w:kern w:val="0"/>
                      <w:sz w:val="18"/>
                      <w:szCs w:val="18"/>
                      <w:highlight w:val="none"/>
                    </w:rPr>
                    <w:t>《大气污染物综合排放标准》（GB16297-1996）表2中的二级排放标准</w:t>
                  </w:r>
                </w:p>
              </w:tc>
            </w:tr>
            <w:tr w14:paraId="022DB5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960" w:type="dxa"/>
                  <w:tcBorders>
                    <w:left w:val="nil"/>
                    <w:right w:val="single" w:color="auto" w:sz="4" w:space="0"/>
                  </w:tcBorders>
                  <w:noWrap w:val="0"/>
                  <w:vAlign w:val="center"/>
                </w:tcPr>
                <w:p w14:paraId="69DD0BCA">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color w:val="auto"/>
                      <w:sz w:val="18"/>
                      <w:szCs w:val="18"/>
                      <w:highlight w:val="none"/>
                      <w:lang w:val="en-US" w:eastAsia="zh-CN"/>
                    </w:rPr>
                  </w:pPr>
                  <w:r>
                    <w:rPr>
                      <w:rFonts w:hint="eastAsia"/>
                      <w:color w:val="auto"/>
                      <w:sz w:val="18"/>
                      <w:szCs w:val="18"/>
                      <w:highlight w:val="none"/>
                      <w:lang w:val="en-US" w:eastAsia="zh-CN"/>
                    </w:rPr>
                    <w:t>DA004</w:t>
                  </w:r>
                </w:p>
              </w:tc>
              <w:tc>
                <w:tcPr>
                  <w:tcW w:w="1434" w:type="dxa"/>
                  <w:tcBorders>
                    <w:left w:val="single" w:color="auto" w:sz="4" w:space="0"/>
                    <w:bottom w:val="single" w:color="auto" w:sz="4" w:space="0"/>
                    <w:right w:val="single" w:color="auto" w:sz="4" w:space="0"/>
                  </w:tcBorders>
                  <w:noWrap w:val="0"/>
                  <w:vAlign w:val="center"/>
                </w:tcPr>
                <w:p w14:paraId="421CCA8E">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jc w:val="center"/>
                    <w:textAlignment w:val="auto"/>
                    <w:rPr>
                      <w:rFonts w:hint="eastAsia"/>
                      <w:color w:val="auto"/>
                      <w:sz w:val="18"/>
                      <w:szCs w:val="18"/>
                      <w:highlight w:val="none"/>
                      <w:lang w:val="en-US" w:eastAsia="zh-CN"/>
                    </w:rPr>
                  </w:pPr>
                  <w:r>
                    <w:rPr>
                      <w:rFonts w:hint="eastAsia"/>
                      <w:color w:val="auto"/>
                      <w:sz w:val="18"/>
                      <w:szCs w:val="18"/>
                      <w:highlight w:val="none"/>
                      <w:lang w:val="en-US" w:eastAsia="zh-CN"/>
                    </w:rPr>
                    <w:t>2号生产车间排气筒</w:t>
                  </w:r>
                </w:p>
              </w:tc>
              <w:tc>
                <w:tcPr>
                  <w:tcW w:w="2354" w:type="dxa"/>
                  <w:tcBorders>
                    <w:top w:val="single" w:color="auto" w:sz="4" w:space="0"/>
                    <w:left w:val="single" w:color="auto" w:sz="4" w:space="0"/>
                    <w:bottom w:val="single" w:color="auto" w:sz="4" w:space="0"/>
                    <w:right w:val="single" w:color="auto" w:sz="4" w:space="0"/>
                  </w:tcBorders>
                  <w:noWrap w:val="0"/>
                  <w:vAlign w:val="center"/>
                </w:tcPr>
                <w:p w14:paraId="7DC9C99F">
                  <w:pPr>
                    <w:keepNext w:val="0"/>
                    <w:keepLines w:val="0"/>
                    <w:suppressLineNumbers w:val="0"/>
                    <w:spacing w:before="0" w:beforeAutospacing="0" w:after="0" w:afterAutospacing="0" w:line="240" w:lineRule="auto"/>
                    <w:ind w:left="0" w:right="0" w:firstLine="0" w:firstLineChars="0"/>
                    <w:jc w:val="center"/>
                    <w:rPr>
                      <w:rFonts w:hint="eastAsia"/>
                      <w:color w:val="auto"/>
                      <w:sz w:val="18"/>
                      <w:szCs w:val="18"/>
                      <w:highlight w:val="none"/>
                      <w:lang w:val="en-US" w:eastAsia="zh-CN"/>
                    </w:rPr>
                  </w:pPr>
                  <w:r>
                    <w:rPr>
                      <w:rFonts w:hint="eastAsia"/>
                      <w:color w:val="auto"/>
                      <w:sz w:val="18"/>
                      <w:szCs w:val="18"/>
                      <w:highlight w:val="none"/>
                      <w:lang w:val="en-US" w:eastAsia="zh-CN"/>
                    </w:rPr>
                    <w:t>颗粒物</w:t>
                  </w:r>
                </w:p>
              </w:tc>
              <w:tc>
                <w:tcPr>
                  <w:tcW w:w="1169" w:type="dxa"/>
                  <w:vMerge w:val="continue"/>
                  <w:tcBorders>
                    <w:left w:val="single" w:color="auto" w:sz="4" w:space="0"/>
                    <w:bottom w:val="single" w:color="auto" w:sz="4" w:space="0"/>
                    <w:right w:val="single" w:color="auto" w:sz="4" w:space="0"/>
                  </w:tcBorders>
                  <w:noWrap w:val="0"/>
                  <w:vAlign w:val="center"/>
                </w:tcPr>
                <w:p w14:paraId="266CC8AB">
                  <w:pPr>
                    <w:keepNext w:val="0"/>
                    <w:keepLines w:val="0"/>
                    <w:suppressLineNumbers w:val="0"/>
                    <w:spacing w:before="0" w:beforeAutospacing="0" w:after="0" w:afterAutospacing="0" w:line="240" w:lineRule="auto"/>
                    <w:ind w:left="0" w:leftChars="0" w:right="0" w:rightChars="0" w:firstLine="0" w:firstLineChars="0"/>
                    <w:jc w:val="center"/>
                    <w:rPr>
                      <w:rFonts w:hint="default" w:ascii="Times New Roman" w:hAnsi="Times New Roman" w:cs="Times New Roman"/>
                      <w:color w:val="auto"/>
                      <w:sz w:val="18"/>
                      <w:szCs w:val="18"/>
                      <w:highlight w:val="none"/>
                      <w:lang w:val="en-US" w:eastAsia="zh-CN"/>
                    </w:rPr>
                  </w:pPr>
                </w:p>
              </w:tc>
              <w:tc>
                <w:tcPr>
                  <w:tcW w:w="2742" w:type="dxa"/>
                  <w:vMerge w:val="continue"/>
                  <w:tcBorders>
                    <w:left w:val="single" w:color="auto" w:sz="4" w:space="0"/>
                    <w:bottom w:val="single" w:color="auto" w:sz="4" w:space="0"/>
                    <w:right w:val="nil"/>
                  </w:tcBorders>
                  <w:noWrap w:val="0"/>
                  <w:vAlign w:val="center"/>
                </w:tcPr>
                <w:p w14:paraId="1A1E5B62">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b w:val="0"/>
                      <w:bCs w:val="0"/>
                      <w:color w:val="auto"/>
                      <w:kern w:val="0"/>
                      <w:sz w:val="18"/>
                      <w:szCs w:val="18"/>
                      <w:highlight w:val="none"/>
                    </w:rPr>
                  </w:pPr>
                </w:p>
              </w:tc>
            </w:tr>
          </w:tbl>
          <w:p w14:paraId="08D74A0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color w:val="auto"/>
                <w:highlight w:val="none"/>
              </w:rPr>
            </w:pPr>
            <w:r>
              <w:rPr>
                <w:rFonts w:hint="default"/>
                <w:b/>
                <w:bCs/>
                <w:color w:val="auto"/>
                <w:highlight w:val="none"/>
              </w:rPr>
              <w:t>表4-</w:t>
            </w:r>
            <w:r>
              <w:rPr>
                <w:rFonts w:hint="eastAsia"/>
                <w:b/>
                <w:bCs/>
                <w:color w:val="auto"/>
                <w:highlight w:val="none"/>
                <w:lang w:val="en-US" w:eastAsia="zh-CN"/>
              </w:rPr>
              <w:t>5</w:t>
            </w:r>
            <w:r>
              <w:rPr>
                <w:rFonts w:hint="default"/>
                <w:b/>
                <w:bCs/>
                <w:color w:val="auto"/>
                <w:highlight w:val="none"/>
              </w:rPr>
              <w:t xml:space="preserve"> 无组织废气监测要求</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517"/>
              <w:gridCol w:w="3071"/>
              <w:gridCol w:w="3071"/>
            </w:tblGrid>
            <w:tr w14:paraId="11D57B3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dxa"/>
                  <w:noWrap w:val="0"/>
                  <w:vAlign w:val="center"/>
                </w:tcPr>
                <w:p w14:paraId="663022FA">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监测点位</w:t>
                  </w:r>
                </w:p>
              </w:tc>
              <w:tc>
                <w:tcPr>
                  <w:tcW w:w="2108" w:type="dxa"/>
                  <w:noWrap w:val="0"/>
                  <w:vAlign w:val="center"/>
                </w:tcPr>
                <w:p w14:paraId="35DEB191">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监测因子</w:t>
                  </w:r>
                </w:p>
              </w:tc>
              <w:tc>
                <w:tcPr>
                  <w:tcW w:w="2109" w:type="dxa"/>
                  <w:noWrap w:val="0"/>
                  <w:vAlign w:val="center"/>
                </w:tcPr>
                <w:p w14:paraId="381384EB">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监测频次</w:t>
                  </w:r>
                </w:p>
              </w:tc>
            </w:tr>
            <w:tr w14:paraId="10CFA69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dxa"/>
                  <w:noWrap w:val="0"/>
                  <w:vAlign w:val="center"/>
                </w:tcPr>
                <w:p w14:paraId="39B755F2">
                  <w:pPr>
                    <w:keepNext w:val="0"/>
                    <w:keepLines w:val="0"/>
                    <w:suppressLineNumbers w:val="0"/>
                    <w:adjustRightInd w:val="0"/>
                    <w:snapToGrid w:val="0"/>
                    <w:spacing w:before="0" w:beforeAutospacing="0" w:after="0" w:afterAutospacing="0"/>
                    <w:ind w:left="0" w:right="0"/>
                    <w:jc w:val="center"/>
                    <w:rPr>
                      <w:rFonts w:hint="default"/>
                      <w:color w:val="auto"/>
                      <w:sz w:val="18"/>
                      <w:szCs w:val="18"/>
                      <w:highlight w:val="none"/>
                    </w:rPr>
                  </w:pPr>
                  <w:r>
                    <w:rPr>
                      <w:rFonts w:hint="default"/>
                      <w:color w:val="auto"/>
                      <w:sz w:val="18"/>
                      <w:szCs w:val="18"/>
                      <w:highlight w:val="none"/>
                    </w:rPr>
                    <w:t>厂界</w:t>
                  </w:r>
                </w:p>
              </w:tc>
              <w:tc>
                <w:tcPr>
                  <w:tcW w:w="2108" w:type="dxa"/>
                  <w:noWrap w:val="0"/>
                  <w:vAlign w:val="center"/>
                </w:tcPr>
                <w:p w14:paraId="1660F664">
                  <w:pPr>
                    <w:keepNext w:val="0"/>
                    <w:keepLines w:val="0"/>
                    <w:suppressLineNumbers w:val="0"/>
                    <w:adjustRightInd w:val="0"/>
                    <w:snapToGrid w:val="0"/>
                    <w:spacing w:before="0" w:beforeAutospacing="0" w:after="0" w:afterAutospacing="0"/>
                    <w:ind w:left="0" w:right="0"/>
                    <w:jc w:val="center"/>
                    <w:rPr>
                      <w:rFonts w:hint="eastAsia" w:eastAsia="宋体"/>
                      <w:color w:val="auto"/>
                      <w:sz w:val="18"/>
                      <w:szCs w:val="18"/>
                      <w:highlight w:val="none"/>
                      <w:lang w:eastAsia="zh-CN"/>
                    </w:rPr>
                  </w:pPr>
                  <w:r>
                    <w:rPr>
                      <w:rFonts w:hint="eastAsia"/>
                      <w:color w:val="auto"/>
                      <w:sz w:val="18"/>
                      <w:szCs w:val="18"/>
                      <w:highlight w:val="none"/>
                      <w:lang w:val="en-US" w:eastAsia="zh-CN"/>
                    </w:rPr>
                    <w:t>颗粒物</w:t>
                  </w:r>
                </w:p>
              </w:tc>
              <w:tc>
                <w:tcPr>
                  <w:tcW w:w="2109" w:type="dxa"/>
                  <w:noWrap w:val="0"/>
                  <w:vAlign w:val="center"/>
                </w:tcPr>
                <w:p w14:paraId="4D303CF6">
                  <w:pPr>
                    <w:keepNext w:val="0"/>
                    <w:keepLines w:val="0"/>
                    <w:suppressLineNumbers w:val="0"/>
                    <w:adjustRightInd w:val="0"/>
                    <w:snapToGrid w:val="0"/>
                    <w:spacing w:before="0" w:beforeAutospacing="0" w:after="0" w:afterAutospacing="0"/>
                    <w:ind w:left="0" w:right="0"/>
                    <w:jc w:val="center"/>
                    <w:rPr>
                      <w:rFonts w:hint="eastAsia" w:eastAsia="宋体"/>
                      <w:color w:val="auto"/>
                      <w:sz w:val="18"/>
                      <w:szCs w:val="18"/>
                      <w:highlight w:val="none"/>
                      <w:lang w:val="en-US" w:eastAsia="zh-CN"/>
                    </w:rPr>
                  </w:pPr>
                  <w:r>
                    <w:rPr>
                      <w:rFonts w:hint="default"/>
                      <w:color w:val="auto"/>
                      <w:sz w:val="18"/>
                      <w:szCs w:val="18"/>
                      <w:highlight w:val="none"/>
                    </w:rPr>
                    <w:t>1次/</w:t>
                  </w:r>
                  <w:r>
                    <w:rPr>
                      <w:rFonts w:hint="eastAsia"/>
                      <w:color w:val="auto"/>
                      <w:sz w:val="18"/>
                      <w:szCs w:val="18"/>
                      <w:highlight w:val="none"/>
                      <w:lang w:val="en-US" w:eastAsia="zh-CN"/>
                    </w:rPr>
                    <w:t>年</w:t>
                  </w:r>
                </w:p>
              </w:tc>
            </w:tr>
            <w:tr w14:paraId="5CE4516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28" w:type="dxa"/>
                  <w:noWrap w:val="0"/>
                  <w:vAlign w:val="center"/>
                </w:tcPr>
                <w:p w14:paraId="37C564C9">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18"/>
                      <w:szCs w:val="18"/>
                      <w:highlight w:val="none"/>
                    </w:rPr>
                  </w:pPr>
                  <w:r>
                    <w:rPr>
                      <w:rFonts w:hint="eastAsia"/>
                      <w:color w:val="auto"/>
                      <w:sz w:val="18"/>
                      <w:szCs w:val="18"/>
                      <w:highlight w:val="none"/>
                      <w:lang w:val="en-US" w:eastAsia="zh-CN"/>
                    </w:rPr>
                    <w:t>工业炉窑周边</w:t>
                  </w:r>
                </w:p>
              </w:tc>
              <w:tc>
                <w:tcPr>
                  <w:tcW w:w="2108" w:type="dxa"/>
                  <w:noWrap w:val="0"/>
                  <w:vAlign w:val="center"/>
                </w:tcPr>
                <w:p w14:paraId="6B87FFA1">
                  <w:pPr>
                    <w:keepNext w:val="0"/>
                    <w:keepLines w:val="0"/>
                    <w:suppressLineNumbers w:val="0"/>
                    <w:adjustRightInd w:val="0"/>
                    <w:snapToGrid w:val="0"/>
                    <w:spacing w:before="0" w:beforeAutospacing="0" w:after="0" w:afterAutospacing="0"/>
                    <w:ind w:left="0" w:leftChars="0" w:right="0" w:rightChars="0"/>
                    <w:jc w:val="center"/>
                    <w:rPr>
                      <w:rFonts w:hint="eastAsia"/>
                      <w:color w:val="auto"/>
                      <w:sz w:val="18"/>
                      <w:szCs w:val="18"/>
                      <w:highlight w:val="none"/>
                      <w:lang w:val="en-US" w:eastAsia="zh-CN"/>
                    </w:rPr>
                  </w:pPr>
                  <w:r>
                    <w:rPr>
                      <w:rFonts w:hint="eastAsia"/>
                      <w:color w:val="auto"/>
                      <w:sz w:val="18"/>
                      <w:szCs w:val="18"/>
                      <w:highlight w:val="none"/>
                      <w:lang w:val="en-US" w:eastAsia="zh-CN"/>
                    </w:rPr>
                    <w:t>颗粒物</w:t>
                  </w:r>
                </w:p>
              </w:tc>
              <w:tc>
                <w:tcPr>
                  <w:tcW w:w="2109" w:type="dxa"/>
                  <w:noWrap w:val="0"/>
                  <w:vAlign w:val="center"/>
                </w:tcPr>
                <w:p w14:paraId="24198E81">
                  <w:pPr>
                    <w:keepNext w:val="0"/>
                    <w:keepLines w:val="0"/>
                    <w:suppressLineNumbers w:val="0"/>
                    <w:adjustRightInd w:val="0"/>
                    <w:snapToGrid w:val="0"/>
                    <w:spacing w:before="0" w:beforeAutospacing="0" w:after="0" w:afterAutospacing="0"/>
                    <w:ind w:left="0" w:leftChars="0" w:right="0" w:rightChars="0"/>
                    <w:jc w:val="center"/>
                    <w:rPr>
                      <w:rFonts w:hint="default"/>
                      <w:color w:val="auto"/>
                      <w:sz w:val="18"/>
                      <w:szCs w:val="18"/>
                      <w:highlight w:val="none"/>
                    </w:rPr>
                  </w:pPr>
                  <w:r>
                    <w:rPr>
                      <w:rFonts w:hint="default"/>
                      <w:color w:val="auto"/>
                      <w:sz w:val="18"/>
                      <w:szCs w:val="18"/>
                      <w:highlight w:val="none"/>
                    </w:rPr>
                    <w:t>1次/</w:t>
                  </w:r>
                  <w:r>
                    <w:rPr>
                      <w:rFonts w:hint="eastAsia"/>
                      <w:color w:val="auto"/>
                      <w:sz w:val="18"/>
                      <w:szCs w:val="18"/>
                      <w:highlight w:val="none"/>
                      <w:lang w:val="en-US" w:eastAsia="zh-CN"/>
                    </w:rPr>
                    <w:t>年</w:t>
                  </w:r>
                </w:p>
              </w:tc>
            </w:tr>
          </w:tbl>
          <w:p w14:paraId="5C92B04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jc w:val="lef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废气排放口点位设置应符合GB/T 16157、HJ 75、HJ/T 397等要求。废气监测平台、监测断面和监测孔的设置应满足HJ 75、HJ/T 397等要求。 工业炉窑无组织排放的监测点位应符合GB 9078，厂界废气无组织排放的监测点位应符合HJ/T 55等标准和规范</w:t>
            </w:r>
            <w:r>
              <w:rPr>
                <w:rFonts w:hint="eastAsia" w:ascii="Times New Roman" w:hAnsi="Times New Roman" w:cs="Times New Roman"/>
                <w:color w:val="auto"/>
                <w:sz w:val="21"/>
                <w:szCs w:val="21"/>
                <w:highlight w:val="none"/>
                <w:lang w:val="en-US" w:eastAsia="zh-CN"/>
              </w:rPr>
              <w:t>，并根据</w:t>
            </w:r>
            <w:r>
              <w:rPr>
                <w:rFonts w:hint="default" w:ascii="Times New Roman" w:hAnsi="Times New Roman" w:cs="Times New Roman"/>
                <w:color w:val="auto"/>
                <w:sz w:val="21"/>
                <w:szCs w:val="21"/>
                <w:highlight w:val="none"/>
                <w:lang w:val="en-US" w:eastAsia="zh-CN"/>
              </w:rPr>
              <w:t>《排污许可证申请与核发技术规范 工业炉窑》（HJ1121-2020）和《排污单位自行监测技术指南</w:t>
            </w:r>
            <w:r>
              <w:rPr>
                <w:rFonts w:hint="eastAsia" w:ascii="Times New Roman" w:hAnsi="Times New Roman"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lang w:val="en-US" w:eastAsia="zh-CN"/>
              </w:rPr>
              <w:t>总则》（HJ819-2017）</w:t>
            </w:r>
            <w:r>
              <w:rPr>
                <w:rFonts w:hint="eastAsia" w:ascii="Times New Roman" w:hAnsi="Times New Roman" w:cs="Times New Roman"/>
                <w:color w:val="auto"/>
                <w:sz w:val="21"/>
                <w:szCs w:val="21"/>
                <w:highlight w:val="none"/>
                <w:lang w:val="en-US" w:eastAsia="zh-CN"/>
              </w:rPr>
              <w:t>要求对监测情况记录及信息公开</w:t>
            </w:r>
            <w:r>
              <w:rPr>
                <w:rFonts w:hint="default" w:ascii="Times New Roman" w:hAnsi="Times New Roman" w:cs="Times New Roman"/>
                <w:color w:val="auto"/>
                <w:sz w:val="21"/>
                <w:szCs w:val="21"/>
                <w:highlight w:val="none"/>
                <w:lang w:val="en-US" w:eastAsia="zh-CN"/>
              </w:rPr>
              <w:t>。</w:t>
            </w:r>
          </w:p>
          <w:p w14:paraId="095BF322">
            <w:pPr>
              <w:keepNext w:val="0"/>
              <w:keepLines w:val="0"/>
              <w:pageBreakBefore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rightChars="0" w:firstLine="420" w:firstLineChars="200"/>
              <w:textAlignment w:val="auto"/>
              <w:rPr>
                <w:rFonts w:hint="eastAsia" w:cs="Times New Roman"/>
                <w:bCs/>
                <w:color w:val="auto"/>
                <w:szCs w:val="21"/>
                <w:highlight w:val="none"/>
                <w:lang w:eastAsia="zh-CN"/>
              </w:rPr>
            </w:pPr>
            <w:r>
              <w:rPr>
                <w:rFonts w:hint="eastAsia" w:ascii="Times New Roman" w:hAnsi="Times New Roman" w:eastAsia="宋体" w:cs="Times New Roman"/>
                <w:bCs/>
                <w:color w:val="auto"/>
                <w:kern w:val="2"/>
                <w:sz w:val="21"/>
                <w:szCs w:val="21"/>
                <w:lang w:val="en-US" w:eastAsia="zh-CN" w:bidi="ar-SA"/>
              </w:rPr>
              <w:t>（4）</w:t>
            </w:r>
            <w:r>
              <w:rPr>
                <w:rFonts w:hint="eastAsia" w:cs="Times New Roman"/>
                <w:bCs/>
                <w:color w:val="auto"/>
                <w:szCs w:val="21"/>
                <w:highlight w:val="none"/>
                <w:lang w:eastAsia="zh-CN"/>
              </w:rPr>
              <w:t>生物质燃烧器及烘干工序颗粒物核算方法可行性分析</w:t>
            </w:r>
          </w:p>
          <w:p w14:paraId="7F91FF59">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jc w:val="left"/>
              <w:textAlignment w:val="auto"/>
              <w:rPr>
                <w:rFonts w:hint="default"/>
                <w:color w:val="auto"/>
                <w:lang w:val="en-US" w:eastAsia="zh-CN"/>
              </w:rPr>
            </w:pPr>
            <w:r>
              <w:rPr>
                <w:rFonts w:hint="eastAsia" w:cs="Times New Roman"/>
                <w:color w:val="auto"/>
                <w:sz w:val="21"/>
                <w:szCs w:val="21"/>
                <w:highlight w:val="none"/>
                <w:lang w:val="en-US" w:eastAsia="zh-CN"/>
              </w:rPr>
              <w:t>本次烘干工序颗粒物产生量预测</w:t>
            </w:r>
            <w:r>
              <w:rPr>
                <w:rFonts w:hint="default" w:cs="Times New Roman"/>
                <w:color w:val="auto"/>
                <w:sz w:val="21"/>
                <w:szCs w:val="21"/>
                <w:highlight w:val="none"/>
                <w:lang w:val="en-US" w:eastAsia="zh-CN"/>
              </w:rPr>
              <w:t>根据《排放源统计调查产排核算方法和系数手册》（生态环境部公告2021年第24号）中2542生物质致密成型燃料加工行业系数手册，</w:t>
            </w:r>
            <w:r>
              <w:rPr>
                <w:rFonts w:hint="eastAsia" w:cs="Times New Roman"/>
                <w:color w:val="auto"/>
                <w:sz w:val="21"/>
                <w:szCs w:val="21"/>
                <w:highlight w:val="none"/>
                <w:lang w:val="en-US" w:eastAsia="zh-CN"/>
              </w:rPr>
              <w:t>确认烘干</w:t>
            </w:r>
            <w:r>
              <w:rPr>
                <w:rFonts w:hint="default" w:cs="Times New Roman"/>
                <w:color w:val="auto"/>
                <w:sz w:val="21"/>
                <w:szCs w:val="21"/>
                <w:highlight w:val="none"/>
                <w:lang w:val="en-US" w:eastAsia="zh-CN"/>
              </w:rPr>
              <w:t>工序颗粒物产生量为</w:t>
            </w:r>
            <w:r>
              <w:rPr>
                <w:rFonts w:hint="eastAsia" w:cs="Times New Roman"/>
                <w:color w:val="auto"/>
                <w:sz w:val="21"/>
                <w:szCs w:val="21"/>
                <w:highlight w:val="none"/>
                <w:lang w:val="en-US" w:eastAsia="zh-CN"/>
              </w:rPr>
              <w:t>4.01</w:t>
            </w:r>
            <w:r>
              <w:rPr>
                <w:rFonts w:hint="default" w:cs="Times New Roman"/>
                <w:color w:val="auto"/>
                <w:sz w:val="21"/>
                <w:szCs w:val="21"/>
                <w:highlight w:val="none"/>
                <w:lang w:val="en-US" w:eastAsia="zh-CN"/>
              </w:rPr>
              <w:t>×10</w:t>
            </w:r>
            <w:r>
              <w:rPr>
                <w:rFonts w:hint="default" w:cs="Times New Roman"/>
                <w:color w:val="auto"/>
                <w:sz w:val="21"/>
                <w:szCs w:val="21"/>
                <w:highlight w:val="none"/>
                <w:vertAlign w:val="superscript"/>
                <w:lang w:val="en-US" w:eastAsia="zh-CN"/>
              </w:rPr>
              <w:t>-</w:t>
            </w:r>
            <w:r>
              <w:rPr>
                <w:rFonts w:hint="eastAsia" w:cs="Times New Roman"/>
                <w:color w:val="auto"/>
                <w:sz w:val="21"/>
                <w:szCs w:val="21"/>
                <w:highlight w:val="none"/>
                <w:vertAlign w:val="superscript"/>
                <w:lang w:val="en-US" w:eastAsia="zh-CN"/>
              </w:rPr>
              <w:t>3</w:t>
            </w:r>
            <w:r>
              <w:rPr>
                <w:rFonts w:hint="default" w:cs="Times New Roman"/>
                <w:color w:val="auto"/>
                <w:sz w:val="21"/>
                <w:szCs w:val="21"/>
                <w:highlight w:val="none"/>
                <w:lang w:val="en-US" w:eastAsia="zh-CN"/>
              </w:rPr>
              <w:t xml:space="preserve"> t/t 产品</w:t>
            </w:r>
            <w:r>
              <w:rPr>
                <w:rFonts w:hint="eastAsia" w:cs="Times New Roman"/>
                <w:color w:val="auto"/>
                <w:sz w:val="21"/>
                <w:szCs w:val="21"/>
                <w:highlight w:val="none"/>
                <w:lang w:val="en-US" w:eastAsia="zh-CN"/>
              </w:rPr>
              <w:t>进行核算，烘干工序废气与燃烧器废气一同排放，采用布袋除尘器处理，根据工业锅炉污染防治可行技术指南中6.1.2.2章节，袋式除尘技术除尘效率为99%-99.99%，本项目取99%，根据预测结果，烘干工序与生物质燃烧器废气中颗粒物排放浓度为41.238mg/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，根据类比同类项目，《贵州溢铭生物质燃料有限公司年产生物质燃料</w:t>
            </w:r>
            <w:r>
              <w:rPr>
                <w:rFonts w:hint="default" w:cs="Times New Roman"/>
                <w:color w:val="auto"/>
                <w:sz w:val="21"/>
                <w:szCs w:val="21"/>
                <w:highlight w:val="none"/>
                <w:lang w:val="en-US" w:eastAsia="zh-CN"/>
              </w:rPr>
              <w:t xml:space="preserve">12000 </w:t>
            </w:r>
            <w:r>
              <w:rPr>
                <w:rFonts w:hint="eastAsia" w:cs="Times New Roman"/>
                <w:color w:val="auto"/>
                <w:sz w:val="21"/>
                <w:szCs w:val="21"/>
                <w:highlight w:val="none"/>
                <w:lang w:val="en-US" w:eastAsia="zh-CN"/>
              </w:rPr>
              <w:t>吨项目竣工环境保护验收监测报告表》中对烘干及燃烧混合废气排放监测结果，颗粒物实测最大排放浓度为18.1mg/m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，折算浓度为42.61mg/m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，颗粒物实测最大排放浓度为71.6mg/m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，类比项目均采用水膜除尘器，处理效率约85%-90%，本项目采用布袋除尘器进行处理，颗粒物去除效果优于水膜除尘器，并且符合可行性技术要求，故本项目预测颗粒物排放浓度低于类比项目。</w:t>
            </w:r>
          </w:p>
          <w:p w14:paraId="3726566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eastAsia" w:cs="Times New Roman"/>
                <w:bCs/>
                <w:color w:val="auto"/>
                <w:szCs w:val="21"/>
                <w:highlight w:val="none"/>
                <w:lang w:eastAsia="zh-CN"/>
              </w:rPr>
            </w:pPr>
            <w:r>
              <w:rPr>
                <w:rFonts w:hint="eastAsia" w:cs="Times New Roman"/>
                <w:bCs/>
                <w:color w:val="auto"/>
                <w:szCs w:val="21"/>
                <w:highlight w:val="none"/>
                <w:lang w:eastAsia="zh-CN"/>
              </w:rPr>
              <w:t>（</w:t>
            </w:r>
            <w:r>
              <w:rPr>
                <w:rFonts w:hint="eastAsia" w:cs="Times New Roman"/>
                <w:bCs/>
                <w:color w:val="auto"/>
                <w:szCs w:val="21"/>
                <w:highlight w:val="none"/>
                <w:lang w:val="en-US" w:eastAsia="zh-CN"/>
              </w:rPr>
              <w:t>5）废气处理技术</w:t>
            </w:r>
            <w:r>
              <w:rPr>
                <w:rFonts w:hint="eastAsia" w:cs="Times New Roman"/>
                <w:bCs/>
                <w:color w:val="auto"/>
                <w:szCs w:val="21"/>
                <w:highlight w:val="none"/>
                <w:lang w:eastAsia="zh-CN"/>
              </w:rPr>
              <w:t>可行性分析</w:t>
            </w:r>
          </w:p>
          <w:p w14:paraId="3EBC5E0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jc w:val="left"/>
              <w:textAlignment w:val="auto"/>
              <w:rPr>
                <w:rFonts w:hint="default"/>
                <w:color w:val="auto"/>
                <w:highlight w:val="none"/>
                <w:lang w:val="en-US"/>
              </w:rPr>
            </w:pPr>
            <w:r>
              <w:rPr>
                <w:rFonts w:hint="eastAsia" w:cs="Times New Roman"/>
                <w:color w:val="auto"/>
                <w:sz w:val="21"/>
                <w:szCs w:val="21"/>
                <w:highlight w:val="none"/>
                <w:lang w:val="en-US" w:eastAsia="zh-CN"/>
              </w:rPr>
              <w:t>本项目燃烧器废气经布袋除尘器处理后经15m排气筒排放，</w:t>
            </w:r>
            <w:r>
              <w:rPr>
                <w:rFonts w:hint="eastAsia" w:ascii="宋体" w:hAnsi="宋体" w:eastAsia="宋体" w:cs="宋体"/>
                <w:b w:val="0"/>
                <w:bCs w:val="0"/>
                <w:color w:val="auto"/>
                <w:kern w:val="0"/>
                <w:sz w:val="21"/>
                <w:szCs w:val="21"/>
                <w:highlight w:val="none"/>
                <w:lang w:val="en-US" w:eastAsia="zh-CN" w:bidi="ar"/>
              </w:rPr>
              <w:t>颗粒物和二氧化硫的排放浓度均符合《工业炉窑大气污染物排放标准》（</w:t>
            </w:r>
            <w:r>
              <w:rPr>
                <w:rFonts w:hint="default" w:ascii="Times New Roman" w:hAnsi="Times New Roman" w:eastAsia="宋体" w:cs="Times New Roman"/>
                <w:b w:val="0"/>
                <w:bCs w:val="0"/>
                <w:color w:val="auto"/>
                <w:kern w:val="0"/>
                <w:sz w:val="21"/>
                <w:szCs w:val="21"/>
                <w:highlight w:val="none"/>
                <w:lang w:val="en-US" w:eastAsia="zh-CN" w:bidi="ar"/>
              </w:rPr>
              <w:t>GB9078-1996</w:t>
            </w:r>
            <w:r>
              <w:rPr>
                <w:rFonts w:hint="eastAsia" w:ascii="宋体" w:hAnsi="宋体" w:eastAsia="宋体" w:cs="宋体"/>
                <w:b w:val="0"/>
                <w:bCs w:val="0"/>
                <w:color w:val="auto"/>
                <w:kern w:val="0"/>
                <w:sz w:val="21"/>
                <w:szCs w:val="21"/>
                <w:highlight w:val="none"/>
                <w:lang w:val="en-US" w:eastAsia="zh-CN" w:bidi="ar"/>
              </w:rPr>
              <w:t>）表</w:t>
            </w:r>
            <w:r>
              <w:rPr>
                <w:rFonts w:hint="default" w:ascii="Times New Roman" w:hAnsi="Times New Roman" w:eastAsia="宋体" w:cs="Times New Roman"/>
                <w:b w:val="0"/>
                <w:bCs w:val="0"/>
                <w:color w:val="auto"/>
                <w:kern w:val="0"/>
                <w:sz w:val="21"/>
                <w:szCs w:val="21"/>
                <w:highlight w:val="none"/>
                <w:lang w:val="en-US" w:eastAsia="zh-CN" w:bidi="ar"/>
              </w:rPr>
              <w:t>2</w:t>
            </w:r>
            <w:r>
              <w:rPr>
                <w:rFonts w:hint="eastAsia" w:ascii="宋体" w:hAnsi="宋体" w:eastAsia="宋体" w:cs="宋体"/>
                <w:b w:val="0"/>
                <w:bCs w:val="0"/>
                <w:color w:val="auto"/>
                <w:kern w:val="0"/>
                <w:sz w:val="21"/>
                <w:szCs w:val="21"/>
                <w:highlight w:val="none"/>
                <w:lang w:val="en-US" w:eastAsia="zh-CN" w:bidi="ar"/>
              </w:rPr>
              <w:t>和表</w:t>
            </w:r>
            <w:r>
              <w:rPr>
                <w:rFonts w:hint="default" w:ascii="Times New Roman" w:hAnsi="Times New Roman" w:eastAsia="宋体" w:cs="Times New Roman"/>
                <w:b w:val="0"/>
                <w:bCs w:val="0"/>
                <w:color w:val="auto"/>
                <w:kern w:val="0"/>
                <w:sz w:val="21"/>
                <w:szCs w:val="21"/>
                <w:highlight w:val="none"/>
                <w:lang w:val="en-US" w:eastAsia="zh-CN" w:bidi="ar"/>
              </w:rPr>
              <w:t>4</w:t>
            </w:r>
            <w:r>
              <w:rPr>
                <w:rFonts w:hint="eastAsia" w:ascii="宋体" w:hAnsi="宋体" w:eastAsia="宋体" w:cs="宋体"/>
                <w:b w:val="0"/>
                <w:bCs w:val="0"/>
                <w:color w:val="auto"/>
                <w:kern w:val="0"/>
                <w:sz w:val="21"/>
                <w:szCs w:val="21"/>
                <w:highlight w:val="none"/>
                <w:lang w:val="en-US" w:eastAsia="zh-CN" w:bidi="ar"/>
              </w:rPr>
              <w:t>中二级标准要求。</w:t>
            </w:r>
            <w:r>
              <w:rPr>
                <w:rFonts w:hint="eastAsia" w:ascii="Times New Roman" w:hAnsi="Times New Roman" w:cs="Times New Roman"/>
                <w:color w:val="auto"/>
                <w:sz w:val="21"/>
                <w:szCs w:val="21"/>
                <w:highlight w:val="none"/>
                <w:lang w:val="en-US" w:eastAsia="zh-CN"/>
              </w:rPr>
              <w:t>根据</w:t>
            </w:r>
            <w:r>
              <w:rPr>
                <w:rFonts w:hint="default" w:ascii="Times New Roman" w:hAnsi="Times New Roman" w:eastAsia="宋体" w:cs="Times New Roman"/>
                <w:color w:val="auto"/>
                <w:sz w:val="21"/>
                <w:szCs w:val="21"/>
                <w:highlight w:val="none"/>
                <w:lang w:val="en-US" w:eastAsia="zh-CN"/>
              </w:rPr>
              <w:t>《排污许可证申请与核发技术规范 工业炉窑》（HJ1121</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2020）中对污染防治可行技术的要求，</w:t>
            </w:r>
            <w:r>
              <w:rPr>
                <w:rFonts w:hint="eastAsia" w:ascii="Times New Roman" w:hAnsi="Times New Roman" w:cs="Times New Roman"/>
                <w:color w:val="auto"/>
                <w:sz w:val="21"/>
                <w:szCs w:val="21"/>
                <w:highlight w:val="none"/>
                <w:lang w:val="en-US" w:eastAsia="zh-CN"/>
              </w:rPr>
              <w:t>本</w:t>
            </w:r>
            <w:r>
              <w:rPr>
                <w:rFonts w:hint="default" w:ascii="Times New Roman" w:hAnsi="Times New Roman" w:eastAsia="宋体" w:cs="Times New Roman"/>
                <w:color w:val="auto"/>
                <w:sz w:val="21"/>
                <w:szCs w:val="21"/>
                <w:highlight w:val="none"/>
                <w:lang w:val="en-US" w:eastAsia="zh-CN"/>
              </w:rPr>
              <w:t>项目</w:t>
            </w:r>
            <w:r>
              <w:rPr>
                <w:rFonts w:hint="eastAsia" w:cs="Times New Roman"/>
                <w:color w:val="auto"/>
                <w:sz w:val="21"/>
                <w:szCs w:val="21"/>
                <w:highlight w:val="none"/>
                <w:lang w:val="en-US" w:eastAsia="zh-CN"/>
              </w:rPr>
              <w:t>烘干燃烧器</w:t>
            </w:r>
            <w:r>
              <w:rPr>
                <w:rFonts w:hint="default" w:ascii="Times New Roman" w:hAnsi="Times New Roman" w:eastAsia="宋体" w:cs="Times New Roman"/>
                <w:color w:val="auto"/>
                <w:sz w:val="21"/>
                <w:szCs w:val="21"/>
                <w:highlight w:val="none"/>
                <w:lang w:val="en-US" w:eastAsia="zh-CN"/>
              </w:rPr>
              <w:t>采取布袋除尘器处理烟气，属于可行技术。</w:t>
            </w:r>
          </w:p>
          <w:p w14:paraId="05B2D57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360" w:lineRule="auto"/>
              <w:ind w:left="0" w:right="0"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本项目</w:t>
            </w:r>
            <w:r>
              <w:rPr>
                <w:rFonts w:hint="eastAsia" w:cs="Times New Roman"/>
                <w:bCs/>
                <w:color w:val="auto"/>
                <w:kern w:val="0"/>
                <w:sz w:val="21"/>
                <w:szCs w:val="21"/>
                <w:highlight w:val="none"/>
                <w:lang w:val="en-US" w:eastAsia="zh-CN"/>
              </w:rPr>
              <w:t>粗破、粉碎</w:t>
            </w:r>
            <w:r>
              <w:rPr>
                <w:rFonts w:hint="default" w:ascii="Times New Roman" w:hAnsi="Times New Roman" w:eastAsia="宋体" w:cs="Times New Roman"/>
                <w:color w:val="auto"/>
                <w:kern w:val="0"/>
                <w:sz w:val="21"/>
                <w:szCs w:val="21"/>
                <w:highlight w:val="none"/>
                <w:lang w:val="en-US" w:eastAsia="zh-CN" w:bidi="ar"/>
              </w:rPr>
              <w:t>、</w:t>
            </w:r>
            <w:r>
              <w:rPr>
                <w:rFonts w:hint="eastAsia" w:cs="Times New Roman"/>
                <w:color w:val="auto"/>
                <w:kern w:val="0"/>
                <w:sz w:val="21"/>
                <w:szCs w:val="21"/>
                <w:highlight w:val="none"/>
                <w:lang w:val="en-US" w:eastAsia="zh-CN" w:bidi="ar"/>
              </w:rPr>
              <w:t>造</w:t>
            </w:r>
            <w:r>
              <w:rPr>
                <w:rFonts w:hint="default" w:ascii="Times New Roman" w:hAnsi="Times New Roman" w:eastAsia="宋体" w:cs="Times New Roman"/>
                <w:color w:val="auto"/>
                <w:kern w:val="0"/>
                <w:sz w:val="21"/>
                <w:szCs w:val="21"/>
                <w:highlight w:val="none"/>
                <w:lang w:val="en-US" w:eastAsia="zh-CN" w:bidi="ar"/>
              </w:rPr>
              <w:t>粒工序产生的颗粒物经袋式除尘器处理后通过15m 高排气筒排放，除尘效率为92%，属于《排放源统计调查产排污核算方法和系数手册》（生态环境部公告2021年第24号）中2542生物质致密成型燃料加工行业系数手册中推荐废气治理措施，有组织颗粒物排放浓度和排放速率满足《大气污染物综合排放标准》（GB16297-1996）表2</w:t>
            </w:r>
            <w:r>
              <w:rPr>
                <w:rFonts w:hint="eastAsia" w:cs="Times New Roman"/>
                <w:color w:val="auto"/>
                <w:kern w:val="0"/>
                <w:sz w:val="21"/>
                <w:szCs w:val="21"/>
                <w:highlight w:val="none"/>
                <w:lang w:val="en-US" w:eastAsia="zh-CN" w:bidi="ar"/>
              </w:rPr>
              <w:t>中</w:t>
            </w:r>
            <w:r>
              <w:rPr>
                <w:rFonts w:hint="default" w:ascii="Times New Roman" w:hAnsi="Times New Roman" w:eastAsia="宋体" w:cs="Times New Roman"/>
                <w:color w:val="auto"/>
                <w:kern w:val="0"/>
                <w:sz w:val="21"/>
                <w:szCs w:val="21"/>
                <w:highlight w:val="none"/>
                <w:lang w:val="en-US" w:eastAsia="zh-CN" w:bidi="ar"/>
              </w:rPr>
              <w:t>二级有组织排放标准。生产车间</w:t>
            </w:r>
            <w:r>
              <w:rPr>
                <w:rFonts w:hint="eastAsia" w:cs="Times New Roman"/>
                <w:color w:val="auto"/>
                <w:kern w:val="0"/>
                <w:sz w:val="21"/>
                <w:szCs w:val="21"/>
                <w:highlight w:val="none"/>
                <w:lang w:val="en-US" w:eastAsia="zh-CN" w:bidi="ar"/>
              </w:rPr>
              <w:t>封</w:t>
            </w:r>
            <w:r>
              <w:rPr>
                <w:rFonts w:hint="default" w:ascii="Times New Roman" w:hAnsi="Times New Roman" w:eastAsia="宋体" w:cs="Times New Roman"/>
                <w:color w:val="auto"/>
                <w:kern w:val="0"/>
                <w:sz w:val="21"/>
                <w:szCs w:val="21"/>
                <w:highlight w:val="none"/>
                <w:lang w:val="en-US" w:eastAsia="zh-CN" w:bidi="ar"/>
              </w:rPr>
              <w:t>闭，定期洒水降尘，厂界处无组织颗粒物浓度满足《大气污染物综合排放标准》（GB16297-1996）表2无组织排放监控浓度限值，综上本项目废气处理措施是可行的。</w:t>
            </w:r>
          </w:p>
          <w:p w14:paraId="4DB85B01">
            <w:pPr>
              <w:keepNext w:val="0"/>
              <w:keepLines w:val="0"/>
              <w:pageBreakBefore w:val="0"/>
              <w:suppressLineNumbers w:val="0"/>
              <w:kinsoku/>
              <w:wordWrap/>
              <w:overflowPunct/>
              <w:topLinePunct w:val="0"/>
              <w:autoSpaceDE/>
              <w:autoSpaceDN/>
              <w:bidi w:val="0"/>
              <w:adjustRightIn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w:t>
            </w:r>
            <w:r>
              <w:rPr>
                <w:rFonts w:hint="eastAsia"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排气筒</w:t>
            </w:r>
            <w:r>
              <w:rPr>
                <w:rFonts w:hint="default" w:ascii="Times New Roman" w:hAnsi="Times New Roman" w:eastAsia="宋体" w:cs="Times New Roman"/>
                <w:color w:val="auto"/>
                <w:sz w:val="21"/>
                <w:szCs w:val="21"/>
                <w:highlight w:val="none"/>
              </w:rPr>
              <w:t>设置合理性分析</w:t>
            </w:r>
          </w:p>
          <w:p w14:paraId="2D27A542">
            <w:pPr>
              <w:pStyle w:val="45"/>
              <w:keepNext w:val="0"/>
              <w:keepLines w:val="0"/>
              <w:pageBreakBefore w:val="0"/>
              <w:widowControl w:val="0"/>
              <w:numPr>
                <w:ilvl w:val="0"/>
                <w:numId w:val="0"/>
              </w:numPr>
              <w:suppressLineNumbers w:val="0"/>
              <w:kinsoku/>
              <w:wordWrap/>
              <w:overflowPunct/>
              <w:topLinePunct w:val="0"/>
              <w:autoSpaceDE w:val="0"/>
              <w:autoSpaceDN w:val="0"/>
              <w:bidi w:val="0"/>
              <w:adjustRightInd w:val="0"/>
              <w:snapToGrid/>
              <w:spacing w:before="0" w:beforeAutospacing="0" w:after="0" w:afterAutospacing="0" w:line="360" w:lineRule="auto"/>
              <w:ind w:left="0" w:right="0" w:rightChars="0" w:firstLine="420" w:firstLineChars="200"/>
              <w:jc w:val="both"/>
              <w:textAlignment w:val="baseline"/>
              <w:rPr>
                <w:rFonts w:hint="default"/>
                <w:color w:val="auto"/>
                <w:szCs w:val="20"/>
                <w:highlight w:val="none"/>
              </w:rPr>
            </w:pPr>
            <w:r>
              <w:rPr>
                <w:rFonts w:hint="default" w:ascii="Times New Roman" w:hAnsi="Times New Roman" w:eastAsia="宋体" w:cs="Times New Roman"/>
                <w:color w:val="auto"/>
                <w:sz w:val="21"/>
                <w:szCs w:val="21"/>
                <w:highlight w:val="none"/>
                <w:lang w:val="en-US" w:eastAsia="zh-CN"/>
              </w:rPr>
              <w:t>根据</w:t>
            </w:r>
            <w:r>
              <w:rPr>
                <w:rFonts w:hint="default" w:ascii="Times New Roman" w:hAnsi="Times New Roman" w:cs="Times New Roman"/>
                <w:color w:val="auto"/>
                <w:sz w:val="21"/>
                <w:szCs w:val="21"/>
                <w:highlight w:val="none"/>
              </w:rPr>
              <w:t>《工业炉窑大气污染物排放标准》（GB9078-1996）</w:t>
            </w:r>
            <w:r>
              <w:rPr>
                <w:rFonts w:hint="default" w:ascii="Times New Roman" w:hAnsi="Times New Roman" w:eastAsia="宋体" w:cs="Times New Roman"/>
                <w:color w:val="auto"/>
                <w:sz w:val="21"/>
                <w:szCs w:val="21"/>
                <w:highlight w:val="none"/>
                <w:lang w:val="en-US" w:eastAsia="zh-CN"/>
              </w:rPr>
              <w:t>中对于</w:t>
            </w:r>
            <w:r>
              <w:rPr>
                <w:rFonts w:hint="default" w:ascii="Times New Roman" w:hAnsi="Times New Roman" w:cs="Times New Roman"/>
                <w:color w:val="auto"/>
                <w:sz w:val="21"/>
                <w:szCs w:val="21"/>
                <w:highlight w:val="none"/>
              </w:rPr>
              <w:t>工业炉窑</w:t>
            </w:r>
            <w:r>
              <w:rPr>
                <w:rFonts w:hint="eastAsia" w:ascii="Times New Roman" w:hAnsi="Times New Roman" w:cs="Times New Roman"/>
                <w:color w:val="auto"/>
                <w:sz w:val="21"/>
                <w:szCs w:val="21"/>
                <w:highlight w:val="none"/>
                <w:lang w:val="en-US" w:eastAsia="zh-CN"/>
              </w:rPr>
              <w:t>烟囱</w:t>
            </w:r>
            <w:r>
              <w:rPr>
                <w:rFonts w:hint="default" w:ascii="Times New Roman" w:hAnsi="Times New Roman" w:eastAsia="宋体" w:cs="Times New Roman"/>
                <w:color w:val="auto"/>
                <w:sz w:val="21"/>
                <w:szCs w:val="21"/>
                <w:highlight w:val="none"/>
                <w:lang w:val="en-US" w:eastAsia="zh-CN"/>
              </w:rPr>
              <w:t>的要求可知，</w:t>
            </w:r>
            <w:r>
              <w:rPr>
                <w:rFonts w:hint="default" w:ascii="Times New Roman" w:hAnsi="Times New Roman" w:cs="Times New Roman"/>
                <w:color w:val="auto"/>
                <w:sz w:val="21"/>
                <w:szCs w:val="21"/>
                <w:highlight w:val="none"/>
              </w:rPr>
              <w:t>工业炉窑</w:t>
            </w:r>
            <w:r>
              <w:rPr>
                <w:rFonts w:hint="eastAsia" w:ascii="Times New Roman" w:hAnsi="Times New Roman" w:cs="Times New Roman"/>
                <w:color w:val="auto"/>
                <w:sz w:val="21"/>
                <w:szCs w:val="21"/>
                <w:highlight w:val="none"/>
                <w:lang w:val="en-US" w:eastAsia="zh-CN"/>
              </w:rPr>
              <w:t>烟囱</w:t>
            </w:r>
            <w:r>
              <w:rPr>
                <w:rFonts w:hint="default" w:ascii="Times New Roman" w:hAnsi="Times New Roman" w:eastAsia="宋体" w:cs="Times New Roman"/>
                <w:color w:val="auto"/>
                <w:sz w:val="21"/>
                <w:szCs w:val="21"/>
                <w:highlight w:val="none"/>
                <w:lang w:val="en-US" w:eastAsia="zh-CN"/>
              </w:rPr>
              <w:t>应不低于</w:t>
            </w:r>
            <w:r>
              <w:rPr>
                <w:rFonts w:hint="eastAsia"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lang w:val="en-US" w:eastAsia="zh-CN"/>
              </w:rPr>
              <w:t>m，并应高于周边200m范围最高建筑物高度3m以上，</w:t>
            </w:r>
            <w:r>
              <w:rPr>
                <w:rFonts w:hint="eastAsia" w:cs="Times New Roman"/>
                <w:b w:val="0"/>
                <w:bCs w:val="0"/>
                <w:color w:val="auto"/>
                <w:sz w:val="21"/>
                <w:szCs w:val="21"/>
                <w:highlight w:val="none"/>
                <w:lang w:val="en-US" w:eastAsia="zh-CN"/>
              </w:rPr>
              <w:t>本项目烘干燃烧器</w:t>
            </w:r>
            <w:r>
              <w:rPr>
                <w:rFonts w:hint="default" w:ascii="Times New Roman" w:hAnsi="Times New Roman" w:cs="Times New Roman"/>
                <w:b w:val="0"/>
                <w:bCs w:val="0"/>
                <w:color w:val="auto"/>
                <w:sz w:val="21"/>
                <w:szCs w:val="21"/>
                <w:highlight w:val="none"/>
                <w:lang w:val="en-US" w:eastAsia="zh-CN"/>
              </w:rPr>
              <w:t>排气筒（DA001）、</w:t>
            </w: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DA003</w:t>
            </w:r>
            <w:r>
              <w:rPr>
                <w:rFonts w:hint="eastAsia" w:ascii="Times New Roman" w:hAnsi="Times New Roman" w:cs="Times New Roman"/>
                <w:b w:val="0"/>
                <w:bCs w:val="0"/>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高度</w:t>
            </w:r>
            <w:r>
              <w:rPr>
                <w:rFonts w:hint="eastAsia"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lang w:val="en-US" w:eastAsia="zh-CN"/>
              </w:rPr>
              <w:t>m，周边200m范围内最高建筑物高度</w:t>
            </w:r>
            <w:r>
              <w:rPr>
                <w:rFonts w:hint="default" w:ascii="Times New Roman" w:hAnsi="Times New Roman" w:cs="Times New Roman"/>
                <w:color w:val="auto"/>
                <w:sz w:val="21"/>
                <w:szCs w:val="21"/>
                <w:highlight w:val="none"/>
                <w:lang w:val="en-US" w:eastAsia="zh-CN"/>
              </w:rPr>
              <w:t>约</w:t>
            </w:r>
            <w:r>
              <w:rPr>
                <w:rFonts w:hint="eastAsia" w:ascii="Times New Roman" w:hAnsi="Times New Roman"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val="en-US" w:eastAsia="zh-CN"/>
              </w:rPr>
              <w:t>m，因此本项目</w:t>
            </w:r>
            <w:r>
              <w:rPr>
                <w:rFonts w:hint="eastAsia" w:ascii="Times New Roman" w:hAnsi="Times New Roman" w:cs="Times New Roman"/>
                <w:color w:val="auto"/>
                <w:sz w:val="21"/>
                <w:szCs w:val="21"/>
                <w:highlight w:val="none"/>
                <w:lang w:val="en-US" w:eastAsia="zh-CN"/>
              </w:rPr>
              <w:t>烘干燃烧器排气筒</w:t>
            </w:r>
            <w:r>
              <w:rPr>
                <w:rFonts w:hint="default" w:ascii="Times New Roman" w:hAnsi="Times New Roman" w:eastAsia="宋体" w:cs="Times New Roman"/>
                <w:color w:val="auto"/>
                <w:sz w:val="21"/>
                <w:szCs w:val="21"/>
                <w:highlight w:val="none"/>
                <w:lang w:val="en-US" w:eastAsia="zh-CN"/>
              </w:rPr>
              <w:t>符合</w:t>
            </w:r>
            <w:r>
              <w:rPr>
                <w:rFonts w:hint="default" w:ascii="Times New Roman" w:hAnsi="Times New Roman" w:cs="Times New Roman"/>
                <w:color w:val="auto"/>
                <w:sz w:val="21"/>
                <w:szCs w:val="21"/>
                <w:highlight w:val="none"/>
              </w:rPr>
              <w:t>《工业炉窑大气污染物排放标准》（GB9078-1996）</w:t>
            </w:r>
            <w:r>
              <w:rPr>
                <w:rFonts w:hint="default" w:ascii="Times New Roman" w:hAnsi="Times New Roman" w:eastAsia="宋体" w:cs="Times New Roman"/>
                <w:color w:val="auto"/>
                <w:sz w:val="21"/>
                <w:szCs w:val="21"/>
                <w:highlight w:val="none"/>
                <w:lang w:val="en-US" w:eastAsia="zh-CN"/>
              </w:rPr>
              <w:t>对</w:t>
            </w:r>
            <w:r>
              <w:rPr>
                <w:rFonts w:hint="eastAsia" w:ascii="Times New Roman" w:hAnsi="Times New Roman" w:cs="Times New Roman"/>
                <w:color w:val="auto"/>
                <w:sz w:val="21"/>
                <w:szCs w:val="21"/>
                <w:highlight w:val="none"/>
                <w:lang w:val="en-US" w:eastAsia="zh-CN"/>
              </w:rPr>
              <w:t>排气筒</w:t>
            </w:r>
            <w:r>
              <w:rPr>
                <w:rFonts w:hint="default" w:ascii="Times New Roman" w:hAnsi="Times New Roman" w:eastAsia="宋体" w:cs="Times New Roman"/>
                <w:color w:val="auto"/>
                <w:sz w:val="21"/>
                <w:szCs w:val="21"/>
                <w:highlight w:val="none"/>
                <w:lang w:val="en-US" w:eastAsia="zh-CN"/>
              </w:rPr>
              <w:t>高度的要求。</w:t>
            </w:r>
          </w:p>
          <w:p w14:paraId="49A1CB6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根据《大气污染物综合排放标准》（GB 16297-1996）中</w:t>
            </w:r>
            <w:r>
              <w:rPr>
                <w:rFonts w:hint="eastAsia"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排气筒高度应高出周围200m范围内的建筑物5m以上</w:t>
            </w:r>
            <w:r>
              <w:rPr>
                <w:rFonts w:hint="eastAsia"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周边200m范围内最高建筑物高度</w:t>
            </w:r>
            <w:r>
              <w:rPr>
                <w:rFonts w:hint="default" w:ascii="Times New Roman" w:hAnsi="Times New Roman" w:cs="Times New Roman"/>
                <w:color w:val="auto"/>
                <w:sz w:val="21"/>
                <w:szCs w:val="21"/>
                <w:highlight w:val="none"/>
                <w:lang w:val="en-US" w:eastAsia="zh-CN"/>
              </w:rPr>
              <w:t>约</w:t>
            </w:r>
            <w:r>
              <w:rPr>
                <w:rFonts w:hint="eastAsia" w:ascii="Times New Roman" w:hAnsi="Times New Roman"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val="en-US" w:eastAsia="zh-CN"/>
              </w:rPr>
              <w:t>m，</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本项目</w:t>
            </w:r>
            <w:r>
              <w:rPr>
                <w:rFonts w:hint="eastAsia" w:cs="Times New Roman"/>
                <w:b w:val="0"/>
                <w:bCs w:val="0"/>
                <w:color w:val="auto"/>
                <w:sz w:val="21"/>
                <w:szCs w:val="21"/>
                <w:highlight w:val="none"/>
                <w:lang w:val="en-US" w:eastAsia="zh-CN"/>
              </w:rPr>
              <w:t>生产车间</w:t>
            </w:r>
            <w:r>
              <w:rPr>
                <w:rFonts w:hint="default" w:ascii="Times New Roman" w:hAnsi="Times New Roman" w:eastAsia="宋体" w:cs="Times New Roman"/>
                <w:b w:val="0"/>
                <w:bCs w:val="0"/>
                <w:color w:val="auto"/>
                <w:sz w:val="21"/>
                <w:szCs w:val="21"/>
                <w:highlight w:val="none"/>
                <w:lang w:val="en-US" w:eastAsia="zh-CN"/>
              </w:rPr>
              <w:t>排气筒</w:t>
            </w:r>
            <w:r>
              <w:rPr>
                <w:rFonts w:hint="eastAsia" w:ascii="Times New Roman" w:hAnsi="Times New Roman" w:eastAsia="宋体" w:cs="Times New Roman"/>
                <w:b w:val="0"/>
                <w:bCs w:val="0"/>
                <w:color w:val="auto"/>
                <w:sz w:val="21"/>
                <w:szCs w:val="21"/>
                <w:highlight w:val="none"/>
                <w:lang w:val="en-US" w:eastAsia="zh-CN"/>
              </w:rPr>
              <w:t>（DA00</w:t>
            </w:r>
            <w:r>
              <w:rPr>
                <w:rFonts w:hint="eastAsia" w:cs="Times New Roman"/>
                <w:b w:val="0"/>
                <w:bCs w:val="0"/>
                <w:color w:val="auto"/>
                <w:sz w:val="21"/>
                <w:szCs w:val="21"/>
                <w:highlight w:val="none"/>
                <w:lang w:val="en-US" w:eastAsia="zh-CN"/>
              </w:rPr>
              <w:t>2</w:t>
            </w:r>
            <w:r>
              <w:rPr>
                <w:rFonts w:hint="eastAsia" w:ascii="Times New Roman" w:hAnsi="Times New Roman" w:eastAsia="宋体" w:cs="Times New Roman"/>
                <w:b w:val="0"/>
                <w:bCs w:val="0"/>
                <w:color w:val="auto"/>
                <w:sz w:val="21"/>
                <w:szCs w:val="21"/>
                <w:highlight w:val="none"/>
                <w:lang w:val="en-US" w:eastAsia="zh-CN"/>
              </w:rPr>
              <w:t>）</w:t>
            </w:r>
            <w:r>
              <w:rPr>
                <w:rFonts w:hint="eastAsia" w:cs="Times New Roman"/>
                <w:b w:val="0"/>
                <w:bCs w:val="0"/>
                <w:color w:val="auto"/>
                <w:sz w:val="21"/>
                <w:szCs w:val="21"/>
                <w:highlight w:val="none"/>
                <w:lang w:val="en-US" w:eastAsia="zh-CN"/>
              </w:rPr>
              <w:t>及</w:t>
            </w:r>
            <w:r>
              <w:rPr>
                <w:rFonts w:hint="default" w:ascii="Times New Roman" w:hAnsi="Times New Roman" w:eastAsia="宋体" w:cs="Times New Roman"/>
                <w:b w:val="0"/>
                <w:bCs w:val="0"/>
                <w:color w:val="auto"/>
                <w:sz w:val="21"/>
                <w:szCs w:val="21"/>
                <w:highlight w:val="none"/>
                <w:lang w:val="en-US" w:eastAsia="zh-CN"/>
              </w:rPr>
              <w:t>排气筒</w:t>
            </w:r>
            <w:r>
              <w:rPr>
                <w:rFonts w:hint="eastAsia" w:ascii="Times New Roman" w:hAnsi="Times New Roman" w:eastAsia="宋体" w:cs="Times New Roman"/>
                <w:b w:val="0"/>
                <w:bCs w:val="0"/>
                <w:color w:val="auto"/>
                <w:sz w:val="21"/>
                <w:szCs w:val="21"/>
                <w:highlight w:val="none"/>
                <w:lang w:val="en-US" w:eastAsia="zh-CN"/>
              </w:rPr>
              <w:t>（DA00</w:t>
            </w:r>
            <w:r>
              <w:rPr>
                <w:rFonts w:hint="eastAsia" w:cs="Times New Roman"/>
                <w:b w:val="0"/>
                <w:bCs w:val="0"/>
                <w:color w:val="auto"/>
                <w:sz w:val="21"/>
                <w:szCs w:val="21"/>
                <w:highlight w:val="none"/>
                <w:lang w:val="en-US" w:eastAsia="zh-CN"/>
              </w:rPr>
              <w:t>4</w:t>
            </w:r>
            <w:r>
              <w:rPr>
                <w:rFonts w:hint="eastAsia" w:ascii="Times New Roman" w:hAnsi="Times New Roman" w:eastAsia="宋体" w:cs="Times New Roman"/>
                <w:b w:val="0"/>
                <w:bCs w:val="0"/>
                <w:color w:val="auto"/>
                <w:sz w:val="21"/>
                <w:szCs w:val="21"/>
                <w:highlight w:val="none"/>
                <w:lang w:val="en-US" w:eastAsia="zh-CN"/>
              </w:rPr>
              <w:t>）</w:t>
            </w:r>
            <w:r>
              <w:rPr>
                <w:rFonts w:hint="default" w:ascii="Times New Roman" w:hAnsi="Times New Roman" w:eastAsia="宋体" w:cs="Times New Roman"/>
                <w:b w:val="0"/>
                <w:bCs w:val="0"/>
                <w:color w:val="auto"/>
                <w:sz w:val="21"/>
                <w:szCs w:val="21"/>
                <w:highlight w:val="none"/>
                <w:lang w:val="en-US" w:eastAsia="zh-CN"/>
              </w:rPr>
              <w:t>高度</w:t>
            </w:r>
            <w:r>
              <w:rPr>
                <w:rFonts w:hint="eastAsia" w:cs="Times New Roman"/>
                <w:b w:val="0"/>
                <w:bCs w:val="0"/>
                <w:color w:val="auto"/>
                <w:sz w:val="21"/>
                <w:szCs w:val="21"/>
                <w:highlight w:val="none"/>
                <w:lang w:val="en-US" w:eastAsia="zh-CN"/>
              </w:rPr>
              <w:t>均</w:t>
            </w:r>
            <w:r>
              <w:rPr>
                <w:rFonts w:hint="default" w:ascii="Times New Roman" w:hAnsi="Times New Roman" w:eastAsia="宋体" w:cs="Times New Roman"/>
                <w:b w:val="0"/>
                <w:bCs w:val="0"/>
                <w:color w:val="auto"/>
                <w:sz w:val="21"/>
                <w:szCs w:val="21"/>
                <w:highlight w:val="none"/>
                <w:lang w:val="en-US" w:eastAsia="zh-CN"/>
              </w:rPr>
              <w:t>为1</w:t>
            </w:r>
            <w:r>
              <w:rPr>
                <w:rFonts w:hint="eastAsia" w:ascii="Times New Roman" w:hAnsi="Times New Roman" w:eastAsia="宋体"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lang w:val="en-US" w:eastAsia="zh-CN"/>
              </w:rPr>
              <w:t>m，符合《大气污染物综合排放标准》（GB 16297-1996）有关排气筒高度的要求。</w:t>
            </w:r>
          </w:p>
          <w:p w14:paraId="17496393">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lang w:val="en-US" w:eastAsia="zh-CN"/>
              </w:rPr>
            </w:pPr>
            <w:r>
              <w:rPr>
                <w:rFonts w:hint="eastAsia" w:cs="Times New Roman"/>
                <w:b w:val="0"/>
                <w:bCs w:val="0"/>
                <w:color w:val="auto"/>
                <w:sz w:val="21"/>
                <w:szCs w:val="21"/>
                <w:highlight w:val="none"/>
                <w:lang w:val="en-US" w:eastAsia="zh-CN"/>
              </w:rPr>
              <w:t>根据</w:t>
            </w:r>
            <w:r>
              <w:rPr>
                <w:rFonts w:hint="default" w:ascii="Times New Roman" w:hAnsi="Times New Roman" w:eastAsia="宋体" w:cs="Times New Roman"/>
                <w:b w:val="0"/>
                <w:bCs w:val="0"/>
                <w:color w:val="auto"/>
                <w:sz w:val="21"/>
                <w:szCs w:val="21"/>
                <w:highlight w:val="none"/>
                <w:lang w:val="en-US" w:eastAsia="zh-CN"/>
              </w:rPr>
              <w:t>《大气污染物综合排放标准》（GB 16297-1996）</w:t>
            </w:r>
            <w:r>
              <w:rPr>
                <w:rFonts w:hint="eastAsia" w:cs="Times New Roman"/>
                <w:b w:val="0"/>
                <w:bCs w:val="0"/>
                <w:color w:val="auto"/>
                <w:sz w:val="21"/>
                <w:szCs w:val="21"/>
                <w:highlight w:val="none"/>
                <w:lang w:val="en-US" w:eastAsia="zh-CN"/>
              </w:rPr>
              <w:t>附录A等效排气筒计算，当排气筒1和排气筒2排放同一种污染物，其距离小于该两个排气筒的高度之和时，应以一个等效排气筒代表该两个排气筒。本项目排气筒（DA002）和</w:t>
            </w:r>
            <w:r>
              <w:rPr>
                <w:rFonts w:hint="default" w:ascii="Times New Roman" w:hAnsi="Times New Roman" w:eastAsia="宋体" w:cs="Times New Roman"/>
                <w:b w:val="0"/>
                <w:bCs w:val="0"/>
                <w:color w:val="auto"/>
                <w:sz w:val="21"/>
                <w:szCs w:val="21"/>
                <w:highlight w:val="none"/>
                <w:lang w:val="en-US" w:eastAsia="zh-CN"/>
              </w:rPr>
              <w:t>排气筒</w:t>
            </w:r>
            <w:r>
              <w:rPr>
                <w:rFonts w:hint="eastAsia" w:ascii="Times New Roman" w:hAnsi="Times New Roman" w:eastAsia="宋体" w:cs="Times New Roman"/>
                <w:b w:val="0"/>
                <w:bCs w:val="0"/>
                <w:color w:val="auto"/>
                <w:sz w:val="21"/>
                <w:szCs w:val="21"/>
                <w:highlight w:val="none"/>
                <w:lang w:val="en-US" w:eastAsia="zh-CN"/>
              </w:rPr>
              <w:t>（DA00</w:t>
            </w:r>
            <w:r>
              <w:rPr>
                <w:rFonts w:hint="eastAsia" w:cs="Times New Roman"/>
                <w:b w:val="0"/>
                <w:bCs w:val="0"/>
                <w:color w:val="auto"/>
                <w:sz w:val="21"/>
                <w:szCs w:val="21"/>
                <w:highlight w:val="none"/>
                <w:lang w:val="en-US" w:eastAsia="zh-CN"/>
              </w:rPr>
              <w:t>4</w:t>
            </w:r>
            <w:r>
              <w:rPr>
                <w:rFonts w:hint="eastAsia" w:ascii="Times New Roman" w:hAnsi="Times New Roman" w:eastAsia="宋体" w:cs="Times New Roman"/>
                <w:b w:val="0"/>
                <w:bCs w:val="0"/>
                <w:color w:val="auto"/>
                <w:sz w:val="21"/>
                <w:szCs w:val="21"/>
                <w:highlight w:val="none"/>
                <w:lang w:val="en-US" w:eastAsia="zh-CN"/>
              </w:rPr>
              <w:t>）</w:t>
            </w:r>
            <w:r>
              <w:rPr>
                <w:rFonts w:hint="eastAsia" w:cs="Times New Roman"/>
                <w:b w:val="0"/>
                <w:bCs w:val="0"/>
                <w:color w:val="auto"/>
                <w:sz w:val="21"/>
                <w:szCs w:val="21"/>
                <w:highlight w:val="none"/>
                <w:lang w:val="en-US" w:eastAsia="zh-CN"/>
              </w:rPr>
              <w:t>的距离约为35米，大于两个排气筒的高度之和，无需进行等效排气筒计算。</w:t>
            </w:r>
          </w:p>
          <w:p w14:paraId="0F1E51E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420" w:leftChars="200" w:right="0" w:rightChars="0"/>
              <w:jc w:val="both"/>
              <w:textAlignment w:val="auto"/>
              <w:rPr>
                <w:rFonts w:hint="default"/>
                <w:color w:val="auto"/>
                <w:highlight w:val="none"/>
              </w:rPr>
            </w:pPr>
            <w:r>
              <w:rPr>
                <w:rFonts w:hint="eastAsia" w:ascii="Times New Roman" w:hAnsi="Times New Roman" w:cs="Times New Roman"/>
                <w:b w:val="0"/>
                <w:bCs w:val="0"/>
                <w:color w:val="auto"/>
                <w:szCs w:val="21"/>
                <w:highlight w:val="none"/>
                <w:lang w:eastAsia="zh-CN"/>
              </w:rPr>
              <w:t>（</w:t>
            </w:r>
            <w:r>
              <w:rPr>
                <w:rFonts w:hint="eastAsia" w:cs="Times New Roman"/>
                <w:b w:val="0"/>
                <w:bCs w:val="0"/>
                <w:color w:val="auto"/>
                <w:szCs w:val="21"/>
                <w:highlight w:val="none"/>
                <w:lang w:val="en-US" w:eastAsia="zh-CN"/>
              </w:rPr>
              <w:t>7</w:t>
            </w:r>
            <w:r>
              <w:rPr>
                <w:rFonts w:hint="eastAsia" w:ascii="Times New Roman" w:hAnsi="Times New Roman" w:cs="Times New Roman"/>
                <w:b w:val="0"/>
                <w:bCs w:val="0"/>
                <w:color w:val="auto"/>
                <w:szCs w:val="21"/>
                <w:highlight w:val="none"/>
                <w:lang w:val="en-US" w:eastAsia="zh-CN"/>
              </w:rPr>
              <w:t>）</w:t>
            </w:r>
            <w:r>
              <w:rPr>
                <w:rFonts w:hint="default" w:ascii="Times New Roman" w:hAnsi="Times New Roman" w:cs="Times New Roman"/>
                <w:b w:val="0"/>
                <w:bCs w:val="0"/>
                <w:color w:val="auto"/>
                <w:szCs w:val="21"/>
                <w:highlight w:val="none"/>
              </w:rPr>
              <w:t>废气排放环境影响</w:t>
            </w:r>
          </w:p>
          <w:p w14:paraId="2EFEB77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本项目</w:t>
            </w:r>
            <w:r>
              <w:rPr>
                <w:rFonts w:hint="eastAsia" w:cs="Times New Roman"/>
                <w:b w:val="0"/>
                <w:bCs w:val="0"/>
                <w:color w:val="auto"/>
                <w:sz w:val="21"/>
                <w:szCs w:val="21"/>
                <w:highlight w:val="none"/>
                <w:lang w:val="en-US" w:eastAsia="zh-CN"/>
              </w:rPr>
              <w:t>烘干燃烧器烟气</w:t>
            </w:r>
            <w:r>
              <w:rPr>
                <w:rFonts w:hint="eastAsia" w:ascii="Times New Roman" w:hAnsi="Times New Roman" w:eastAsia="宋体" w:cs="Times New Roman"/>
                <w:b w:val="0"/>
                <w:bCs w:val="0"/>
                <w:color w:val="auto"/>
                <w:sz w:val="21"/>
                <w:szCs w:val="21"/>
                <w:highlight w:val="none"/>
                <w:lang w:val="en-US" w:eastAsia="zh-CN"/>
              </w:rPr>
              <w:t>通过布袋除尘器处理后经15m</w:t>
            </w:r>
            <w:r>
              <w:rPr>
                <w:rFonts w:hint="eastAsia" w:cs="Times New Roman"/>
                <w:color w:val="auto"/>
                <w:sz w:val="21"/>
                <w:szCs w:val="21"/>
                <w:highlight w:val="none"/>
                <w:lang w:val="en-US" w:eastAsia="zh-CN"/>
              </w:rPr>
              <w:t>排气筒</w:t>
            </w:r>
            <w:r>
              <w:rPr>
                <w:rFonts w:hint="eastAsia" w:ascii="Times New Roman" w:hAnsi="Times New Roman" w:eastAsia="宋体" w:cs="Times New Roman"/>
                <w:b w:val="0"/>
                <w:bCs w:val="0"/>
                <w:color w:val="auto"/>
                <w:sz w:val="21"/>
                <w:szCs w:val="21"/>
                <w:highlight w:val="none"/>
                <w:lang w:val="en-US" w:eastAsia="zh-CN"/>
              </w:rPr>
              <w:t>高空排放，SO</w:t>
            </w:r>
            <w:r>
              <w:rPr>
                <w:rFonts w:hint="eastAsia" w:ascii="Times New Roman" w:hAnsi="Times New Roman" w:eastAsia="宋体" w:cs="Times New Roman"/>
                <w:b w:val="0"/>
                <w:bCs w:val="0"/>
                <w:color w:val="auto"/>
                <w:sz w:val="21"/>
                <w:szCs w:val="21"/>
                <w:highlight w:val="none"/>
                <w:vertAlign w:val="subscript"/>
                <w:lang w:val="en-US" w:eastAsia="zh-CN"/>
              </w:rPr>
              <w:t>2</w:t>
            </w:r>
            <w:r>
              <w:rPr>
                <w:rFonts w:hint="eastAsia" w:ascii="Times New Roman" w:hAnsi="Times New Roman" w:eastAsia="宋体" w:cs="Times New Roman"/>
                <w:b w:val="0"/>
                <w:bCs w:val="0"/>
                <w:color w:val="auto"/>
                <w:sz w:val="21"/>
                <w:szCs w:val="21"/>
                <w:highlight w:val="none"/>
                <w:lang w:val="en-US" w:eastAsia="zh-CN"/>
              </w:rPr>
              <w:t>排放浓度</w:t>
            </w:r>
            <w:r>
              <w:rPr>
                <w:rFonts w:hint="eastAsia" w:cs="Times New Roman"/>
                <w:b w:val="0"/>
                <w:bCs w:val="0"/>
                <w:color w:val="auto"/>
                <w:sz w:val="21"/>
                <w:szCs w:val="21"/>
                <w:highlight w:val="none"/>
                <w:lang w:val="en-US" w:eastAsia="zh-CN"/>
              </w:rPr>
              <w:t>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《工业炉窑大气污染物排放标准》（GB9078-1996）表4中二级标准，</w:t>
            </w:r>
            <w:r>
              <w:rPr>
                <w:rFonts w:hint="eastAsia" w:cs="Times New Roman"/>
                <w:b w:val="0"/>
                <w:bCs w:val="0"/>
                <w:color w:val="auto"/>
                <w:sz w:val="21"/>
                <w:szCs w:val="21"/>
                <w:highlight w:val="none"/>
                <w:lang w:val="en-US" w:eastAsia="zh-CN"/>
              </w:rPr>
              <w:t>颗粒物排放浓度及烟气黑度符合</w:t>
            </w:r>
            <w:r>
              <w:rPr>
                <w:rFonts w:hint="eastAsia" w:ascii="Times New Roman" w:hAnsi="Times New Roman" w:eastAsia="宋体" w:cs="Times New Roman"/>
                <w:b w:val="0"/>
                <w:bCs w:val="0"/>
                <w:color w:val="auto"/>
                <w:sz w:val="21"/>
                <w:szCs w:val="21"/>
                <w:highlight w:val="none"/>
                <w:lang w:val="en-US" w:eastAsia="zh-CN"/>
              </w:rPr>
              <w:t>《工业炉窑大气污染物排放标准》（GB9078-1996）表2中二级标准</w:t>
            </w:r>
            <w:r>
              <w:rPr>
                <w:rFonts w:hint="eastAsia" w:cs="Times New Roman"/>
                <w:b w:val="0"/>
                <w:bCs w:val="0"/>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本项目生产</w:t>
            </w:r>
            <w:r>
              <w:rPr>
                <w:rFonts w:hint="eastAsia" w:cs="Times New Roman"/>
                <w:color w:val="auto"/>
                <w:sz w:val="21"/>
                <w:szCs w:val="21"/>
                <w:highlight w:val="none"/>
                <w:lang w:val="en-US" w:eastAsia="zh-CN"/>
              </w:rPr>
              <w:t>车间粗破、粉碎、造粒</w:t>
            </w:r>
            <w:r>
              <w:rPr>
                <w:rFonts w:hint="eastAsia" w:ascii="Times New Roman" w:hAnsi="Times New Roman" w:cs="Times New Roman"/>
                <w:color w:val="auto"/>
                <w:sz w:val="21"/>
                <w:szCs w:val="21"/>
                <w:highlight w:val="none"/>
                <w:lang w:val="en-US" w:eastAsia="zh-CN"/>
              </w:rPr>
              <w:t>产生的有组织颗粒物经集气罩</w:t>
            </w:r>
            <w:r>
              <w:rPr>
                <w:rFonts w:hint="eastAsia" w:cs="Times New Roman"/>
                <w:color w:val="auto"/>
                <w:sz w:val="21"/>
                <w:szCs w:val="21"/>
                <w:highlight w:val="none"/>
                <w:lang w:val="en-US" w:eastAsia="zh-CN"/>
              </w:rPr>
              <w:t>收集</w:t>
            </w:r>
            <w:r>
              <w:rPr>
                <w:rFonts w:hint="eastAsia" w:ascii="Times New Roman" w:hAnsi="Times New Roman" w:cs="Times New Roman"/>
                <w:color w:val="auto"/>
                <w:sz w:val="21"/>
                <w:szCs w:val="21"/>
                <w:highlight w:val="none"/>
                <w:lang w:val="en-US" w:eastAsia="zh-CN"/>
              </w:rPr>
              <w:t>+布袋除尘器处理后，由15</w:t>
            </w:r>
            <w:r>
              <w:rPr>
                <w:rFonts w:hint="eastAsia" w:cs="Times New Roman"/>
                <w:color w:val="auto"/>
                <w:sz w:val="21"/>
                <w:szCs w:val="21"/>
                <w:highlight w:val="none"/>
                <w:lang w:val="en-US" w:eastAsia="zh-CN"/>
              </w:rPr>
              <w:t>m</w:t>
            </w:r>
            <w:r>
              <w:rPr>
                <w:rFonts w:hint="eastAsia" w:ascii="Times New Roman" w:hAnsi="Times New Roman" w:cs="Times New Roman"/>
                <w:color w:val="auto"/>
                <w:sz w:val="21"/>
                <w:szCs w:val="21"/>
                <w:highlight w:val="none"/>
                <w:lang w:val="en-US" w:eastAsia="zh-CN"/>
              </w:rPr>
              <w:t>高排气筒排放，</w:t>
            </w:r>
            <w:r>
              <w:rPr>
                <w:rFonts w:hint="eastAsia" w:cs="Times New Roman"/>
                <w:color w:val="auto"/>
                <w:sz w:val="21"/>
                <w:szCs w:val="21"/>
                <w:highlight w:val="none"/>
                <w:lang w:val="en-US" w:eastAsia="zh-CN"/>
              </w:rPr>
              <w:t>颗粒物有组织</w:t>
            </w:r>
            <w:r>
              <w:rPr>
                <w:rFonts w:hint="eastAsia" w:ascii="Times New Roman" w:hAnsi="Times New Roman" w:cs="Times New Roman"/>
                <w:color w:val="auto"/>
                <w:sz w:val="21"/>
                <w:szCs w:val="21"/>
                <w:highlight w:val="none"/>
                <w:lang w:val="en-US" w:eastAsia="zh-CN"/>
              </w:rPr>
              <w:t>排放符合</w:t>
            </w:r>
            <w:r>
              <w:rPr>
                <w:rFonts w:hint="default"/>
                <w:b w:val="0"/>
                <w:bCs w:val="0"/>
                <w:color w:val="auto"/>
                <w:kern w:val="0"/>
                <w:sz w:val="21"/>
                <w:szCs w:val="21"/>
                <w:highlight w:val="none"/>
              </w:rPr>
              <w:t>《大气污染物综合排放标准》（GB16297-1996）表2中二级排放标准</w:t>
            </w:r>
            <w:r>
              <w:rPr>
                <w:rFonts w:hint="eastAsia"/>
                <w:b w:val="0"/>
                <w:bCs w:val="0"/>
                <w:color w:val="auto"/>
                <w:kern w:val="0"/>
                <w:sz w:val="21"/>
                <w:szCs w:val="21"/>
                <w:highlight w:val="none"/>
                <w:lang w:eastAsia="zh-CN"/>
              </w:rPr>
              <w:t>。</w:t>
            </w:r>
            <w:r>
              <w:rPr>
                <w:rFonts w:hint="eastAsia" w:eastAsia="宋体" w:cs="Times New Roman"/>
                <w:color w:val="auto"/>
                <w:sz w:val="21"/>
                <w:szCs w:val="21"/>
                <w:highlight w:val="none"/>
                <w:lang w:val="en-US" w:eastAsia="zh-CN"/>
              </w:rPr>
              <w:t>灰渣间全封闭，灰渣及原料运输车辆采取苫布遮盖、封闭式运输。</w:t>
            </w:r>
            <w:r>
              <w:rPr>
                <w:rFonts w:hint="default" w:eastAsia="宋体" w:cs="Times New Roman"/>
                <w:color w:val="auto"/>
                <w:sz w:val="21"/>
                <w:szCs w:val="21"/>
                <w:highlight w:val="none"/>
                <w:lang w:val="en-US" w:eastAsia="zh-CN"/>
              </w:rPr>
              <w:t>由于原料含水率较高，</w:t>
            </w:r>
            <w:r>
              <w:rPr>
                <w:rFonts w:hint="eastAsia" w:eastAsia="宋体" w:cs="Times New Roman"/>
                <w:color w:val="auto"/>
                <w:sz w:val="21"/>
                <w:szCs w:val="21"/>
                <w:highlight w:val="none"/>
                <w:lang w:val="en-US" w:eastAsia="zh-CN"/>
              </w:rPr>
              <w:t>在储存及装卸、</w:t>
            </w:r>
            <w:r>
              <w:rPr>
                <w:rFonts w:hint="default" w:eastAsia="宋体" w:cs="Times New Roman"/>
                <w:color w:val="auto"/>
                <w:sz w:val="21"/>
                <w:szCs w:val="21"/>
                <w:highlight w:val="none"/>
                <w:lang w:val="en-US" w:eastAsia="zh-CN"/>
              </w:rPr>
              <w:t>投料</w:t>
            </w:r>
            <w:r>
              <w:rPr>
                <w:rFonts w:hint="eastAsia" w:eastAsia="宋体" w:cs="Times New Roman"/>
                <w:color w:val="auto"/>
                <w:sz w:val="21"/>
                <w:szCs w:val="21"/>
                <w:highlight w:val="none"/>
                <w:lang w:val="en-US" w:eastAsia="zh-CN"/>
              </w:rPr>
              <w:t>、筛分</w:t>
            </w:r>
            <w:r>
              <w:rPr>
                <w:rFonts w:hint="default" w:eastAsia="宋体" w:cs="Times New Roman"/>
                <w:color w:val="auto"/>
                <w:sz w:val="21"/>
                <w:szCs w:val="21"/>
                <w:highlight w:val="none"/>
                <w:lang w:val="en-US" w:eastAsia="zh-CN"/>
              </w:rPr>
              <w:t>时，产生的粉尘</w:t>
            </w:r>
            <w:r>
              <w:rPr>
                <w:rFonts w:hint="eastAsia" w:eastAsia="宋体" w:cs="Times New Roman"/>
                <w:color w:val="auto"/>
                <w:sz w:val="21"/>
                <w:szCs w:val="21"/>
                <w:highlight w:val="none"/>
                <w:lang w:val="en-US" w:eastAsia="zh-CN"/>
              </w:rPr>
              <w:t>较小，原料堆场四周设置2m高围挡，原料上方采取苫布遮盖，可有效控制扬尘。破碎过程未被集气罩收集的粉尘采取车间封闭、</w:t>
            </w:r>
            <w:r>
              <w:rPr>
                <w:rFonts w:hint="default" w:eastAsia="宋体" w:cs="Times New Roman"/>
                <w:color w:val="auto"/>
                <w:sz w:val="21"/>
                <w:szCs w:val="21"/>
                <w:highlight w:val="none"/>
                <w:lang w:val="en-US" w:eastAsia="zh-CN"/>
              </w:rPr>
              <w:t>定期洒水抑尘</w:t>
            </w:r>
            <w:r>
              <w:rPr>
                <w:rFonts w:hint="eastAsia" w:eastAsia="宋体" w:cs="Times New Roman"/>
                <w:color w:val="auto"/>
                <w:sz w:val="21"/>
                <w:szCs w:val="21"/>
                <w:highlight w:val="none"/>
                <w:lang w:val="en-US" w:eastAsia="zh-CN"/>
              </w:rPr>
              <w:t>等措施</w:t>
            </w:r>
            <w:r>
              <w:rPr>
                <w:rFonts w:hint="default" w:eastAsia="宋体" w:cs="Times New Roman"/>
                <w:color w:val="auto"/>
                <w:sz w:val="21"/>
                <w:szCs w:val="21"/>
                <w:highlight w:val="none"/>
                <w:lang w:val="en-US" w:eastAsia="zh-CN"/>
              </w:rPr>
              <w:t>，减少粉尘扩散</w:t>
            </w:r>
            <w:r>
              <w:rPr>
                <w:rFonts w:hint="eastAsia" w:eastAsia="宋体" w:cs="Times New Roman"/>
                <w:color w:val="auto"/>
                <w:sz w:val="21"/>
                <w:szCs w:val="21"/>
                <w:highlight w:val="none"/>
                <w:lang w:val="en-US" w:eastAsia="zh-CN"/>
              </w:rPr>
              <w:t>。</w:t>
            </w:r>
            <w:r>
              <w:rPr>
                <w:rFonts w:hint="default" w:eastAsia="宋体" w:cs="Times New Roman"/>
                <w:color w:val="auto"/>
                <w:sz w:val="21"/>
                <w:szCs w:val="21"/>
                <w:highlight w:val="none"/>
                <w:lang w:val="en-US" w:eastAsia="zh-CN"/>
              </w:rPr>
              <w:t>厂界颗粒物排放浓度符合《大气污染物综合排放标准》（GB16297-1996）表2无组织排放浓度限值要求</w:t>
            </w:r>
            <w:r>
              <w:rPr>
                <w:rFonts w:hint="eastAsia" w:eastAsia="宋体" w:cs="Times New Roman"/>
                <w:color w:val="auto"/>
                <w:sz w:val="21"/>
                <w:szCs w:val="21"/>
                <w:highlight w:val="none"/>
                <w:lang w:val="en-US" w:eastAsia="zh-CN"/>
              </w:rPr>
              <w:t>。</w:t>
            </w:r>
          </w:p>
          <w:p w14:paraId="0616DC6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color w:val="auto"/>
                <w:kern w:val="0"/>
                <w:sz w:val="21"/>
                <w:szCs w:val="21"/>
                <w:highlight w:val="none"/>
                <w:lang w:eastAsia="zh-CN"/>
              </w:rPr>
            </w:pPr>
            <w:r>
              <w:rPr>
                <w:rFonts w:hint="default" w:ascii="Times New Roman" w:hAnsi="Times New Roman" w:cs="Times New Roman"/>
                <w:color w:val="auto"/>
                <w:sz w:val="21"/>
                <w:szCs w:val="21"/>
                <w:highlight w:val="none"/>
              </w:rPr>
              <w:t>综上所述，在落实污染防治措施的前提下，并保证环保设施正常运行，本项目排放的污染物对评价区域环境空气质量影响较小。</w:t>
            </w:r>
          </w:p>
          <w:p w14:paraId="58C4732E">
            <w:pPr>
              <w:keepNext w:val="0"/>
              <w:keepLines w:val="0"/>
              <w:suppressLineNumbers w:val="0"/>
              <w:adjustRightInd w:val="0"/>
              <w:snapToGrid w:val="0"/>
              <w:spacing w:before="0" w:beforeAutospacing="0" w:after="0" w:afterAutospacing="0" w:line="360" w:lineRule="auto"/>
              <w:ind w:left="0" w:right="0" w:firstLine="422" w:firstLineChars="200"/>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2、废水</w:t>
            </w:r>
          </w:p>
          <w:p w14:paraId="189747A9">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eastAsia="宋体" w:cs="Times New Roman"/>
                <w:bCs/>
                <w:color w:val="auto"/>
                <w:szCs w:val="21"/>
                <w:highlight w:val="none"/>
                <w:lang w:val="en-US" w:eastAsia="zh-CN"/>
              </w:rPr>
            </w:pPr>
            <w:r>
              <w:rPr>
                <w:rFonts w:hint="eastAsia" w:cs="Times New Roman"/>
                <w:bCs/>
                <w:color w:val="auto"/>
                <w:szCs w:val="21"/>
                <w:highlight w:val="none"/>
                <w:lang w:val="en-US" w:eastAsia="zh-CN"/>
              </w:rPr>
              <w:t>本项目生产废水主要为热风炉房、生产车间洒水降尘用水，此部分用水全部自然蒸发，生活污水源强见下表。</w:t>
            </w:r>
          </w:p>
          <w:p w14:paraId="2A754F0A">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
                <w:color w:val="auto"/>
                <w:szCs w:val="21"/>
                <w:highlight w:val="none"/>
              </w:rPr>
            </w:pPr>
            <w:r>
              <w:rPr>
                <w:rFonts w:hint="default" w:ascii="Times New Roman" w:hAnsi="Times New Roman" w:cs="Times New Roman"/>
                <w:bCs/>
                <w:color w:val="auto"/>
                <w:szCs w:val="21"/>
                <w:highlight w:val="none"/>
              </w:rPr>
              <w:t>（1）废水源强详见表4-</w:t>
            </w:r>
            <w:r>
              <w:rPr>
                <w:rFonts w:hint="eastAsia" w:cs="Times New Roman"/>
                <w:bCs/>
                <w:color w:val="auto"/>
                <w:szCs w:val="21"/>
                <w:highlight w:val="none"/>
                <w:lang w:val="en-US" w:eastAsia="zh-CN"/>
              </w:rPr>
              <w:t>6</w:t>
            </w:r>
            <w:r>
              <w:rPr>
                <w:rFonts w:hint="default" w:ascii="Times New Roman" w:hAnsi="Times New Roman" w:cs="Times New Roman"/>
                <w:bCs/>
                <w:color w:val="auto"/>
                <w:szCs w:val="21"/>
                <w:highlight w:val="none"/>
              </w:rPr>
              <w:t>。</w:t>
            </w:r>
          </w:p>
          <w:p w14:paraId="2A31EDF3">
            <w:pPr>
              <w:keepNext w:val="0"/>
              <w:keepLines w:val="0"/>
              <w:suppressLineNumbers w:val="0"/>
              <w:adjustRightInd w:val="0"/>
              <w:snapToGrid w:val="0"/>
              <w:spacing w:before="0" w:beforeAutospacing="0" w:after="0" w:afterAutospacing="0"/>
              <w:ind w:left="0" w:right="0"/>
              <w:jc w:val="center"/>
              <w:rPr>
                <w:rFonts w:hint="default"/>
                <w:b/>
                <w:bCs/>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 xml:space="preserve">-6 </w:t>
            </w:r>
            <w:r>
              <w:rPr>
                <w:rFonts w:hint="default"/>
                <w:b/>
                <w:bCs/>
                <w:color w:val="auto"/>
                <w:szCs w:val="21"/>
                <w:highlight w:val="none"/>
              </w:rPr>
              <w:t>废水污染源源强核算结果及相关参数一览表</w:t>
            </w:r>
          </w:p>
          <w:tbl>
            <w:tblPr>
              <w:tblStyle w:val="34"/>
              <w:tblW w:w="8699"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10"/>
              <w:gridCol w:w="1506"/>
              <w:gridCol w:w="1029"/>
              <w:gridCol w:w="1080"/>
              <w:gridCol w:w="1335"/>
              <w:gridCol w:w="1275"/>
              <w:gridCol w:w="1264"/>
            </w:tblGrid>
            <w:tr w14:paraId="4287955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95" w:type="pct"/>
                  <w:vMerge w:val="restart"/>
                  <w:tcBorders>
                    <w:tl2br w:val="nil"/>
                    <w:tr2bl w:val="nil"/>
                  </w:tcBorders>
                  <w:vAlign w:val="center"/>
                </w:tcPr>
                <w:p w14:paraId="5F55FE1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排放源</w:t>
                  </w:r>
                </w:p>
              </w:tc>
              <w:tc>
                <w:tcPr>
                  <w:tcW w:w="865" w:type="pct"/>
                  <w:vMerge w:val="restart"/>
                  <w:tcBorders>
                    <w:tl2br w:val="nil"/>
                    <w:tr2bl w:val="nil"/>
                  </w:tcBorders>
                  <w:vAlign w:val="center"/>
                </w:tcPr>
                <w:p w14:paraId="7F9024E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污染物</w:t>
                  </w:r>
                </w:p>
              </w:tc>
              <w:tc>
                <w:tcPr>
                  <w:tcW w:w="2712" w:type="pct"/>
                  <w:gridSpan w:val="4"/>
                  <w:tcBorders>
                    <w:tl2br w:val="nil"/>
                    <w:tr2bl w:val="nil"/>
                  </w:tcBorders>
                  <w:vAlign w:val="center"/>
                </w:tcPr>
                <w:p w14:paraId="0E6FAE7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污染物产生</w:t>
                  </w:r>
                </w:p>
              </w:tc>
              <w:tc>
                <w:tcPr>
                  <w:tcW w:w="726" w:type="pct"/>
                  <w:vMerge w:val="restart"/>
                  <w:tcBorders>
                    <w:tl2br w:val="nil"/>
                    <w:tr2bl w:val="nil"/>
                  </w:tcBorders>
                  <w:vAlign w:val="center"/>
                </w:tcPr>
                <w:p w14:paraId="2F3893B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治理措施</w:t>
                  </w:r>
                </w:p>
              </w:tc>
            </w:tr>
            <w:tr w14:paraId="380B024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4" w:hRule="atLeast"/>
                <w:jc w:val="center"/>
              </w:trPr>
              <w:tc>
                <w:tcPr>
                  <w:tcW w:w="695" w:type="pct"/>
                  <w:vMerge w:val="continue"/>
                  <w:tcBorders>
                    <w:tl2br w:val="nil"/>
                    <w:tr2bl w:val="nil"/>
                  </w:tcBorders>
                  <w:vAlign w:val="center"/>
                </w:tcPr>
                <w:p w14:paraId="1FA550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865" w:type="pct"/>
                  <w:vMerge w:val="continue"/>
                  <w:tcBorders>
                    <w:tl2br w:val="nil"/>
                    <w:tr2bl w:val="nil"/>
                  </w:tcBorders>
                  <w:vAlign w:val="center"/>
                </w:tcPr>
                <w:p w14:paraId="0FEDCC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591" w:type="pct"/>
                  <w:tcBorders>
                    <w:tl2br w:val="nil"/>
                    <w:tr2bl w:val="nil"/>
                  </w:tcBorders>
                  <w:vAlign w:val="center"/>
                </w:tcPr>
                <w:p w14:paraId="3AFFF32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核算方法</w:t>
                  </w:r>
                </w:p>
              </w:tc>
              <w:tc>
                <w:tcPr>
                  <w:tcW w:w="620" w:type="pct"/>
                  <w:tcBorders>
                    <w:tl2br w:val="nil"/>
                    <w:tr2bl w:val="nil"/>
                  </w:tcBorders>
                  <w:vAlign w:val="center"/>
                </w:tcPr>
                <w:p w14:paraId="30E9F03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废水量</w:t>
                  </w:r>
                  <w:r>
                    <w:rPr>
                      <w:rFonts w:hint="default" w:ascii="Times New Roman" w:hAnsi="Times New Roman" w:cs="Times New Roman" w:eastAsiaTheme="minorEastAsia"/>
                      <w:color w:val="auto"/>
                      <w:sz w:val="18"/>
                      <w:szCs w:val="18"/>
                      <w:highlight w:val="none"/>
                      <w:lang w:val="en-US" w:eastAsia="zh-CN"/>
                    </w:rPr>
                    <w:t>t</w:t>
                  </w:r>
                  <w:r>
                    <w:rPr>
                      <w:rFonts w:hint="default" w:ascii="Times New Roman" w:hAnsi="Times New Roman" w:cs="Times New Roman" w:eastAsiaTheme="minorEastAsia"/>
                      <w:color w:val="auto"/>
                      <w:sz w:val="18"/>
                      <w:szCs w:val="18"/>
                      <w:highlight w:val="none"/>
                    </w:rPr>
                    <w:t>/a</w:t>
                  </w:r>
                </w:p>
              </w:tc>
              <w:tc>
                <w:tcPr>
                  <w:tcW w:w="767" w:type="pct"/>
                  <w:tcBorders>
                    <w:tl2br w:val="nil"/>
                    <w:tr2bl w:val="nil"/>
                  </w:tcBorders>
                  <w:vAlign w:val="center"/>
                </w:tcPr>
                <w:p w14:paraId="3FBC9BA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产生</w:t>
                  </w:r>
                </w:p>
                <w:p w14:paraId="44CDD2D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浓度mg/L</w:t>
                  </w:r>
                </w:p>
              </w:tc>
              <w:tc>
                <w:tcPr>
                  <w:tcW w:w="732" w:type="pct"/>
                  <w:tcBorders>
                    <w:tl2br w:val="nil"/>
                    <w:tr2bl w:val="nil"/>
                  </w:tcBorders>
                  <w:vAlign w:val="center"/>
                </w:tcPr>
                <w:p w14:paraId="765E28B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产生量t/a</w:t>
                  </w:r>
                </w:p>
              </w:tc>
              <w:tc>
                <w:tcPr>
                  <w:tcW w:w="726" w:type="pct"/>
                  <w:vMerge w:val="continue"/>
                  <w:tcBorders>
                    <w:tl2br w:val="nil"/>
                    <w:tr2bl w:val="nil"/>
                  </w:tcBorders>
                  <w:vAlign w:val="center"/>
                </w:tcPr>
                <w:p w14:paraId="1908137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r>
            <w:tr w14:paraId="7631875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695" w:type="pct"/>
                  <w:vMerge w:val="restart"/>
                  <w:tcBorders>
                    <w:tl2br w:val="nil"/>
                    <w:tr2bl w:val="nil"/>
                  </w:tcBorders>
                  <w:vAlign w:val="center"/>
                </w:tcPr>
                <w:p w14:paraId="602B1FB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eastAsia="zh-CN"/>
                    </w:rPr>
                  </w:pPr>
                  <w:r>
                    <w:rPr>
                      <w:rFonts w:hint="default" w:ascii="Times New Roman" w:hAnsi="Times New Roman" w:cs="Times New Roman" w:eastAsiaTheme="minorEastAsia"/>
                      <w:color w:val="auto"/>
                      <w:sz w:val="18"/>
                      <w:szCs w:val="18"/>
                      <w:highlight w:val="none"/>
                      <w:lang w:eastAsia="zh-CN"/>
                    </w:rPr>
                    <w:t>生活污水</w:t>
                  </w:r>
                </w:p>
              </w:tc>
              <w:tc>
                <w:tcPr>
                  <w:tcW w:w="865" w:type="pct"/>
                  <w:tcBorders>
                    <w:tl2br w:val="nil"/>
                    <w:tr2bl w:val="nil"/>
                  </w:tcBorders>
                  <w:vAlign w:val="center"/>
                </w:tcPr>
                <w:p w14:paraId="5307409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COD</w:t>
                  </w:r>
                </w:p>
              </w:tc>
              <w:tc>
                <w:tcPr>
                  <w:tcW w:w="591" w:type="pct"/>
                  <w:vMerge w:val="restart"/>
                  <w:tcBorders>
                    <w:tl2br w:val="nil"/>
                    <w:tr2bl w:val="nil"/>
                  </w:tcBorders>
                  <w:vAlign w:val="center"/>
                </w:tcPr>
                <w:p w14:paraId="4A04FF6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类比法</w:t>
                  </w:r>
                </w:p>
              </w:tc>
              <w:tc>
                <w:tcPr>
                  <w:tcW w:w="620" w:type="pct"/>
                  <w:vMerge w:val="restart"/>
                  <w:tcBorders>
                    <w:tl2br w:val="nil"/>
                    <w:tr2bl w:val="nil"/>
                  </w:tcBorders>
                  <w:vAlign w:val="center"/>
                </w:tcPr>
                <w:p w14:paraId="1379362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288</w:t>
                  </w:r>
                </w:p>
              </w:tc>
              <w:tc>
                <w:tcPr>
                  <w:tcW w:w="767" w:type="pct"/>
                  <w:tcBorders>
                    <w:tl2br w:val="nil"/>
                    <w:tr2bl w:val="nil"/>
                  </w:tcBorders>
                  <w:vAlign w:val="center"/>
                </w:tcPr>
                <w:p w14:paraId="3DC7CAA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300</w:t>
                  </w:r>
                </w:p>
              </w:tc>
              <w:tc>
                <w:tcPr>
                  <w:tcW w:w="732" w:type="pct"/>
                  <w:tcBorders>
                    <w:tl2br w:val="nil"/>
                    <w:tr2bl w:val="nil"/>
                  </w:tcBorders>
                  <w:vAlign w:val="center"/>
                </w:tcPr>
                <w:p w14:paraId="1FB1E89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kern w:val="0"/>
                      <w:sz w:val="18"/>
                      <w:szCs w:val="18"/>
                      <w:highlight w:val="none"/>
                      <w:shd w:val="clear" w:color="auto" w:fill="auto"/>
                      <w:lang w:val="en-US" w:eastAsia="zh-CN"/>
                    </w:rPr>
                  </w:pPr>
                  <w:r>
                    <w:rPr>
                      <w:rFonts w:hint="eastAsia" w:cs="Times New Roman" w:eastAsiaTheme="minorEastAsia"/>
                      <w:color w:val="auto"/>
                      <w:kern w:val="0"/>
                      <w:sz w:val="18"/>
                      <w:szCs w:val="18"/>
                      <w:highlight w:val="none"/>
                      <w:shd w:val="clear" w:color="auto" w:fill="auto"/>
                      <w:lang w:val="en-US" w:eastAsia="zh-CN"/>
                    </w:rPr>
                    <w:t>0.086</w:t>
                  </w:r>
                </w:p>
              </w:tc>
              <w:tc>
                <w:tcPr>
                  <w:tcW w:w="726" w:type="pct"/>
                  <w:vMerge w:val="restart"/>
                  <w:tcBorders>
                    <w:tl2br w:val="nil"/>
                    <w:tr2bl w:val="nil"/>
                  </w:tcBorders>
                  <w:vAlign w:val="center"/>
                </w:tcPr>
                <w:p w14:paraId="2422ED8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firstLine="0" w:firstLineChars="0"/>
                    <w:jc w:val="both"/>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排入防渗旱厕，定期清掏外运堆肥。</w:t>
                  </w:r>
                </w:p>
              </w:tc>
            </w:tr>
            <w:tr w14:paraId="543AE83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695" w:type="pct"/>
                  <w:vMerge w:val="continue"/>
                  <w:tcBorders>
                    <w:tl2br w:val="nil"/>
                    <w:tr2bl w:val="nil"/>
                  </w:tcBorders>
                  <w:vAlign w:val="center"/>
                </w:tcPr>
                <w:p w14:paraId="652D0A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865" w:type="pct"/>
                  <w:tcBorders>
                    <w:tl2br w:val="nil"/>
                    <w:tr2bl w:val="nil"/>
                  </w:tcBorders>
                  <w:vAlign w:val="center"/>
                </w:tcPr>
                <w:p w14:paraId="5D86006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BOD</w:t>
                  </w:r>
                  <w:r>
                    <w:rPr>
                      <w:rFonts w:hint="default" w:ascii="Times New Roman" w:hAnsi="Times New Roman" w:cs="Times New Roman" w:eastAsiaTheme="minorEastAsia"/>
                      <w:color w:val="auto"/>
                      <w:sz w:val="18"/>
                      <w:szCs w:val="18"/>
                      <w:highlight w:val="none"/>
                      <w:vertAlign w:val="subscript"/>
                    </w:rPr>
                    <w:t>5</w:t>
                  </w:r>
                </w:p>
              </w:tc>
              <w:tc>
                <w:tcPr>
                  <w:tcW w:w="591" w:type="pct"/>
                  <w:vMerge w:val="continue"/>
                  <w:tcBorders>
                    <w:tl2br w:val="nil"/>
                    <w:tr2bl w:val="nil"/>
                  </w:tcBorders>
                  <w:vAlign w:val="center"/>
                </w:tcPr>
                <w:p w14:paraId="2DF729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620" w:type="pct"/>
                  <w:vMerge w:val="continue"/>
                  <w:tcBorders>
                    <w:tl2br w:val="nil"/>
                    <w:tr2bl w:val="nil"/>
                  </w:tcBorders>
                  <w:vAlign w:val="center"/>
                </w:tcPr>
                <w:p w14:paraId="2653BA7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767" w:type="pct"/>
                  <w:tcBorders>
                    <w:tl2br w:val="nil"/>
                    <w:tr2bl w:val="nil"/>
                  </w:tcBorders>
                  <w:vAlign w:val="center"/>
                </w:tcPr>
                <w:p w14:paraId="246B690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200</w:t>
                  </w:r>
                </w:p>
              </w:tc>
              <w:tc>
                <w:tcPr>
                  <w:tcW w:w="732" w:type="pct"/>
                  <w:tcBorders>
                    <w:tl2br w:val="nil"/>
                    <w:tr2bl w:val="nil"/>
                  </w:tcBorders>
                  <w:vAlign w:val="center"/>
                </w:tcPr>
                <w:p w14:paraId="4C81718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kern w:val="0"/>
                      <w:sz w:val="18"/>
                      <w:szCs w:val="18"/>
                      <w:highlight w:val="none"/>
                      <w:shd w:val="clear" w:color="auto" w:fill="auto"/>
                      <w:lang w:val="en-US" w:eastAsia="zh-CN"/>
                    </w:rPr>
                    <w:t>0.058</w:t>
                  </w:r>
                </w:p>
              </w:tc>
              <w:tc>
                <w:tcPr>
                  <w:tcW w:w="726" w:type="pct"/>
                  <w:vMerge w:val="continue"/>
                  <w:tcBorders>
                    <w:tl2br w:val="nil"/>
                    <w:tr2bl w:val="nil"/>
                  </w:tcBorders>
                  <w:vAlign w:val="center"/>
                </w:tcPr>
                <w:p w14:paraId="09047C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4CB843C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695" w:type="pct"/>
                  <w:vMerge w:val="continue"/>
                  <w:tcBorders>
                    <w:tl2br w:val="nil"/>
                    <w:tr2bl w:val="nil"/>
                  </w:tcBorders>
                  <w:vAlign w:val="center"/>
                </w:tcPr>
                <w:p w14:paraId="7E1EAA0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865" w:type="pct"/>
                  <w:tcBorders>
                    <w:tl2br w:val="nil"/>
                    <w:tr2bl w:val="nil"/>
                  </w:tcBorders>
                  <w:vAlign w:val="center"/>
                </w:tcPr>
                <w:p w14:paraId="640B468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SS</w:t>
                  </w:r>
                </w:p>
              </w:tc>
              <w:tc>
                <w:tcPr>
                  <w:tcW w:w="591" w:type="pct"/>
                  <w:vMerge w:val="continue"/>
                  <w:tcBorders>
                    <w:tl2br w:val="nil"/>
                    <w:tr2bl w:val="nil"/>
                  </w:tcBorders>
                  <w:vAlign w:val="center"/>
                </w:tcPr>
                <w:p w14:paraId="77E315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620" w:type="pct"/>
                  <w:vMerge w:val="continue"/>
                  <w:tcBorders>
                    <w:tl2br w:val="nil"/>
                    <w:tr2bl w:val="nil"/>
                  </w:tcBorders>
                  <w:vAlign w:val="center"/>
                </w:tcPr>
                <w:p w14:paraId="7F0C63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767" w:type="pct"/>
                  <w:tcBorders>
                    <w:tl2br w:val="nil"/>
                    <w:tr2bl w:val="nil"/>
                  </w:tcBorders>
                  <w:vAlign w:val="center"/>
                </w:tcPr>
                <w:p w14:paraId="36E5658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200</w:t>
                  </w:r>
                </w:p>
              </w:tc>
              <w:tc>
                <w:tcPr>
                  <w:tcW w:w="732" w:type="pct"/>
                  <w:tcBorders>
                    <w:tl2br w:val="nil"/>
                    <w:tr2bl w:val="nil"/>
                  </w:tcBorders>
                  <w:vAlign w:val="center"/>
                </w:tcPr>
                <w:p w14:paraId="3FE757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kern w:val="0"/>
                      <w:sz w:val="18"/>
                      <w:szCs w:val="18"/>
                      <w:highlight w:val="none"/>
                      <w:shd w:val="clear" w:color="auto" w:fill="auto"/>
                    </w:rPr>
                    <w:t>0.</w:t>
                  </w:r>
                  <w:r>
                    <w:rPr>
                      <w:rFonts w:hint="default" w:ascii="Times New Roman" w:hAnsi="Times New Roman" w:cs="Times New Roman" w:eastAsiaTheme="minorEastAsia"/>
                      <w:color w:val="auto"/>
                      <w:kern w:val="0"/>
                      <w:sz w:val="18"/>
                      <w:szCs w:val="18"/>
                      <w:highlight w:val="none"/>
                      <w:shd w:val="clear" w:color="auto" w:fill="auto"/>
                      <w:lang w:val="en-US" w:eastAsia="zh-CN"/>
                    </w:rPr>
                    <w:t>0</w:t>
                  </w:r>
                  <w:r>
                    <w:rPr>
                      <w:rFonts w:hint="eastAsia" w:cs="Times New Roman" w:eastAsiaTheme="minorEastAsia"/>
                      <w:color w:val="auto"/>
                      <w:kern w:val="0"/>
                      <w:sz w:val="18"/>
                      <w:szCs w:val="18"/>
                      <w:highlight w:val="none"/>
                      <w:shd w:val="clear" w:color="auto" w:fill="auto"/>
                      <w:lang w:val="en-US" w:eastAsia="zh-CN"/>
                    </w:rPr>
                    <w:t>58</w:t>
                  </w:r>
                </w:p>
              </w:tc>
              <w:tc>
                <w:tcPr>
                  <w:tcW w:w="726" w:type="pct"/>
                  <w:vMerge w:val="continue"/>
                  <w:tcBorders>
                    <w:tl2br w:val="nil"/>
                    <w:tr2bl w:val="nil"/>
                  </w:tcBorders>
                  <w:vAlign w:val="center"/>
                </w:tcPr>
                <w:p w14:paraId="54CB6B7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p>
              </w:tc>
            </w:tr>
            <w:tr w14:paraId="550A23B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0" w:hRule="atLeast"/>
                <w:jc w:val="center"/>
              </w:trPr>
              <w:tc>
                <w:tcPr>
                  <w:tcW w:w="695" w:type="pct"/>
                  <w:vMerge w:val="continue"/>
                  <w:tcBorders>
                    <w:tl2br w:val="nil"/>
                    <w:tr2bl w:val="nil"/>
                  </w:tcBorders>
                  <w:vAlign w:val="center"/>
                </w:tcPr>
                <w:p w14:paraId="0483040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865" w:type="pct"/>
                  <w:tcBorders>
                    <w:tl2br w:val="nil"/>
                    <w:tr2bl w:val="nil"/>
                  </w:tcBorders>
                  <w:vAlign w:val="center"/>
                </w:tcPr>
                <w:p w14:paraId="732CA8C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氨氮</w:t>
                  </w:r>
                </w:p>
              </w:tc>
              <w:tc>
                <w:tcPr>
                  <w:tcW w:w="591" w:type="pct"/>
                  <w:vMerge w:val="continue"/>
                  <w:tcBorders>
                    <w:tl2br w:val="nil"/>
                    <w:tr2bl w:val="nil"/>
                  </w:tcBorders>
                  <w:vAlign w:val="center"/>
                </w:tcPr>
                <w:p w14:paraId="6012C92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620" w:type="pct"/>
                  <w:vMerge w:val="continue"/>
                  <w:tcBorders>
                    <w:tl2br w:val="nil"/>
                    <w:tr2bl w:val="nil"/>
                  </w:tcBorders>
                  <w:vAlign w:val="center"/>
                </w:tcPr>
                <w:p w14:paraId="7407F1F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rPr>
                  </w:pPr>
                </w:p>
              </w:tc>
              <w:tc>
                <w:tcPr>
                  <w:tcW w:w="767" w:type="pct"/>
                  <w:tcBorders>
                    <w:tl2br w:val="nil"/>
                    <w:tr2bl w:val="nil"/>
                  </w:tcBorders>
                  <w:vAlign w:val="center"/>
                </w:tcPr>
                <w:p w14:paraId="25A2EAF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25</w:t>
                  </w:r>
                </w:p>
              </w:tc>
              <w:tc>
                <w:tcPr>
                  <w:tcW w:w="732" w:type="pct"/>
                  <w:tcBorders>
                    <w:tl2br w:val="nil"/>
                    <w:tr2bl w:val="nil"/>
                  </w:tcBorders>
                  <w:vAlign w:val="center"/>
                </w:tcPr>
                <w:p w14:paraId="54F2871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leftChars="0" w:right="0" w:right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kern w:val="0"/>
                      <w:sz w:val="18"/>
                      <w:szCs w:val="18"/>
                      <w:highlight w:val="none"/>
                      <w:shd w:val="clear" w:color="auto" w:fill="auto"/>
                      <w:lang w:val="en-US" w:eastAsia="zh-CN"/>
                    </w:rPr>
                    <w:t>0.007</w:t>
                  </w:r>
                </w:p>
              </w:tc>
              <w:tc>
                <w:tcPr>
                  <w:tcW w:w="726" w:type="pct"/>
                  <w:vMerge w:val="continue"/>
                  <w:tcBorders>
                    <w:tl2br w:val="nil"/>
                    <w:tr2bl w:val="nil"/>
                  </w:tcBorders>
                  <w:vAlign w:val="center"/>
                </w:tcPr>
                <w:p w14:paraId="07CE49D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80" w:lineRule="exact"/>
                    <w:ind w:left="0" w:right="0"/>
                    <w:jc w:val="center"/>
                    <w:textAlignment w:val="auto"/>
                    <w:rPr>
                      <w:rFonts w:hint="default" w:ascii="Times New Roman" w:hAnsi="Times New Roman" w:cs="Times New Roman" w:eastAsiaTheme="minorEastAsia"/>
                      <w:color w:val="auto"/>
                      <w:sz w:val="18"/>
                      <w:szCs w:val="18"/>
                      <w:highlight w:val="none"/>
                      <w:lang w:val="en-US" w:eastAsia="zh-CN"/>
                    </w:rPr>
                  </w:pPr>
                </w:p>
              </w:tc>
            </w:tr>
          </w:tbl>
          <w:p w14:paraId="5D6980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本项目</w:t>
            </w:r>
            <w:r>
              <w:rPr>
                <w:rFonts w:hint="default" w:ascii="Times New Roman" w:hAnsi="Times New Roman" w:cs="Times New Roman"/>
                <w:color w:val="auto"/>
                <w:kern w:val="0"/>
                <w:sz w:val="21"/>
                <w:szCs w:val="21"/>
                <w:highlight w:val="none"/>
                <w:shd w:val="clear" w:color="auto" w:fill="auto"/>
              </w:rPr>
              <w:t>生活污水</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eastAsia" w:cs="Times New Roman"/>
                <w:bCs/>
                <w:color w:val="auto"/>
                <w:sz w:val="21"/>
                <w:szCs w:val="21"/>
                <w:highlight w:val="none"/>
                <w:lang w:val="en-US" w:eastAsia="zh-CN"/>
              </w:rPr>
              <w:t>0.96</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/d</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val="en-US" w:eastAsia="zh-CN"/>
              </w:rPr>
              <w:t>288</w:t>
            </w:r>
            <w:r>
              <w:rPr>
                <w:rFonts w:hint="eastAsia" w:ascii="Times New Roman" w:hAnsi="Times New Roman" w:cs="Times New Roman"/>
                <w:color w:val="auto"/>
                <w:sz w:val="21"/>
                <w:szCs w:val="21"/>
                <w:highlight w:val="none"/>
                <w:lang w:val="en-US" w:eastAsia="zh-CN"/>
              </w:rPr>
              <w:t>t</w:t>
            </w:r>
            <w:r>
              <w:rPr>
                <w:rFonts w:hint="default" w:ascii="Times New Roman" w:hAnsi="Times New Roman" w:cs="Times New Roman"/>
                <w:color w:val="auto"/>
                <w:sz w:val="21"/>
                <w:szCs w:val="21"/>
                <w:highlight w:val="none"/>
              </w:rPr>
              <w:t>/a</w:t>
            </w:r>
            <w:r>
              <w:rPr>
                <w:rFonts w:hint="default" w:ascii="Times New Roman" w:hAnsi="Times New Roman" w:cs="Times New Roman"/>
                <w:color w:val="auto"/>
                <w:kern w:val="0"/>
                <w:sz w:val="21"/>
                <w:szCs w:val="21"/>
                <w:highlight w:val="none"/>
                <w:shd w:val="clear" w:color="auto" w:fill="auto"/>
              </w:rPr>
              <w:t>，</w:t>
            </w:r>
            <w:r>
              <w:rPr>
                <w:rFonts w:hint="eastAsia"/>
                <w:color w:val="auto"/>
                <w:highlight w:val="none"/>
              </w:rPr>
              <w:t>参照《社会区域类环境影响评价》（主编：吴波，编制时间2007年）中给出的生活污水中各项污染物浓度</w:t>
            </w:r>
            <w:r>
              <w:rPr>
                <w:rFonts w:hint="eastAsia"/>
                <w:color w:val="auto"/>
                <w:highlight w:val="none"/>
                <w:lang w:eastAsia="zh-CN"/>
              </w:rPr>
              <w:t>，</w:t>
            </w:r>
            <w:r>
              <w:rPr>
                <w:rFonts w:hint="default" w:ascii="Times New Roman" w:hAnsi="Times New Roman" w:cs="Times New Roman"/>
                <w:color w:val="auto"/>
                <w:kern w:val="0"/>
                <w:sz w:val="21"/>
                <w:szCs w:val="21"/>
                <w:highlight w:val="none"/>
                <w:shd w:val="clear" w:color="auto" w:fill="auto"/>
              </w:rPr>
              <w:t>生活污水COD</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浓度取值3</w:t>
            </w:r>
            <w:r>
              <w:rPr>
                <w:rFonts w:hint="default" w:ascii="Times New Roman" w:hAnsi="Times New Roman" w:cs="Times New Roman"/>
                <w:color w:val="auto"/>
                <w:kern w:val="0"/>
                <w:sz w:val="21"/>
                <w:szCs w:val="21"/>
                <w:highlight w:val="none"/>
                <w:shd w:val="clear" w:color="auto" w:fill="auto"/>
                <w:lang w:val="en-US" w:eastAsia="zh-CN"/>
              </w:rPr>
              <w:t>0</w:t>
            </w:r>
            <w:r>
              <w:rPr>
                <w:rFonts w:hint="default" w:ascii="Times New Roman" w:hAnsi="Times New Roman" w:cs="Times New Roman"/>
                <w:color w:val="auto"/>
                <w:kern w:val="0"/>
                <w:sz w:val="21"/>
                <w:szCs w:val="21"/>
                <w:highlight w:val="none"/>
                <w:shd w:val="clear" w:color="auto" w:fill="auto"/>
              </w:rPr>
              <w:t>0mg/L，氨氮</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浓度取值25mg/L，BOD</w:t>
            </w:r>
            <w:r>
              <w:rPr>
                <w:rFonts w:hint="default" w:ascii="Times New Roman" w:hAnsi="Times New Roman" w:cs="Times New Roman"/>
                <w:color w:val="auto"/>
                <w:kern w:val="0"/>
                <w:sz w:val="21"/>
                <w:szCs w:val="21"/>
                <w:highlight w:val="none"/>
                <w:shd w:val="clear" w:color="auto" w:fill="auto"/>
                <w:vertAlign w:val="subscript"/>
              </w:rPr>
              <w:t>5</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浓度取值200mg/L，SS</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浓度取值</w:t>
            </w:r>
            <w:r>
              <w:rPr>
                <w:rFonts w:hint="default" w:ascii="Times New Roman" w:hAnsi="Times New Roman" w:cs="Times New Roman"/>
                <w:color w:val="auto"/>
                <w:kern w:val="0"/>
                <w:sz w:val="21"/>
                <w:szCs w:val="21"/>
                <w:highlight w:val="none"/>
                <w:shd w:val="clear" w:color="auto" w:fill="auto"/>
                <w:lang w:val="en-US" w:eastAsia="zh-CN"/>
              </w:rPr>
              <w:t>2</w:t>
            </w:r>
            <w:r>
              <w:rPr>
                <w:rFonts w:hint="default" w:ascii="Times New Roman" w:hAnsi="Times New Roman" w:cs="Times New Roman"/>
                <w:color w:val="auto"/>
                <w:kern w:val="0"/>
                <w:sz w:val="21"/>
                <w:szCs w:val="21"/>
                <w:highlight w:val="none"/>
                <w:shd w:val="clear" w:color="auto" w:fill="auto"/>
              </w:rPr>
              <w:t>00mg/L。经计算生活污水COD</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eastAsia" w:cs="Times New Roman"/>
                <w:color w:val="auto"/>
                <w:kern w:val="0"/>
                <w:sz w:val="21"/>
                <w:szCs w:val="21"/>
                <w:highlight w:val="none"/>
                <w:shd w:val="clear" w:color="auto" w:fill="auto"/>
                <w:lang w:val="en-US" w:eastAsia="zh-CN"/>
              </w:rPr>
              <w:t>0.086</w:t>
            </w:r>
            <w:r>
              <w:rPr>
                <w:rFonts w:hint="default" w:ascii="Times New Roman" w:hAnsi="Times New Roman" w:cs="Times New Roman"/>
                <w:color w:val="auto"/>
                <w:kern w:val="0"/>
                <w:sz w:val="21"/>
                <w:szCs w:val="21"/>
                <w:highlight w:val="none"/>
                <w:shd w:val="clear" w:color="auto" w:fill="auto"/>
              </w:rPr>
              <w:t>t/a、氨氮</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eastAsia" w:cs="Times New Roman"/>
                <w:color w:val="auto"/>
                <w:kern w:val="0"/>
                <w:sz w:val="21"/>
                <w:szCs w:val="21"/>
                <w:highlight w:val="none"/>
                <w:shd w:val="clear" w:color="auto" w:fill="auto"/>
                <w:lang w:val="en-US" w:eastAsia="zh-CN"/>
              </w:rPr>
              <w:t>0.007</w:t>
            </w:r>
            <w:r>
              <w:rPr>
                <w:rFonts w:hint="default" w:ascii="Times New Roman" w:hAnsi="Times New Roman" w:cs="Times New Roman"/>
                <w:color w:val="auto"/>
                <w:kern w:val="0"/>
                <w:sz w:val="21"/>
                <w:szCs w:val="21"/>
                <w:highlight w:val="none"/>
                <w:shd w:val="clear" w:color="auto" w:fill="auto"/>
              </w:rPr>
              <w:t>t/a、SS</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default" w:ascii="Times New Roman" w:hAnsi="Times New Roman" w:eastAsia="宋体" w:cs="Times New Roman"/>
                <w:color w:val="auto"/>
                <w:kern w:val="0"/>
                <w:sz w:val="21"/>
                <w:szCs w:val="21"/>
                <w:highlight w:val="none"/>
                <w:shd w:val="clear" w:color="auto" w:fill="auto"/>
              </w:rPr>
              <w:t>0.</w:t>
            </w:r>
            <w:r>
              <w:rPr>
                <w:rFonts w:hint="eastAsia" w:cs="Times New Roman"/>
                <w:color w:val="auto"/>
                <w:kern w:val="0"/>
                <w:sz w:val="21"/>
                <w:szCs w:val="21"/>
                <w:highlight w:val="none"/>
                <w:shd w:val="clear" w:color="auto" w:fill="auto"/>
                <w:lang w:val="en-US" w:eastAsia="zh-CN"/>
              </w:rPr>
              <w:t>058</w:t>
            </w:r>
            <w:r>
              <w:rPr>
                <w:rFonts w:hint="default" w:ascii="Times New Roman" w:hAnsi="Times New Roman" w:cs="Times New Roman"/>
                <w:color w:val="auto"/>
                <w:kern w:val="0"/>
                <w:sz w:val="21"/>
                <w:szCs w:val="21"/>
                <w:highlight w:val="none"/>
                <w:shd w:val="clear" w:color="auto" w:fill="auto"/>
              </w:rPr>
              <w:t>t/a、BOD</w:t>
            </w:r>
            <w:r>
              <w:rPr>
                <w:rFonts w:hint="default" w:ascii="Times New Roman" w:hAnsi="Times New Roman" w:cs="Times New Roman"/>
                <w:color w:val="auto"/>
                <w:kern w:val="0"/>
                <w:sz w:val="21"/>
                <w:szCs w:val="21"/>
                <w:highlight w:val="none"/>
                <w:shd w:val="clear" w:color="auto" w:fill="auto"/>
                <w:vertAlign w:val="subscript"/>
              </w:rPr>
              <w:t>5</w:t>
            </w:r>
            <w:r>
              <w:rPr>
                <w:rFonts w:hint="eastAsia" w:cs="Times New Roman"/>
                <w:color w:val="auto"/>
                <w:kern w:val="0"/>
                <w:sz w:val="21"/>
                <w:szCs w:val="21"/>
                <w:highlight w:val="none"/>
                <w:shd w:val="clear" w:color="auto" w:fill="auto"/>
                <w:lang w:val="en-US" w:eastAsia="zh-CN"/>
              </w:rPr>
              <w:t>产生</w:t>
            </w:r>
            <w:r>
              <w:rPr>
                <w:rFonts w:hint="default" w:ascii="Times New Roman" w:hAnsi="Times New Roman" w:cs="Times New Roman"/>
                <w:color w:val="auto"/>
                <w:kern w:val="0"/>
                <w:sz w:val="21"/>
                <w:szCs w:val="21"/>
                <w:highlight w:val="none"/>
                <w:shd w:val="clear" w:color="auto" w:fill="auto"/>
              </w:rPr>
              <w:t>量为</w:t>
            </w:r>
            <w:r>
              <w:rPr>
                <w:rFonts w:hint="default" w:ascii="Times New Roman" w:hAnsi="Times New Roman" w:eastAsia="宋体" w:cs="Times New Roman"/>
                <w:color w:val="auto"/>
                <w:kern w:val="0"/>
                <w:sz w:val="21"/>
                <w:szCs w:val="21"/>
                <w:highlight w:val="none"/>
                <w:shd w:val="clear" w:color="auto" w:fill="auto"/>
              </w:rPr>
              <w:t>0</w:t>
            </w:r>
            <w:r>
              <w:rPr>
                <w:rFonts w:hint="eastAsia" w:cs="Times New Roman"/>
                <w:color w:val="auto"/>
                <w:kern w:val="0"/>
                <w:sz w:val="21"/>
                <w:szCs w:val="21"/>
                <w:highlight w:val="none"/>
                <w:shd w:val="clear" w:color="auto" w:fill="auto"/>
                <w:lang w:val="en-US" w:eastAsia="zh-CN"/>
              </w:rPr>
              <w:t>.058</w:t>
            </w:r>
            <w:r>
              <w:rPr>
                <w:rFonts w:hint="default" w:ascii="Times New Roman" w:hAnsi="Times New Roman" w:cs="Times New Roman"/>
                <w:color w:val="auto"/>
                <w:kern w:val="0"/>
                <w:sz w:val="21"/>
                <w:szCs w:val="21"/>
                <w:highlight w:val="none"/>
                <w:shd w:val="clear" w:color="auto" w:fill="auto"/>
              </w:rPr>
              <w:t>t/a。</w:t>
            </w:r>
          </w:p>
          <w:p w14:paraId="2E9E525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bCs/>
                <w:color w:val="auto"/>
                <w:spacing w:val="0"/>
                <w:sz w:val="21"/>
                <w:szCs w:val="21"/>
                <w:highlight w:val="none"/>
              </w:rPr>
            </w:pPr>
            <w:r>
              <w:rPr>
                <w:rFonts w:hint="default" w:ascii="Times New Roman" w:hAnsi="Times New Roman" w:cs="Times New Roman"/>
                <w:bCs/>
                <w:color w:val="auto"/>
                <w:spacing w:val="0"/>
                <w:sz w:val="21"/>
                <w:szCs w:val="21"/>
                <w:highlight w:val="none"/>
              </w:rPr>
              <w:t>（</w:t>
            </w:r>
            <w:r>
              <w:rPr>
                <w:rFonts w:hint="eastAsia" w:cs="Times New Roman"/>
                <w:bCs/>
                <w:color w:val="auto"/>
                <w:spacing w:val="0"/>
                <w:sz w:val="21"/>
                <w:szCs w:val="21"/>
                <w:highlight w:val="none"/>
                <w:lang w:val="en-US" w:eastAsia="zh-CN"/>
              </w:rPr>
              <w:t>2</w:t>
            </w:r>
            <w:r>
              <w:rPr>
                <w:rFonts w:hint="default" w:ascii="Times New Roman" w:hAnsi="Times New Roman" w:cs="Times New Roman"/>
                <w:bCs/>
                <w:color w:val="auto"/>
                <w:spacing w:val="0"/>
                <w:sz w:val="21"/>
                <w:szCs w:val="21"/>
                <w:highlight w:val="none"/>
              </w:rPr>
              <w:t>）</w:t>
            </w:r>
            <w:r>
              <w:rPr>
                <w:rFonts w:hint="eastAsia" w:cs="Times New Roman"/>
                <w:bCs/>
                <w:color w:val="auto"/>
                <w:spacing w:val="0"/>
                <w:sz w:val="21"/>
                <w:szCs w:val="21"/>
                <w:highlight w:val="none"/>
                <w:lang w:val="en-US" w:eastAsia="zh-CN"/>
              </w:rPr>
              <w:t>污染防治措施及</w:t>
            </w:r>
            <w:r>
              <w:rPr>
                <w:rFonts w:hint="default"/>
                <w:bCs/>
                <w:color w:val="auto"/>
                <w:spacing w:val="0"/>
                <w:sz w:val="21"/>
                <w:szCs w:val="21"/>
                <w:highlight w:val="none"/>
              </w:rPr>
              <w:t>环境影响分析</w:t>
            </w:r>
          </w:p>
          <w:p w14:paraId="0073A16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宋体" w:hAnsi="宋体" w:eastAsia="宋体" w:cs="宋体"/>
                <w:color w:val="auto"/>
                <w:spacing w:val="0"/>
                <w:kern w:val="24"/>
                <w:sz w:val="21"/>
                <w:szCs w:val="21"/>
                <w:highlight w:val="none"/>
                <w:lang w:eastAsia="zh-CN"/>
              </w:rPr>
            </w:pPr>
            <w:r>
              <w:rPr>
                <w:rFonts w:hint="default" w:ascii="Times New Roman" w:hAnsi="Times New Roman" w:eastAsia="宋体" w:cs="Times New Roman"/>
                <w:bCs/>
                <w:color w:val="auto"/>
                <w:sz w:val="21"/>
                <w:szCs w:val="21"/>
                <w:highlight w:val="none"/>
                <w:lang w:val="en-US" w:eastAsia="zh-CN"/>
              </w:rPr>
              <w:t>本项目无生产废水</w:t>
            </w:r>
            <w:r>
              <w:rPr>
                <w:rFonts w:hint="eastAsia"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生活污水</w:t>
            </w:r>
            <w:r>
              <w:rPr>
                <w:rFonts w:hint="default" w:ascii="Times New Roman" w:hAnsi="Times New Roman" w:cs="Times New Roman"/>
                <w:color w:val="auto"/>
                <w:sz w:val="21"/>
                <w:szCs w:val="21"/>
                <w:highlight w:val="none"/>
                <w:lang w:eastAsia="zh-CN"/>
              </w:rPr>
              <w:t>排入</w:t>
            </w:r>
            <w:r>
              <w:rPr>
                <w:rFonts w:hint="eastAsia" w:cs="Times New Roman"/>
                <w:color w:val="auto"/>
                <w:kern w:val="0"/>
                <w:szCs w:val="21"/>
                <w:highlight w:val="none"/>
                <w:lang w:val="en-US" w:eastAsia="zh-CN"/>
              </w:rPr>
              <w:t>防渗旱厕</w:t>
            </w:r>
            <w:r>
              <w:rPr>
                <w:rFonts w:hint="default" w:ascii="Times New Roman" w:hAnsi="Times New Roman" w:cs="Times New Roman"/>
                <w:color w:val="auto"/>
                <w:sz w:val="21"/>
                <w:szCs w:val="21"/>
                <w:highlight w:val="none"/>
                <w:lang w:eastAsia="zh-CN"/>
              </w:rPr>
              <w:t>，定期清掏，外运堆肥，</w:t>
            </w:r>
            <w:r>
              <w:rPr>
                <w:rFonts w:hint="default" w:ascii="Times New Roman" w:hAnsi="Times New Roman" w:cs="Times New Roman"/>
                <w:color w:val="auto"/>
                <w:sz w:val="21"/>
                <w:szCs w:val="21"/>
                <w:highlight w:val="none"/>
                <w:lang w:val="en-US" w:eastAsia="zh-CN"/>
              </w:rPr>
              <w:t>不外排</w:t>
            </w:r>
            <w:r>
              <w:rPr>
                <w:rFonts w:hint="eastAsia" w:cs="Times New Roman"/>
                <w:color w:val="auto"/>
                <w:spacing w:val="0"/>
                <w:sz w:val="21"/>
                <w:szCs w:val="21"/>
                <w:highlight w:val="none"/>
                <w:lang w:val="en-US" w:eastAsia="zh-CN"/>
              </w:rPr>
              <w:t>。</w:t>
            </w:r>
            <w:r>
              <w:rPr>
                <w:rFonts w:hint="eastAsia"/>
                <w:color w:val="auto"/>
                <w:sz w:val="21"/>
                <w:szCs w:val="21"/>
                <w:highlight w:val="none"/>
              </w:rPr>
              <w:t>不会对周边地表水环境产生较大影响</w:t>
            </w:r>
            <w:r>
              <w:rPr>
                <w:rFonts w:hint="eastAsia" w:ascii="Times New Roman" w:hAnsi="Times New Roman" w:cs="Times New Roman"/>
                <w:bCs/>
                <w:color w:val="auto"/>
                <w:spacing w:val="-2"/>
                <w:szCs w:val="21"/>
                <w:highlight w:val="none"/>
                <w:lang w:eastAsia="zh-CN"/>
              </w:rPr>
              <w:t>。</w:t>
            </w:r>
          </w:p>
          <w:p w14:paraId="43488F5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2" w:firstLineChars="200"/>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3、噪声</w:t>
            </w:r>
          </w:p>
          <w:p w14:paraId="4DAB334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textAlignment w:val="auto"/>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（1）噪声污染源源强核算结果及相关参数见表4-</w:t>
            </w:r>
            <w:r>
              <w:rPr>
                <w:rFonts w:hint="eastAsia" w:cs="Times New Roman"/>
                <w:bCs/>
                <w:color w:val="auto"/>
                <w:szCs w:val="21"/>
                <w:highlight w:val="none"/>
                <w:lang w:val="en-US" w:eastAsia="zh-CN"/>
              </w:rPr>
              <w:t>7</w:t>
            </w:r>
            <w:r>
              <w:rPr>
                <w:rFonts w:hint="default" w:ascii="Times New Roman" w:hAnsi="Times New Roman" w:cs="Times New Roman"/>
                <w:bCs/>
                <w:color w:val="auto"/>
                <w:szCs w:val="21"/>
                <w:highlight w:val="none"/>
              </w:rPr>
              <w:t>。</w:t>
            </w:r>
          </w:p>
          <w:p w14:paraId="5E22D307">
            <w:pPr>
              <w:pStyle w:val="163"/>
              <w:keepNext w:val="0"/>
              <w:keepLines w:val="0"/>
              <w:pageBreakBefore w:val="0"/>
              <w:widowControl w:val="0"/>
              <w:suppressLineNumbers w:val="0"/>
              <w:kinsoku/>
              <w:wordWrap/>
              <w:overflowPunct/>
              <w:topLinePunct w:val="0"/>
              <w:autoSpaceDE/>
              <w:autoSpaceDN/>
              <w:bidi w:val="0"/>
              <w:snapToGrid w:val="0"/>
              <w:spacing w:before="0" w:beforeAutospacing="0" w:after="0" w:afterAutospacing="0" w:line="360" w:lineRule="auto"/>
              <w:ind w:left="0" w:right="0" w:firstLine="480"/>
              <w:textAlignment w:val="auto"/>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本项目噪声污染源主要为输送机、粉碎机、风机等设备产生的噪声，</w:t>
            </w:r>
            <w:r>
              <w:rPr>
                <w:rFonts w:hint="eastAsia" w:cs="Times New Roman"/>
                <w:color w:val="auto"/>
                <w:kern w:val="2"/>
                <w:sz w:val="21"/>
                <w:szCs w:val="24"/>
                <w:highlight w:val="none"/>
                <w:lang w:val="en-US" w:eastAsia="zh-CN" w:bidi="ar-SA"/>
              </w:rPr>
              <w:t>因无本行业污染源源强核算技术指南规范，本次噪声源强参考《污染源源强核算技术指南 锅炉》（HJ991-2018）附录D，设备</w:t>
            </w:r>
            <w:r>
              <w:rPr>
                <w:rFonts w:hint="eastAsia" w:ascii="Times New Roman" w:hAnsi="Times New Roman" w:eastAsia="宋体" w:cs="Times New Roman"/>
                <w:color w:val="auto"/>
                <w:kern w:val="2"/>
                <w:sz w:val="21"/>
                <w:szCs w:val="24"/>
                <w:highlight w:val="none"/>
                <w:lang w:val="en-US" w:eastAsia="zh-CN" w:bidi="ar-SA"/>
              </w:rPr>
              <w:t>声压级为</w:t>
            </w:r>
            <w:r>
              <w:rPr>
                <w:rFonts w:hint="eastAsia" w:cs="Times New Roman"/>
                <w:color w:val="auto"/>
                <w:kern w:val="2"/>
                <w:sz w:val="21"/>
                <w:szCs w:val="24"/>
                <w:highlight w:val="none"/>
                <w:lang w:val="en-US" w:eastAsia="zh-CN" w:bidi="ar-SA"/>
              </w:rPr>
              <w:t>60</w:t>
            </w:r>
            <w:r>
              <w:rPr>
                <w:rFonts w:hint="eastAsia" w:ascii="Times New Roman" w:hAnsi="Times New Roman" w:eastAsia="宋体" w:cs="Times New Roman"/>
                <w:color w:val="auto"/>
                <w:kern w:val="2"/>
                <w:sz w:val="21"/>
                <w:szCs w:val="24"/>
                <w:highlight w:val="none"/>
                <w:lang w:val="en-US" w:eastAsia="zh-CN" w:bidi="ar-SA"/>
              </w:rPr>
              <w:t>-85dB(A)，本次针对高噪声设备设置基础减震降噪措施，主要为生产设备（筛分机、粉碎机、造粒机、风机）降噪效果取8dB（A），项目噪声污染源源强核算结果及相关参数见表4-7及表4-8。</w:t>
            </w:r>
          </w:p>
          <w:p w14:paraId="71A3A32F">
            <w:pPr>
              <w:keepNext w:val="0"/>
              <w:keepLines w:val="0"/>
              <w:suppressLineNumbers w:val="0"/>
              <w:adjustRightInd w:val="0"/>
              <w:snapToGrid w:val="0"/>
              <w:spacing w:before="0" w:beforeAutospacing="0" w:after="0" w:afterAutospacing="0"/>
              <w:ind w:left="0" w:right="0"/>
              <w:jc w:val="center"/>
              <w:rPr>
                <w:rFonts w:hint="default"/>
                <w:b/>
                <w:color w:val="auto"/>
                <w:szCs w:val="21"/>
                <w:highlight w:val="none"/>
              </w:rPr>
            </w:pPr>
            <w:r>
              <w:rPr>
                <w:rFonts w:hint="default" w:ascii="Times New Roman" w:hAnsi="Times New Roman" w:eastAsia="宋体" w:cs="Times New Roman"/>
                <w:b/>
                <w:color w:val="auto"/>
                <w:spacing w:val="0"/>
                <w:kern w:val="2"/>
                <w:sz w:val="21"/>
                <w:szCs w:val="21"/>
                <w:highlight w:val="none"/>
                <w:lang w:val="en-US" w:eastAsia="zh-CN" w:bidi="ar-SA"/>
              </w:rPr>
              <w:t>表4-</w:t>
            </w:r>
            <w:r>
              <w:rPr>
                <w:rFonts w:hint="eastAsia" w:cs="Times New Roman"/>
                <w:b/>
                <w:color w:val="auto"/>
                <w:spacing w:val="0"/>
                <w:kern w:val="2"/>
                <w:sz w:val="21"/>
                <w:szCs w:val="21"/>
                <w:highlight w:val="none"/>
                <w:lang w:val="en-US" w:eastAsia="zh-CN" w:bidi="ar-SA"/>
              </w:rPr>
              <w:t xml:space="preserve">7 </w:t>
            </w:r>
            <w:r>
              <w:rPr>
                <w:rFonts w:hint="default"/>
                <w:b/>
                <w:color w:val="auto"/>
                <w:szCs w:val="21"/>
                <w:highlight w:val="none"/>
              </w:rPr>
              <w:t>污染源源强核算结果及相关参数一览表</w:t>
            </w:r>
          </w:p>
          <w:tbl>
            <w:tblPr>
              <w:tblStyle w:val="34"/>
              <w:tblW w:w="8634"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12"/>
              <w:gridCol w:w="435"/>
              <w:gridCol w:w="945"/>
              <w:gridCol w:w="739"/>
              <w:gridCol w:w="604"/>
              <w:gridCol w:w="513"/>
              <w:gridCol w:w="537"/>
              <w:gridCol w:w="503"/>
              <w:gridCol w:w="670"/>
              <w:gridCol w:w="736"/>
              <w:gridCol w:w="523"/>
              <w:gridCol w:w="692"/>
              <w:gridCol w:w="634"/>
              <w:gridCol w:w="691"/>
            </w:tblGrid>
            <w:tr w14:paraId="41CFDF9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3" w:hRule="atLeast"/>
                <w:jc w:val="center"/>
              </w:trPr>
              <w:tc>
                <w:tcPr>
                  <w:tcW w:w="412" w:type="dxa"/>
                  <w:vMerge w:val="restart"/>
                  <w:tcBorders>
                    <w:tl2br w:val="nil"/>
                    <w:tr2bl w:val="nil"/>
                  </w:tcBorders>
                  <w:noWrap w:val="0"/>
                  <w:vAlign w:val="center"/>
                </w:tcPr>
                <w:p w14:paraId="480ECF5C">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rPr>
                      <w:rFonts w:hint="eastAsia"/>
                      <w:color w:val="auto"/>
                      <w:sz w:val="18"/>
                      <w:szCs w:val="18"/>
                      <w:highlight w:val="none"/>
                    </w:rPr>
                  </w:pPr>
                  <w:r>
                    <w:rPr>
                      <w:rFonts w:hint="eastAsia"/>
                      <w:color w:val="auto"/>
                      <w:kern w:val="0"/>
                      <w:sz w:val="18"/>
                      <w:szCs w:val="18"/>
                      <w:highlight w:val="none"/>
                    </w:rPr>
                    <w:t>序号</w:t>
                  </w:r>
                </w:p>
              </w:tc>
              <w:tc>
                <w:tcPr>
                  <w:tcW w:w="435" w:type="dxa"/>
                  <w:vMerge w:val="restart"/>
                  <w:tcBorders>
                    <w:tl2br w:val="nil"/>
                    <w:tr2bl w:val="nil"/>
                  </w:tcBorders>
                  <w:noWrap w:val="0"/>
                  <w:vAlign w:val="center"/>
                </w:tcPr>
                <w:p w14:paraId="2D6B6AA7">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rPr>
                      <w:rFonts w:hint="eastAsia"/>
                      <w:color w:val="auto"/>
                      <w:sz w:val="18"/>
                      <w:szCs w:val="18"/>
                      <w:highlight w:val="none"/>
                    </w:rPr>
                  </w:pPr>
                  <w:r>
                    <w:rPr>
                      <w:rFonts w:hint="default" w:ascii="Times New Roman" w:hAnsi="Times New Roman" w:eastAsia="宋体" w:cs="Times New Roman"/>
                      <w:color w:val="auto"/>
                      <w:spacing w:val="0"/>
                      <w:sz w:val="18"/>
                      <w:szCs w:val="18"/>
                      <w:highlight w:val="none"/>
                    </w:rPr>
                    <w:t>工序/生产线</w:t>
                  </w:r>
                </w:p>
              </w:tc>
              <w:tc>
                <w:tcPr>
                  <w:tcW w:w="945" w:type="dxa"/>
                  <w:vMerge w:val="restart"/>
                  <w:tcBorders>
                    <w:tl2br w:val="nil"/>
                    <w:tr2bl w:val="nil"/>
                  </w:tcBorders>
                  <w:noWrap w:val="0"/>
                  <w:vAlign w:val="center"/>
                </w:tcPr>
                <w:p w14:paraId="6399312B">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rPr>
                      <w:rFonts w:hint="eastAsia"/>
                      <w:color w:val="auto"/>
                      <w:sz w:val="18"/>
                      <w:szCs w:val="18"/>
                      <w:highlight w:val="none"/>
                    </w:rPr>
                  </w:pPr>
                  <w:r>
                    <w:rPr>
                      <w:rFonts w:hint="eastAsia"/>
                      <w:color w:val="auto"/>
                      <w:sz w:val="18"/>
                      <w:szCs w:val="18"/>
                      <w:highlight w:val="none"/>
                    </w:rPr>
                    <w:t>声源名称</w:t>
                  </w:r>
                </w:p>
              </w:tc>
              <w:tc>
                <w:tcPr>
                  <w:tcW w:w="739" w:type="dxa"/>
                  <w:tcBorders>
                    <w:tl2br w:val="nil"/>
                    <w:tr2bl w:val="nil"/>
                  </w:tcBorders>
                  <w:noWrap w:val="0"/>
                  <w:vAlign w:val="center"/>
                </w:tcPr>
                <w:p w14:paraId="7DEA2520">
                  <w:pPr>
                    <w:keepNext w:val="0"/>
                    <w:keepLines w:val="0"/>
                    <w:pageBreakBefore w:val="0"/>
                    <w:suppressLineNumbers w:val="0"/>
                    <w:kinsoku/>
                    <w:wordWrap/>
                    <w:overflowPunct/>
                    <w:topLinePunct w:val="0"/>
                    <w:autoSpaceDE/>
                    <w:autoSpaceDN/>
                    <w:bidi w:val="0"/>
                    <w:spacing w:before="0" w:beforeAutospacing="0" w:after="0" w:afterAutospacing="0"/>
                    <w:ind w:left="0" w:right="0" w:firstLine="0" w:firstLineChars="0"/>
                    <w:jc w:val="center"/>
                    <w:rPr>
                      <w:rFonts w:hint="eastAsia"/>
                      <w:color w:val="auto"/>
                      <w:kern w:val="0"/>
                      <w:sz w:val="18"/>
                      <w:szCs w:val="18"/>
                      <w:highlight w:val="none"/>
                    </w:rPr>
                  </w:pPr>
                  <w:r>
                    <w:rPr>
                      <w:rFonts w:hint="eastAsia"/>
                      <w:color w:val="auto"/>
                      <w:kern w:val="0"/>
                      <w:sz w:val="18"/>
                      <w:szCs w:val="18"/>
                      <w:highlight w:val="none"/>
                    </w:rPr>
                    <w:t>声源</w:t>
                  </w:r>
                </w:p>
                <w:p w14:paraId="223ABBDA">
                  <w:pPr>
                    <w:keepNext w:val="0"/>
                    <w:keepLines w:val="0"/>
                    <w:pageBreakBefore w:val="0"/>
                    <w:suppressLineNumbers w:val="0"/>
                    <w:kinsoku/>
                    <w:wordWrap/>
                    <w:overflowPunct/>
                    <w:topLinePunct w:val="0"/>
                    <w:autoSpaceDE/>
                    <w:autoSpaceDN/>
                    <w:bidi w:val="0"/>
                    <w:spacing w:before="0" w:beforeAutospacing="0" w:after="0" w:afterAutospacing="0"/>
                    <w:ind w:left="0" w:right="0" w:firstLine="0" w:firstLineChars="0"/>
                    <w:jc w:val="center"/>
                    <w:rPr>
                      <w:rFonts w:hint="eastAsia" w:ascii="Times New Roman" w:hAnsi="Times New Roman" w:eastAsia="宋体" w:cs="Times New Roman"/>
                      <w:color w:val="auto"/>
                      <w:kern w:val="0"/>
                      <w:sz w:val="18"/>
                      <w:szCs w:val="18"/>
                      <w:highlight w:val="none"/>
                      <w:lang w:val="en-US" w:eastAsia="zh-CN" w:bidi="ar-SA"/>
                    </w:rPr>
                  </w:pPr>
                  <w:r>
                    <w:rPr>
                      <w:rFonts w:hint="default"/>
                      <w:color w:val="auto"/>
                      <w:kern w:val="0"/>
                      <w:sz w:val="18"/>
                      <w:szCs w:val="18"/>
                      <w:highlight w:val="none"/>
                    </w:rPr>
                    <w:t>源强</w:t>
                  </w:r>
                </w:p>
              </w:tc>
              <w:tc>
                <w:tcPr>
                  <w:tcW w:w="604" w:type="dxa"/>
                  <w:vMerge w:val="restart"/>
                  <w:tcBorders>
                    <w:tl2br w:val="nil"/>
                    <w:tr2bl w:val="nil"/>
                  </w:tcBorders>
                  <w:noWrap w:val="0"/>
                  <w:vAlign w:val="center"/>
                </w:tcPr>
                <w:p w14:paraId="21F66C91">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rPr>
                      <w:rFonts w:hint="eastAsia"/>
                      <w:color w:val="auto"/>
                      <w:kern w:val="0"/>
                      <w:sz w:val="18"/>
                      <w:szCs w:val="18"/>
                      <w:highlight w:val="none"/>
                    </w:rPr>
                  </w:pPr>
                  <w:r>
                    <w:rPr>
                      <w:rFonts w:hint="eastAsia"/>
                      <w:color w:val="auto"/>
                      <w:kern w:val="0"/>
                      <w:sz w:val="18"/>
                      <w:szCs w:val="18"/>
                      <w:highlight w:val="none"/>
                    </w:rPr>
                    <w:t>声源控制</w:t>
                  </w:r>
                  <w:r>
                    <w:rPr>
                      <w:rFonts w:hint="default"/>
                      <w:color w:val="auto"/>
                      <w:kern w:val="0"/>
                      <w:sz w:val="18"/>
                      <w:szCs w:val="18"/>
                      <w:highlight w:val="none"/>
                    </w:rPr>
                    <w:t>措施</w:t>
                  </w:r>
                </w:p>
              </w:tc>
              <w:tc>
                <w:tcPr>
                  <w:tcW w:w="1553" w:type="dxa"/>
                  <w:gridSpan w:val="3"/>
                  <w:tcBorders>
                    <w:tl2br w:val="nil"/>
                    <w:tr2bl w:val="nil"/>
                  </w:tcBorders>
                  <w:noWrap w:val="0"/>
                  <w:vAlign w:val="center"/>
                </w:tcPr>
                <w:p w14:paraId="06CF4F8D">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rPr>
                      <w:rFonts w:hint="eastAsia"/>
                      <w:color w:val="auto"/>
                      <w:sz w:val="18"/>
                      <w:szCs w:val="18"/>
                      <w:highlight w:val="none"/>
                    </w:rPr>
                  </w:pPr>
                  <w:r>
                    <w:rPr>
                      <w:rFonts w:hint="eastAsia"/>
                      <w:color w:val="auto"/>
                      <w:sz w:val="18"/>
                      <w:szCs w:val="18"/>
                      <w:highlight w:val="none"/>
                    </w:rPr>
                    <w:t>空间相对位置/m</w:t>
                  </w:r>
                </w:p>
              </w:tc>
              <w:tc>
                <w:tcPr>
                  <w:tcW w:w="670" w:type="dxa"/>
                  <w:vMerge w:val="restart"/>
                  <w:tcBorders>
                    <w:tl2br w:val="nil"/>
                    <w:tr2bl w:val="nil"/>
                  </w:tcBorders>
                  <w:noWrap w:val="0"/>
                  <w:vAlign w:val="center"/>
                </w:tcPr>
                <w:p w14:paraId="6D17CFDD">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rPr>
                      <w:rFonts w:hint="default" w:eastAsia="宋体"/>
                      <w:color w:val="auto"/>
                      <w:sz w:val="18"/>
                      <w:szCs w:val="18"/>
                      <w:highlight w:val="none"/>
                      <w:lang w:val="en-US" w:eastAsia="zh-CN"/>
                    </w:rPr>
                  </w:pPr>
                  <w:r>
                    <w:rPr>
                      <w:rFonts w:hint="eastAsia"/>
                      <w:color w:val="auto"/>
                      <w:kern w:val="0"/>
                      <w:sz w:val="18"/>
                      <w:szCs w:val="18"/>
                      <w:highlight w:val="none"/>
                      <w:lang w:eastAsia="zh-CN"/>
                    </w:rPr>
                    <w:t>距室内边界距离</w:t>
                  </w:r>
                  <w:r>
                    <w:rPr>
                      <w:rFonts w:hint="eastAsia"/>
                      <w:color w:val="auto"/>
                      <w:kern w:val="0"/>
                      <w:sz w:val="18"/>
                      <w:szCs w:val="18"/>
                      <w:highlight w:val="none"/>
                      <w:lang w:val="en-US" w:eastAsia="zh-CN"/>
                    </w:rPr>
                    <w:t>/m</w:t>
                  </w:r>
                </w:p>
              </w:tc>
              <w:tc>
                <w:tcPr>
                  <w:tcW w:w="736" w:type="dxa"/>
                  <w:vMerge w:val="restart"/>
                  <w:tcBorders>
                    <w:tl2br w:val="nil"/>
                    <w:tr2bl w:val="nil"/>
                  </w:tcBorders>
                  <w:noWrap w:val="0"/>
                  <w:vAlign w:val="center"/>
                </w:tcPr>
                <w:p w14:paraId="03DF6555">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rPr>
                      <w:rFonts w:hint="eastAsia"/>
                      <w:color w:val="auto"/>
                      <w:kern w:val="0"/>
                      <w:sz w:val="18"/>
                      <w:szCs w:val="18"/>
                      <w:highlight w:val="none"/>
                      <w:lang w:eastAsia="zh-CN"/>
                    </w:rPr>
                  </w:pPr>
                  <w:r>
                    <w:rPr>
                      <w:rFonts w:hint="eastAsia"/>
                      <w:color w:val="auto"/>
                      <w:kern w:val="0"/>
                      <w:sz w:val="18"/>
                      <w:szCs w:val="18"/>
                      <w:highlight w:val="none"/>
                      <w:lang w:eastAsia="zh-CN"/>
                    </w:rPr>
                    <w:t>室内边界声级</w:t>
                  </w:r>
                  <w:r>
                    <w:rPr>
                      <w:rFonts w:hint="default"/>
                      <w:color w:val="auto"/>
                      <w:sz w:val="18"/>
                      <w:szCs w:val="18"/>
                      <w:highlight w:val="none"/>
                    </w:rPr>
                    <w:t>/dB(</w:t>
                  </w:r>
                  <w:r>
                    <w:rPr>
                      <w:rFonts w:hint="eastAsia"/>
                      <w:color w:val="auto"/>
                      <w:sz w:val="18"/>
                      <w:szCs w:val="18"/>
                      <w:highlight w:val="none"/>
                      <w:lang w:val="en-US" w:eastAsia="zh-CN"/>
                    </w:rPr>
                    <w:t>A</w:t>
                  </w:r>
                  <w:r>
                    <w:rPr>
                      <w:rFonts w:hint="default"/>
                      <w:color w:val="auto"/>
                      <w:sz w:val="18"/>
                      <w:szCs w:val="18"/>
                      <w:highlight w:val="none"/>
                    </w:rPr>
                    <w:t>)</w:t>
                  </w:r>
                </w:p>
              </w:tc>
              <w:tc>
                <w:tcPr>
                  <w:tcW w:w="523" w:type="dxa"/>
                  <w:vMerge w:val="restart"/>
                  <w:tcBorders>
                    <w:tl2br w:val="nil"/>
                    <w:tr2bl w:val="nil"/>
                  </w:tcBorders>
                  <w:noWrap w:val="0"/>
                  <w:vAlign w:val="center"/>
                </w:tcPr>
                <w:p w14:paraId="0F415D98">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rPr>
                      <w:rFonts w:hint="eastAsia"/>
                      <w:color w:val="auto"/>
                      <w:kern w:val="0"/>
                      <w:sz w:val="18"/>
                      <w:szCs w:val="18"/>
                      <w:highlight w:val="none"/>
                    </w:rPr>
                  </w:pPr>
                  <w:r>
                    <w:rPr>
                      <w:rFonts w:hint="eastAsia"/>
                      <w:color w:val="auto"/>
                      <w:kern w:val="0"/>
                      <w:sz w:val="18"/>
                      <w:szCs w:val="18"/>
                      <w:highlight w:val="none"/>
                    </w:rPr>
                    <w:t>运行时段</w:t>
                  </w:r>
                  <w:r>
                    <w:rPr>
                      <w:rFonts w:hint="eastAsia"/>
                      <w:color w:val="auto"/>
                      <w:kern w:val="0"/>
                      <w:sz w:val="18"/>
                      <w:szCs w:val="18"/>
                      <w:highlight w:val="none"/>
                      <w:lang w:val="en-US" w:eastAsia="zh-CN"/>
                    </w:rPr>
                    <w:t>/</w:t>
                  </w:r>
                  <w:r>
                    <w:rPr>
                      <w:rFonts w:hint="eastAsia"/>
                      <w:color w:val="auto"/>
                      <w:sz w:val="18"/>
                      <w:szCs w:val="18"/>
                      <w:highlight w:val="none"/>
                      <w:lang w:val="en-US" w:eastAsia="zh-CN"/>
                    </w:rPr>
                    <w:t>h</w:t>
                  </w:r>
                </w:p>
              </w:tc>
              <w:tc>
                <w:tcPr>
                  <w:tcW w:w="692" w:type="dxa"/>
                  <w:vMerge w:val="restart"/>
                  <w:tcBorders>
                    <w:tl2br w:val="nil"/>
                    <w:tr2bl w:val="nil"/>
                  </w:tcBorders>
                  <w:noWrap w:val="0"/>
                  <w:vAlign w:val="center"/>
                </w:tcPr>
                <w:p w14:paraId="158C329B">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rPr>
                      <w:rFonts w:hint="default" w:eastAsia="宋体"/>
                      <w:color w:val="auto"/>
                      <w:kern w:val="0"/>
                      <w:sz w:val="18"/>
                      <w:szCs w:val="18"/>
                      <w:highlight w:val="none"/>
                      <w:lang w:val="en-US" w:eastAsia="zh-CN"/>
                    </w:rPr>
                  </w:pPr>
                  <w:r>
                    <w:rPr>
                      <w:rFonts w:hint="eastAsia"/>
                      <w:color w:val="auto"/>
                      <w:kern w:val="0"/>
                      <w:sz w:val="18"/>
                      <w:szCs w:val="18"/>
                      <w:highlight w:val="none"/>
                      <w:lang w:eastAsia="zh-CN"/>
                    </w:rPr>
                    <w:t>建筑物插入损失</w:t>
                  </w:r>
                  <w:r>
                    <w:rPr>
                      <w:rFonts w:hint="eastAsia"/>
                      <w:color w:val="auto"/>
                      <w:kern w:val="0"/>
                      <w:sz w:val="18"/>
                      <w:szCs w:val="18"/>
                      <w:highlight w:val="none"/>
                      <w:lang w:val="en-US" w:eastAsia="zh-CN"/>
                    </w:rPr>
                    <w:t>/</w:t>
                  </w:r>
                  <w:r>
                    <w:rPr>
                      <w:rFonts w:hint="default"/>
                      <w:color w:val="auto"/>
                      <w:sz w:val="18"/>
                      <w:szCs w:val="18"/>
                      <w:highlight w:val="none"/>
                    </w:rPr>
                    <w:t>dB(</w:t>
                  </w:r>
                  <w:r>
                    <w:rPr>
                      <w:rFonts w:hint="eastAsia"/>
                      <w:color w:val="auto"/>
                      <w:sz w:val="18"/>
                      <w:szCs w:val="18"/>
                      <w:highlight w:val="none"/>
                      <w:lang w:val="en-US" w:eastAsia="zh-CN"/>
                    </w:rPr>
                    <w:t>A</w:t>
                  </w:r>
                  <w:r>
                    <w:rPr>
                      <w:rFonts w:hint="default"/>
                      <w:color w:val="auto"/>
                      <w:sz w:val="18"/>
                      <w:szCs w:val="18"/>
                      <w:highlight w:val="none"/>
                    </w:rPr>
                    <w:t>)</w:t>
                  </w:r>
                </w:p>
              </w:tc>
              <w:tc>
                <w:tcPr>
                  <w:tcW w:w="1325" w:type="dxa"/>
                  <w:gridSpan w:val="2"/>
                  <w:tcBorders>
                    <w:tl2br w:val="nil"/>
                    <w:tr2bl w:val="nil"/>
                  </w:tcBorders>
                  <w:noWrap w:val="0"/>
                  <w:vAlign w:val="center"/>
                </w:tcPr>
                <w:p w14:paraId="14C5C2F1">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rPr>
                      <w:rFonts w:hint="eastAsia"/>
                      <w:color w:val="auto"/>
                      <w:kern w:val="0"/>
                      <w:sz w:val="18"/>
                      <w:szCs w:val="18"/>
                      <w:highlight w:val="none"/>
                      <w:lang w:eastAsia="zh-CN"/>
                    </w:rPr>
                  </w:pPr>
                  <w:r>
                    <w:rPr>
                      <w:rFonts w:hint="eastAsia"/>
                      <w:color w:val="auto"/>
                      <w:kern w:val="0"/>
                      <w:sz w:val="18"/>
                      <w:szCs w:val="18"/>
                      <w:highlight w:val="none"/>
                      <w:lang w:eastAsia="zh-CN"/>
                    </w:rPr>
                    <w:t>建筑物</w:t>
                  </w:r>
                </w:p>
                <w:p w14:paraId="7EA8394A">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rPr>
                      <w:rFonts w:hint="eastAsia" w:eastAsia="宋体"/>
                      <w:color w:val="auto"/>
                      <w:kern w:val="0"/>
                      <w:sz w:val="18"/>
                      <w:szCs w:val="18"/>
                      <w:highlight w:val="none"/>
                      <w:lang w:eastAsia="zh-CN"/>
                    </w:rPr>
                  </w:pPr>
                  <w:r>
                    <w:rPr>
                      <w:rFonts w:hint="eastAsia"/>
                      <w:color w:val="auto"/>
                      <w:kern w:val="0"/>
                      <w:sz w:val="18"/>
                      <w:szCs w:val="18"/>
                      <w:highlight w:val="none"/>
                      <w:lang w:eastAsia="zh-CN"/>
                    </w:rPr>
                    <w:t>外噪声</w:t>
                  </w:r>
                </w:p>
              </w:tc>
            </w:tr>
            <w:tr w14:paraId="5A96967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9" w:hRule="atLeast"/>
                <w:jc w:val="center"/>
              </w:trPr>
              <w:tc>
                <w:tcPr>
                  <w:tcW w:w="412" w:type="dxa"/>
                  <w:vMerge w:val="continue"/>
                  <w:tcBorders>
                    <w:tl2br w:val="nil"/>
                    <w:tr2bl w:val="nil"/>
                  </w:tcBorders>
                  <w:noWrap w:val="0"/>
                  <w:vAlign w:val="center"/>
                </w:tcPr>
                <w:p w14:paraId="7A7D27BF">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firstLine="0"/>
                    <w:jc w:val="center"/>
                    <w:rPr>
                      <w:rFonts w:hint="default"/>
                      <w:color w:val="auto"/>
                      <w:sz w:val="18"/>
                      <w:szCs w:val="18"/>
                      <w:highlight w:val="none"/>
                    </w:rPr>
                  </w:pPr>
                </w:p>
              </w:tc>
              <w:tc>
                <w:tcPr>
                  <w:tcW w:w="435" w:type="dxa"/>
                  <w:vMerge w:val="continue"/>
                  <w:tcBorders>
                    <w:tl2br w:val="nil"/>
                    <w:tr2bl w:val="nil"/>
                  </w:tcBorders>
                  <w:noWrap w:val="0"/>
                  <w:vAlign w:val="center"/>
                </w:tcPr>
                <w:p w14:paraId="60446F3C">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firstLine="0"/>
                    <w:jc w:val="center"/>
                    <w:rPr>
                      <w:rFonts w:hint="default"/>
                      <w:color w:val="auto"/>
                      <w:sz w:val="18"/>
                      <w:szCs w:val="18"/>
                      <w:highlight w:val="none"/>
                    </w:rPr>
                  </w:pPr>
                </w:p>
              </w:tc>
              <w:tc>
                <w:tcPr>
                  <w:tcW w:w="945" w:type="dxa"/>
                  <w:vMerge w:val="continue"/>
                  <w:tcBorders>
                    <w:tl2br w:val="nil"/>
                    <w:tr2bl w:val="nil"/>
                  </w:tcBorders>
                  <w:noWrap w:val="0"/>
                  <w:vAlign w:val="center"/>
                </w:tcPr>
                <w:p w14:paraId="40FA5CB6">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firstLine="0"/>
                    <w:jc w:val="center"/>
                    <w:rPr>
                      <w:rFonts w:hint="default"/>
                      <w:color w:val="auto"/>
                      <w:sz w:val="18"/>
                      <w:szCs w:val="18"/>
                      <w:highlight w:val="none"/>
                    </w:rPr>
                  </w:pPr>
                </w:p>
              </w:tc>
              <w:tc>
                <w:tcPr>
                  <w:tcW w:w="739" w:type="dxa"/>
                  <w:tcBorders>
                    <w:tl2br w:val="nil"/>
                    <w:tr2bl w:val="nil"/>
                  </w:tcBorders>
                  <w:noWrap w:val="0"/>
                  <w:vAlign w:val="center"/>
                </w:tcPr>
                <w:p w14:paraId="280A4F29">
                  <w:pPr>
                    <w:keepNext w:val="0"/>
                    <w:keepLines w:val="0"/>
                    <w:widowControl/>
                    <w:suppressLineNumbers w:val="0"/>
                    <w:spacing w:before="0" w:beforeAutospacing="0" w:after="0" w:afterAutospacing="0"/>
                    <w:ind w:left="0" w:right="0"/>
                    <w:jc w:val="left"/>
                    <w:rPr>
                      <w:rFonts w:hint="default"/>
                      <w:color w:val="auto"/>
                    </w:rPr>
                  </w:pPr>
                  <w:r>
                    <w:rPr>
                      <w:rFonts w:hint="eastAsia" w:ascii="宋体" w:hAnsi="宋体" w:eastAsia="宋体" w:cs="宋体"/>
                      <w:color w:val="auto"/>
                      <w:kern w:val="0"/>
                      <w:sz w:val="18"/>
                      <w:szCs w:val="18"/>
                      <w:lang w:val="en-US" w:eastAsia="zh-CN" w:bidi="ar"/>
                    </w:rPr>
                    <w:t>声功率级</w:t>
                  </w:r>
                </w:p>
                <w:p w14:paraId="28EB5663">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rPr>
                      <w:rFonts w:hint="default" w:ascii="Times New Roman" w:hAnsi="Times New Roman" w:eastAsia="宋体" w:cs="Times New Roman"/>
                      <w:color w:val="auto"/>
                      <w:kern w:val="2"/>
                      <w:sz w:val="18"/>
                      <w:szCs w:val="18"/>
                      <w:highlight w:val="none"/>
                      <w:lang w:val="en-US" w:eastAsia="zh-CN" w:bidi="ar-SA"/>
                    </w:rPr>
                  </w:pPr>
                  <w:r>
                    <w:rPr>
                      <w:rFonts w:hint="default"/>
                      <w:color w:val="auto"/>
                      <w:sz w:val="18"/>
                      <w:szCs w:val="18"/>
                      <w:highlight w:val="none"/>
                    </w:rPr>
                    <w:t>/dB(</w:t>
                  </w:r>
                  <w:r>
                    <w:rPr>
                      <w:rFonts w:hint="eastAsia"/>
                      <w:color w:val="auto"/>
                      <w:sz w:val="18"/>
                      <w:szCs w:val="18"/>
                      <w:highlight w:val="none"/>
                      <w:lang w:val="en-US" w:eastAsia="zh-CN"/>
                    </w:rPr>
                    <w:t>A</w:t>
                  </w:r>
                  <w:r>
                    <w:rPr>
                      <w:rFonts w:hint="default"/>
                      <w:color w:val="auto"/>
                      <w:sz w:val="18"/>
                      <w:szCs w:val="18"/>
                      <w:highlight w:val="none"/>
                    </w:rPr>
                    <w:t>)</w:t>
                  </w:r>
                </w:p>
              </w:tc>
              <w:tc>
                <w:tcPr>
                  <w:tcW w:w="604" w:type="dxa"/>
                  <w:vMerge w:val="continue"/>
                  <w:tcBorders>
                    <w:tl2br w:val="nil"/>
                    <w:tr2bl w:val="nil"/>
                  </w:tcBorders>
                  <w:noWrap w:val="0"/>
                  <w:vAlign w:val="center"/>
                </w:tcPr>
                <w:p w14:paraId="4066E4D4">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rPr>
                      <w:rFonts w:hint="eastAsia"/>
                      <w:color w:val="auto"/>
                      <w:sz w:val="18"/>
                      <w:szCs w:val="18"/>
                      <w:highlight w:val="none"/>
                    </w:rPr>
                  </w:pPr>
                </w:p>
              </w:tc>
              <w:tc>
                <w:tcPr>
                  <w:tcW w:w="513" w:type="dxa"/>
                  <w:tcBorders>
                    <w:tl2br w:val="nil"/>
                    <w:tr2bl w:val="nil"/>
                  </w:tcBorders>
                  <w:noWrap w:val="0"/>
                  <w:vAlign w:val="center"/>
                </w:tcPr>
                <w:p w14:paraId="16A643BF">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firstLine="0"/>
                    <w:jc w:val="center"/>
                    <w:rPr>
                      <w:rFonts w:hint="eastAsia"/>
                      <w:color w:val="auto"/>
                      <w:sz w:val="18"/>
                      <w:szCs w:val="18"/>
                      <w:highlight w:val="none"/>
                    </w:rPr>
                  </w:pPr>
                  <w:r>
                    <w:rPr>
                      <w:rFonts w:hint="eastAsia"/>
                      <w:color w:val="auto"/>
                      <w:sz w:val="18"/>
                      <w:szCs w:val="18"/>
                      <w:highlight w:val="none"/>
                    </w:rPr>
                    <w:t>X</w:t>
                  </w:r>
                </w:p>
              </w:tc>
              <w:tc>
                <w:tcPr>
                  <w:tcW w:w="537" w:type="dxa"/>
                  <w:tcBorders>
                    <w:tl2br w:val="nil"/>
                    <w:tr2bl w:val="nil"/>
                  </w:tcBorders>
                  <w:noWrap w:val="0"/>
                  <w:vAlign w:val="center"/>
                </w:tcPr>
                <w:p w14:paraId="47DF5525">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firstLine="0"/>
                    <w:jc w:val="center"/>
                    <w:rPr>
                      <w:rFonts w:hint="eastAsia"/>
                      <w:color w:val="auto"/>
                      <w:sz w:val="18"/>
                      <w:szCs w:val="18"/>
                      <w:highlight w:val="none"/>
                    </w:rPr>
                  </w:pPr>
                  <w:r>
                    <w:rPr>
                      <w:rFonts w:hint="eastAsia"/>
                      <w:color w:val="auto"/>
                      <w:sz w:val="18"/>
                      <w:szCs w:val="18"/>
                      <w:highlight w:val="none"/>
                    </w:rPr>
                    <w:t>Y</w:t>
                  </w:r>
                </w:p>
              </w:tc>
              <w:tc>
                <w:tcPr>
                  <w:tcW w:w="503" w:type="dxa"/>
                  <w:tcBorders>
                    <w:tl2br w:val="nil"/>
                    <w:tr2bl w:val="nil"/>
                  </w:tcBorders>
                  <w:noWrap w:val="0"/>
                  <w:vAlign w:val="center"/>
                </w:tcPr>
                <w:p w14:paraId="3FB05252">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firstLine="0"/>
                    <w:jc w:val="center"/>
                    <w:rPr>
                      <w:rFonts w:hint="eastAsia"/>
                      <w:color w:val="auto"/>
                      <w:sz w:val="18"/>
                      <w:szCs w:val="18"/>
                      <w:highlight w:val="none"/>
                    </w:rPr>
                  </w:pPr>
                  <w:r>
                    <w:rPr>
                      <w:rFonts w:hint="eastAsia"/>
                      <w:color w:val="auto"/>
                      <w:sz w:val="18"/>
                      <w:szCs w:val="18"/>
                      <w:highlight w:val="none"/>
                    </w:rPr>
                    <w:t>Z</w:t>
                  </w:r>
                </w:p>
              </w:tc>
              <w:tc>
                <w:tcPr>
                  <w:tcW w:w="670" w:type="dxa"/>
                  <w:vMerge w:val="continue"/>
                  <w:tcBorders>
                    <w:tl2br w:val="nil"/>
                    <w:tr2bl w:val="nil"/>
                  </w:tcBorders>
                  <w:noWrap w:val="0"/>
                  <w:vAlign w:val="center"/>
                </w:tcPr>
                <w:p w14:paraId="73FDD68C">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rPr>
                      <w:rFonts w:hint="default"/>
                      <w:color w:val="auto"/>
                      <w:sz w:val="18"/>
                      <w:szCs w:val="18"/>
                      <w:highlight w:val="none"/>
                    </w:rPr>
                  </w:pPr>
                </w:p>
              </w:tc>
              <w:tc>
                <w:tcPr>
                  <w:tcW w:w="736" w:type="dxa"/>
                  <w:vMerge w:val="continue"/>
                  <w:tcBorders>
                    <w:tl2br w:val="nil"/>
                    <w:tr2bl w:val="nil"/>
                  </w:tcBorders>
                  <w:noWrap w:val="0"/>
                  <w:vAlign w:val="center"/>
                </w:tcPr>
                <w:p w14:paraId="65249E9E">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rPr>
                      <w:rFonts w:hint="default"/>
                      <w:color w:val="auto"/>
                      <w:sz w:val="18"/>
                      <w:szCs w:val="18"/>
                      <w:highlight w:val="none"/>
                    </w:rPr>
                  </w:pPr>
                </w:p>
              </w:tc>
              <w:tc>
                <w:tcPr>
                  <w:tcW w:w="523" w:type="dxa"/>
                  <w:vMerge w:val="continue"/>
                  <w:tcBorders>
                    <w:tl2br w:val="nil"/>
                    <w:tr2bl w:val="nil"/>
                  </w:tcBorders>
                  <w:noWrap w:val="0"/>
                  <w:vAlign w:val="center"/>
                </w:tcPr>
                <w:p w14:paraId="0961B18E">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firstLine="0"/>
                    <w:jc w:val="center"/>
                    <w:rPr>
                      <w:rFonts w:hint="default"/>
                      <w:color w:val="auto"/>
                      <w:kern w:val="0"/>
                      <w:sz w:val="18"/>
                      <w:szCs w:val="18"/>
                      <w:highlight w:val="none"/>
                    </w:rPr>
                  </w:pPr>
                </w:p>
              </w:tc>
              <w:tc>
                <w:tcPr>
                  <w:tcW w:w="692" w:type="dxa"/>
                  <w:vMerge w:val="continue"/>
                  <w:tcBorders>
                    <w:tl2br w:val="nil"/>
                    <w:tr2bl w:val="nil"/>
                  </w:tcBorders>
                  <w:noWrap w:val="0"/>
                  <w:vAlign w:val="center"/>
                </w:tcPr>
                <w:p w14:paraId="0FA07007">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firstLine="0"/>
                    <w:jc w:val="center"/>
                    <w:rPr>
                      <w:rFonts w:hint="default"/>
                      <w:color w:val="auto"/>
                      <w:kern w:val="0"/>
                      <w:sz w:val="18"/>
                      <w:szCs w:val="18"/>
                      <w:highlight w:val="none"/>
                    </w:rPr>
                  </w:pPr>
                </w:p>
              </w:tc>
              <w:tc>
                <w:tcPr>
                  <w:tcW w:w="634" w:type="dxa"/>
                  <w:tcBorders>
                    <w:tl2br w:val="nil"/>
                    <w:tr2bl w:val="nil"/>
                  </w:tcBorders>
                  <w:noWrap w:val="0"/>
                  <w:vAlign w:val="center"/>
                </w:tcPr>
                <w:p w14:paraId="729CB79C">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firstLine="0"/>
                    <w:jc w:val="center"/>
                    <w:rPr>
                      <w:rFonts w:hint="eastAsia" w:eastAsia="宋体"/>
                      <w:color w:val="auto"/>
                      <w:kern w:val="0"/>
                      <w:sz w:val="18"/>
                      <w:szCs w:val="18"/>
                      <w:highlight w:val="none"/>
                      <w:lang w:eastAsia="zh-CN"/>
                    </w:rPr>
                  </w:pPr>
                  <w:r>
                    <w:rPr>
                      <w:rFonts w:hint="eastAsia"/>
                      <w:color w:val="auto"/>
                      <w:kern w:val="0"/>
                      <w:sz w:val="18"/>
                      <w:szCs w:val="18"/>
                      <w:highlight w:val="none"/>
                      <w:lang w:eastAsia="zh-CN"/>
                    </w:rPr>
                    <w:t>声压级</w:t>
                  </w:r>
                  <w:r>
                    <w:rPr>
                      <w:rFonts w:hint="eastAsia"/>
                      <w:color w:val="auto"/>
                      <w:kern w:val="0"/>
                      <w:sz w:val="18"/>
                      <w:szCs w:val="18"/>
                      <w:highlight w:val="none"/>
                      <w:lang w:val="en-US" w:eastAsia="zh-CN"/>
                    </w:rPr>
                    <w:t>/</w:t>
                  </w:r>
                  <w:r>
                    <w:rPr>
                      <w:rFonts w:hint="default"/>
                      <w:color w:val="auto"/>
                      <w:sz w:val="18"/>
                      <w:szCs w:val="18"/>
                      <w:highlight w:val="none"/>
                    </w:rPr>
                    <w:t>dB(</w:t>
                  </w:r>
                  <w:r>
                    <w:rPr>
                      <w:rFonts w:hint="eastAsia"/>
                      <w:color w:val="auto"/>
                      <w:sz w:val="18"/>
                      <w:szCs w:val="18"/>
                      <w:highlight w:val="none"/>
                      <w:lang w:val="en-US" w:eastAsia="zh-CN"/>
                    </w:rPr>
                    <w:t>A</w:t>
                  </w:r>
                  <w:r>
                    <w:rPr>
                      <w:rFonts w:hint="default"/>
                      <w:color w:val="auto"/>
                      <w:sz w:val="18"/>
                      <w:szCs w:val="18"/>
                      <w:highlight w:val="none"/>
                    </w:rPr>
                    <w:t>)</w:t>
                  </w:r>
                </w:p>
              </w:tc>
              <w:tc>
                <w:tcPr>
                  <w:tcW w:w="691" w:type="dxa"/>
                  <w:tcBorders>
                    <w:tl2br w:val="nil"/>
                    <w:tr2bl w:val="nil"/>
                  </w:tcBorders>
                  <w:noWrap w:val="0"/>
                  <w:vAlign w:val="center"/>
                </w:tcPr>
                <w:p w14:paraId="05BDCC2B">
                  <w:pPr>
                    <w:keepNext w:val="0"/>
                    <w:keepLines w:val="0"/>
                    <w:pageBreakBefore w:val="0"/>
                    <w:widowControl/>
                    <w:suppressLineNumbers w:val="0"/>
                    <w:kinsoku/>
                    <w:wordWrap/>
                    <w:overflowPunct/>
                    <w:topLinePunct w:val="0"/>
                    <w:autoSpaceDE/>
                    <w:autoSpaceDN/>
                    <w:bidi w:val="0"/>
                    <w:spacing w:before="0" w:beforeAutospacing="0" w:after="0" w:afterAutospacing="0"/>
                    <w:ind w:left="0" w:right="0" w:firstLine="0"/>
                    <w:jc w:val="center"/>
                    <w:rPr>
                      <w:rFonts w:hint="eastAsia" w:eastAsia="宋体"/>
                      <w:color w:val="auto"/>
                      <w:kern w:val="0"/>
                      <w:sz w:val="18"/>
                      <w:szCs w:val="18"/>
                      <w:highlight w:val="none"/>
                      <w:lang w:eastAsia="zh-CN"/>
                    </w:rPr>
                  </w:pPr>
                  <w:r>
                    <w:rPr>
                      <w:rFonts w:hint="eastAsia"/>
                      <w:color w:val="auto"/>
                      <w:kern w:val="0"/>
                      <w:sz w:val="18"/>
                      <w:szCs w:val="18"/>
                      <w:highlight w:val="none"/>
                      <w:lang w:eastAsia="zh-CN"/>
                    </w:rPr>
                    <w:t>建筑物外距离</w:t>
                  </w:r>
                  <w:r>
                    <w:rPr>
                      <w:rFonts w:hint="eastAsia"/>
                      <w:color w:val="auto"/>
                      <w:kern w:val="0"/>
                      <w:sz w:val="18"/>
                      <w:szCs w:val="18"/>
                      <w:highlight w:val="none"/>
                      <w:lang w:val="en-US" w:eastAsia="zh-CN"/>
                    </w:rPr>
                    <w:t>/m</w:t>
                  </w:r>
                </w:p>
              </w:tc>
            </w:tr>
            <w:tr w14:paraId="4CE7BD1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1CC95D0B">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1</w:t>
                  </w:r>
                </w:p>
              </w:tc>
              <w:tc>
                <w:tcPr>
                  <w:tcW w:w="435" w:type="dxa"/>
                  <w:vMerge w:val="restart"/>
                  <w:tcBorders>
                    <w:tl2br w:val="nil"/>
                    <w:tr2bl w:val="nil"/>
                  </w:tcBorders>
                  <w:noWrap w:val="0"/>
                  <w:vAlign w:val="center"/>
                </w:tcPr>
                <w:p w14:paraId="71674AD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bCs/>
                      <w:color w:val="auto"/>
                      <w:spacing w:val="0"/>
                      <w:position w:val="0"/>
                      <w:sz w:val="18"/>
                      <w:szCs w:val="18"/>
                      <w:highlight w:val="none"/>
                      <w:lang w:val="en-US"/>
                    </w:rPr>
                  </w:pPr>
                  <w:r>
                    <w:rPr>
                      <w:rFonts w:hint="eastAsia" w:cs="Times New Roman"/>
                      <w:color w:val="auto"/>
                      <w:spacing w:val="0"/>
                      <w:sz w:val="18"/>
                      <w:szCs w:val="18"/>
                      <w:highlight w:val="none"/>
                      <w:lang w:val="en-US" w:eastAsia="zh-CN"/>
                    </w:rPr>
                    <w:t>1号生产车间</w:t>
                  </w:r>
                </w:p>
              </w:tc>
              <w:tc>
                <w:tcPr>
                  <w:tcW w:w="945" w:type="dxa"/>
                  <w:tcBorders>
                    <w:tl2br w:val="nil"/>
                    <w:tr2bl w:val="nil"/>
                  </w:tcBorders>
                  <w:noWrap w:val="0"/>
                  <w:vAlign w:val="center"/>
                </w:tcPr>
                <w:p w14:paraId="3AC92BC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投料筛分</w:t>
                  </w:r>
                </w:p>
              </w:tc>
              <w:tc>
                <w:tcPr>
                  <w:tcW w:w="739" w:type="dxa"/>
                  <w:tcBorders>
                    <w:tl2br w:val="nil"/>
                    <w:tr2bl w:val="nil"/>
                  </w:tcBorders>
                  <w:noWrap w:val="0"/>
                  <w:vAlign w:val="center"/>
                </w:tcPr>
                <w:p w14:paraId="34CFF7A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70</w:t>
                  </w:r>
                </w:p>
              </w:tc>
              <w:tc>
                <w:tcPr>
                  <w:tcW w:w="604" w:type="dxa"/>
                  <w:vMerge w:val="restart"/>
                  <w:tcBorders>
                    <w:tl2br w:val="nil"/>
                    <w:tr2bl w:val="nil"/>
                  </w:tcBorders>
                  <w:noWrap w:val="0"/>
                  <w:vAlign w:val="center"/>
                </w:tcPr>
                <w:p w14:paraId="5BE591D0">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eastAsia="宋体"/>
                      <w:color w:val="auto"/>
                      <w:sz w:val="18"/>
                      <w:szCs w:val="18"/>
                      <w:highlight w:val="none"/>
                      <w:lang w:val="en-US" w:eastAsia="zh-CN"/>
                    </w:rPr>
                  </w:pPr>
                  <w:r>
                    <w:rPr>
                      <w:rFonts w:hint="eastAsia"/>
                      <w:color w:val="auto"/>
                      <w:sz w:val="18"/>
                      <w:szCs w:val="18"/>
                      <w:highlight w:val="none"/>
                      <w:lang w:val="en-US" w:eastAsia="zh-CN"/>
                    </w:rPr>
                    <w:t>低噪声设备、厂房隔声、基础减振</w:t>
                  </w:r>
                </w:p>
              </w:tc>
              <w:tc>
                <w:tcPr>
                  <w:tcW w:w="513" w:type="dxa"/>
                  <w:tcBorders>
                    <w:tl2br w:val="nil"/>
                    <w:tr2bl w:val="nil"/>
                  </w:tcBorders>
                  <w:noWrap w:val="0"/>
                  <w:vAlign w:val="center"/>
                </w:tcPr>
                <w:p w14:paraId="687B288B">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-24</w:t>
                  </w:r>
                </w:p>
              </w:tc>
              <w:tc>
                <w:tcPr>
                  <w:tcW w:w="537" w:type="dxa"/>
                  <w:tcBorders>
                    <w:tl2br w:val="nil"/>
                    <w:tr2bl w:val="nil"/>
                  </w:tcBorders>
                  <w:noWrap w:val="0"/>
                  <w:vAlign w:val="center"/>
                </w:tcPr>
                <w:p w14:paraId="36D917B5">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10</w:t>
                  </w:r>
                </w:p>
              </w:tc>
              <w:tc>
                <w:tcPr>
                  <w:tcW w:w="503" w:type="dxa"/>
                  <w:tcBorders>
                    <w:tl2br w:val="nil"/>
                    <w:tr2bl w:val="nil"/>
                  </w:tcBorders>
                  <w:noWrap w:val="0"/>
                  <w:vAlign w:val="center"/>
                </w:tcPr>
                <w:p w14:paraId="7A080AB0">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4</w:t>
                  </w:r>
                </w:p>
              </w:tc>
              <w:tc>
                <w:tcPr>
                  <w:tcW w:w="670" w:type="dxa"/>
                  <w:tcBorders>
                    <w:tl2br w:val="nil"/>
                    <w:tr2bl w:val="nil"/>
                  </w:tcBorders>
                  <w:noWrap w:val="0"/>
                  <w:vAlign w:val="center"/>
                </w:tcPr>
                <w:p w14:paraId="05F469BC">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4</w:t>
                  </w:r>
                </w:p>
              </w:tc>
              <w:tc>
                <w:tcPr>
                  <w:tcW w:w="736" w:type="dxa"/>
                  <w:tcBorders>
                    <w:tl2br w:val="nil"/>
                    <w:tr2bl w:val="nil"/>
                  </w:tcBorders>
                  <w:noWrap w:val="0"/>
                  <w:vAlign w:val="center"/>
                </w:tcPr>
                <w:p w14:paraId="59F23590">
                  <w:pPr>
                    <w:keepNext w:val="0"/>
                    <w:keepLines w:val="0"/>
                    <w:pageBreakBefore w:val="0"/>
                    <w:suppressLineNumbers w:val="0"/>
                    <w:kinsoku/>
                    <w:wordWrap/>
                    <w:overflowPunct/>
                    <w:topLinePunct w:val="0"/>
                    <w:autoSpaceDE/>
                    <w:autoSpaceDN/>
                    <w:bidi w:val="0"/>
                    <w:adjustRightInd w:val="0"/>
                    <w:spacing w:before="0" w:beforeAutospacing="0" w:after="0" w:afterAutospacing="0"/>
                    <w:ind w:left="0" w:right="0" w:firstLine="0"/>
                    <w:jc w:val="center"/>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48.31</w:t>
                  </w:r>
                </w:p>
              </w:tc>
              <w:tc>
                <w:tcPr>
                  <w:tcW w:w="523" w:type="dxa"/>
                  <w:vMerge w:val="restart"/>
                  <w:tcBorders>
                    <w:tl2br w:val="nil"/>
                    <w:tr2bl w:val="nil"/>
                  </w:tcBorders>
                  <w:noWrap w:val="0"/>
                  <w:vAlign w:val="center"/>
                </w:tcPr>
                <w:p w14:paraId="7D762114">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6000</w:t>
                  </w:r>
                </w:p>
              </w:tc>
              <w:tc>
                <w:tcPr>
                  <w:tcW w:w="692" w:type="dxa"/>
                  <w:tcBorders>
                    <w:tl2br w:val="nil"/>
                    <w:tr2bl w:val="nil"/>
                  </w:tcBorders>
                  <w:noWrap w:val="0"/>
                  <w:vAlign w:val="center"/>
                </w:tcPr>
                <w:p w14:paraId="3EBC7B8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23C2D79B">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27.31</w:t>
                  </w:r>
                </w:p>
              </w:tc>
              <w:tc>
                <w:tcPr>
                  <w:tcW w:w="691" w:type="dxa"/>
                  <w:tcBorders>
                    <w:tl2br w:val="nil"/>
                    <w:tr2bl w:val="nil"/>
                  </w:tcBorders>
                  <w:noWrap w:val="0"/>
                  <w:vAlign w:val="center"/>
                </w:tcPr>
                <w:p w14:paraId="759DE12F">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1ADD03E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0F67F8CF">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2</w:t>
                  </w:r>
                </w:p>
              </w:tc>
              <w:tc>
                <w:tcPr>
                  <w:tcW w:w="435" w:type="dxa"/>
                  <w:vMerge w:val="continue"/>
                  <w:tcBorders>
                    <w:tl2br w:val="nil"/>
                    <w:tr2bl w:val="nil"/>
                  </w:tcBorders>
                  <w:noWrap w:val="0"/>
                  <w:vAlign w:val="center"/>
                </w:tcPr>
                <w:p w14:paraId="4E100C7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ascii="Times New Roman" w:hAnsi="Times New Roman" w:eastAsia="宋体" w:cs="Times New Roman"/>
                      <w:color w:val="auto"/>
                      <w:spacing w:val="0"/>
                      <w:sz w:val="18"/>
                      <w:szCs w:val="18"/>
                      <w:highlight w:val="none"/>
                      <w:lang w:val="en-US" w:eastAsia="zh-CN"/>
                    </w:rPr>
                  </w:pPr>
                </w:p>
              </w:tc>
              <w:tc>
                <w:tcPr>
                  <w:tcW w:w="945" w:type="dxa"/>
                  <w:tcBorders>
                    <w:tl2br w:val="nil"/>
                    <w:tr2bl w:val="nil"/>
                  </w:tcBorders>
                  <w:noWrap w:val="0"/>
                  <w:vAlign w:val="center"/>
                </w:tcPr>
                <w:p w14:paraId="11A289B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olor w:val="auto"/>
                      <w:sz w:val="18"/>
                      <w:szCs w:val="18"/>
                      <w:highlight w:val="none"/>
                      <w:lang w:val="en-US" w:eastAsia="zh-CN"/>
                    </w:rPr>
                    <w:t>输送机</w:t>
                  </w:r>
                </w:p>
              </w:tc>
              <w:tc>
                <w:tcPr>
                  <w:tcW w:w="739" w:type="dxa"/>
                  <w:tcBorders>
                    <w:tl2br w:val="nil"/>
                    <w:tr2bl w:val="nil"/>
                  </w:tcBorders>
                  <w:noWrap w:val="0"/>
                  <w:vAlign w:val="center"/>
                </w:tcPr>
                <w:p w14:paraId="1957C7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60</w:t>
                  </w:r>
                </w:p>
              </w:tc>
              <w:tc>
                <w:tcPr>
                  <w:tcW w:w="604" w:type="dxa"/>
                  <w:vMerge w:val="continue"/>
                  <w:tcBorders>
                    <w:tl2br w:val="nil"/>
                    <w:tr2bl w:val="nil"/>
                  </w:tcBorders>
                  <w:noWrap w:val="0"/>
                  <w:vAlign w:val="center"/>
                </w:tcPr>
                <w:p w14:paraId="15735E89">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rPr>
                  </w:pPr>
                </w:p>
              </w:tc>
              <w:tc>
                <w:tcPr>
                  <w:tcW w:w="513" w:type="dxa"/>
                  <w:tcBorders>
                    <w:tl2br w:val="nil"/>
                    <w:tr2bl w:val="nil"/>
                  </w:tcBorders>
                  <w:noWrap w:val="0"/>
                  <w:vAlign w:val="center"/>
                </w:tcPr>
                <w:p w14:paraId="1A46DF24">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-23</w:t>
                  </w:r>
                </w:p>
              </w:tc>
              <w:tc>
                <w:tcPr>
                  <w:tcW w:w="537" w:type="dxa"/>
                  <w:tcBorders>
                    <w:tl2br w:val="nil"/>
                    <w:tr2bl w:val="nil"/>
                  </w:tcBorders>
                  <w:noWrap w:val="0"/>
                  <w:vAlign w:val="center"/>
                </w:tcPr>
                <w:p w14:paraId="35123532">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8</w:t>
                  </w:r>
                </w:p>
              </w:tc>
              <w:tc>
                <w:tcPr>
                  <w:tcW w:w="503" w:type="dxa"/>
                  <w:tcBorders>
                    <w:tl2br w:val="nil"/>
                    <w:tr2bl w:val="nil"/>
                  </w:tcBorders>
                  <w:noWrap w:val="0"/>
                  <w:vAlign w:val="center"/>
                </w:tcPr>
                <w:p w14:paraId="642C5F98">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w:t>
                  </w:r>
                </w:p>
              </w:tc>
              <w:tc>
                <w:tcPr>
                  <w:tcW w:w="670" w:type="dxa"/>
                  <w:tcBorders>
                    <w:tl2br w:val="nil"/>
                    <w:tr2bl w:val="nil"/>
                  </w:tcBorders>
                  <w:noWrap w:val="0"/>
                  <w:vAlign w:val="center"/>
                </w:tcPr>
                <w:p w14:paraId="17DF81C4">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5</w:t>
                  </w:r>
                </w:p>
              </w:tc>
              <w:tc>
                <w:tcPr>
                  <w:tcW w:w="736" w:type="dxa"/>
                  <w:tcBorders>
                    <w:tl2br w:val="nil"/>
                    <w:tr2bl w:val="nil"/>
                  </w:tcBorders>
                  <w:noWrap w:val="0"/>
                  <w:vAlign w:val="center"/>
                </w:tcPr>
                <w:p w14:paraId="1D8903F1">
                  <w:pPr>
                    <w:keepNext w:val="0"/>
                    <w:keepLines w:val="0"/>
                    <w:pageBreakBefore w:val="0"/>
                    <w:suppressLineNumbers w:val="0"/>
                    <w:kinsoku/>
                    <w:wordWrap/>
                    <w:overflowPunct/>
                    <w:topLinePunct w:val="0"/>
                    <w:autoSpaceDE/>
                    <w:autoSpaceDN/>
                    <w:bidi w:val="0"/>
                    <w:adjustRightInd w:val="0"/>
                    <w:spacing w:before="0" w:beforeAutospacing="0" w:after="0" w:afterAutospacing="0"/>
                    <w:ind w:left="0" w:right="0" w:firstLine="0"/>
                    <w:jc w:val="center"/>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46.12</w:t>
                  </w:r>
                </w:p>
              </w:tc>
              <w:tc>
                <w:tcPr>
                  <w:tcW w:w="523" w:type="dxa"/>
                  <w:vMerge w:val="continue"/>
                  <w:tcBorders>
                    <w:tl2br w:val="nil"/>
                    <w:tr2bl w:val="nil"/>
                  </w:tcBorders>
                  <w:noWrap w:val="0"/>
                  <w:vAlign w:val="center"/>
                </w:tcPr>
                <w:p w14:paraId="709BAA3E">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510B7416">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7C2639D1">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25.12</w:t>
                  </w:r>
                </w:p>
              </w:tc>
              <w:tc>
                <w:tcPr>
                  <w:tcW w:w="691" w:type="dxa"/>
                  <w:tcBorders>
                    <w:tl2br w:val="nil"/>
                    <w:tr2bl w:val="nil"/>
                  </w:tcBorders>
                  <w:noWrap w:val="0"/>
                  <w:vAlign w:val="center"/>
                </w:tcPr>
                <w:p w14:paraId="0946B9BE">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6273728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2ABC734B">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3</w:t>
                  </w:r>
                </w:p>
              </w:tc>
              <w:tc>
                <w:tcPr>
                  <w:tcW w:w="435" w:type="dxa"/>
                  <w:vMerge w:val="continue"/>
                  <w:tcBorders>
                    <w:tl2br w:val="nil"/>
                    <w:tr2bl w:val="nil"/>
                  </w:tcBorders>
                  <w:noWrap w:val="0"/>
                  <w:vAlign w:val="center"/>
                </w:tcPr>
                <w:p w14:paraId="01D9562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ascii="Times New Roman" w:hAnsi="Times New Roman" w:eastAsia="宋体" w:cs="Times New Roman"/>
                      <w:color w:val="auto"/>
                      <w:spacing w:val="0"/>
                      <w:sz w:val="18"/>
                      <w:szCs w:val="18"/>
                      <w:highlight w:val="none"/>
                      <w:lang w:val="en-US" w:eastAsia="zh-CN"/>
                    </w:rPr>
                  </w:pPr>
                </w:p>
              </w:tc>
              <w:tc>
                <w:tcPr>
                  <w:tcW w:w="945" w:type="dxa"/>
                  <w:tcBorders>
                    <w:tl2br w:val="nil"/>
                    <w:tr2bl w:val="nil"/>
                  </w:tcBorders>
                  <w:noWrap w:val="0"/>
                  <w:vAlign w:val="center"/>
                </w:tcPr>
                <w:p w14:paraId="330A4FAE">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cs="Times New Roman"/>
                      <w:color w:val="auto"/>
                      <w:spacing w:val="0"/>
                      <w:sz w:val="18"/>
                      <w:szCs w:val="18"/>
                      <w:highlight w:val="none"/>
                      <w:lang w:val="en-US" w:eastAsia="zh-CN"/>
                    </w:rPr>
                  </w:pPr>
                  <w:r>
                    <w:rPr>
                      <w:rFonts w:hint="eastAsia"/>
                      <w:color w:val="auto"/>
                      <w:sz w:val="18"/>
                      <w:szCs w:val="18"/>
                      <w:highlight w:val="none"/>
                      <w:lang w:val="en-US" w:eastAsia="zh-CN"/>
                    </w:rPr>
                    <w:t>粗破机</w:t>
                  </w:r>
                </w:p>
              </w:tc>
              <w:tc>
                <w:tcPr>
                  <w:tcW w:w="739" w:type="dxa"/>
                  <w:tcBorders>
                    <w:tl2br w:val="nil"/>
                    <w:tr2bl w:val="nil"/>
                  </w:tcBorders>
                  <w:noWrap w:val="0"/>
                  <w:vAlign w:val="center"/>
                </w:tcPr>
                <w:p w14:paraId="600D362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80</w:t>
                  </w:r>
                </w:p>
              </w:tc>
              <w:tc>
                <w:tcPr>
                  <w:tcW w:w="604" w:type="dxa"/>
                  <w:vMerge w:val="continue"/>
                  <w:tcBorders>
                    <w:tl2br w:val="nil"/>
                    <w:tr2bl w:val="nil"/>
                  </w:tcBorders>
                  <w:noWrap w:val="0"/>
                  <w:vAlign w:val="center"/>
                </w:tcPr>
                <w:p w14:paraId="3DA8AF82">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rPr>
                  </w:pPr>
                </w:p>
              </w:tc>
              <w:tc>
                <w:tcPr>
                  <w:tcW w:w="513" w:type="dxa"/>
                  <w:tcBorders>
                    <w:tl2br w:val="nil"/>
                    <w:tr2bl w:val="nil"/>
                  </w:tcBorders>
                  <w:noWrap w:val="0"/>
                  <w:vAlign w:val="center"/>
                </w:tcPr>
                <w:p w14:paraId="2AE610CC">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-23</w:t>
                  </w:r>
                </w:p>
              </w:tc>
              <w:tc>
                <w:tcPr>
                  <w:tcW w:w="537" w:type="dxa"/>
                  <w:tcBorders>
                    <w:tl2br w:val="nil"/>
                    <w:tr2bl w:val="nil"/>
                  </w:tcBorders>
                  <w:noWrap w:val="0"/>
                  <w:vAlign w:val="center"/>
                </w:tcPr>
                <w:p w14:paraId="20D54762">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5</w:t>
                  </w:r>
                </w:p>
              </w:tc>
              <w:tc>
                <w:tcPr>
                  <w:tcW w:w="503" w:type="dxa"/>
                  <w:tcBorders>
                    <w:tl2br w:val="nil"/>
                    <w:tr2bl w:val="nil"/>
                  </w:tcBorders>
                  <w:noWrap w:val="0"/>
                  <w:vAlign w:val="center"/>
                </w:tcPr>
                <w:p w14:paraId="56611347">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s="Times New Roman"/>
                      <w:bCs/>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670" w:type="dxa"/>
                  <w:tcBorders>
                    <w:tl2br w:val="nil"/>
                    <w:tr2bl w:val="nil"/>
                  </w:tcBorders>
                  <w:noWrap w:val="0"/>
                  <w:vAlign w:val="center"/>
                </w:tcPr>
                <w:p w14:paraId="3F53FC5B">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w:t>
                  </w:r>
                </w:p>
              </w:tc>
              <w:tc>
                <w:tcPr>
                  <w:tcW w:w="736" w:type="dxa"/>
                  <w:tcBorders>
                    <w:tl2br w:val="nil"/>
                    <w:tr2bl w:val="nil"/>
                  </w:tcBorders>
                  <w:noWrap w:val="0"/>
                  <w:vAlign w:val="center"/>
                </w:tcPr>
                <w:p w14:paraId="72563CA5">
                  <w:pPr>
                    <w:keepNext w:val="0"/>
                    <w:keepLines w:val="0"/>
                    <w:pageBreakBefore w:val="0"/>
                    <w:suppressLineNumbers w:val="0"/>
                    <w:kinsoku/>
                    <w:wordWrap/>
                    <w:overflowPunct/>
                    <w:topLinePunct w:val="0"/>
                    <w:autoSpaceDE/>
                    <w:autoSpaceDN/>
                    <w:bidi w:val="0"/>
                    <w:adjustRightInd w:val="0"/>
                    <w:spacing w:before="0" w:beforeAutospacing="0" w:after="0" w:afterAutospacing="0"/>
                    <w:ind w:left="0" w:right="0" w:firstLine="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58.69</w:t>
                  </w:r>
                </w:p>
              </w:tc>
              <w:tc>
                <w:tcPr>
                  <w:tcW w:w="523" w:type="dxa"/>
                  <w:vMerge w:val="continue"/>
                  <w:tcBorders>
                    <w:tl2br w:val="nil"/>
                    <w:tr2bl w:val="nil"/>
                  </w:tcBorders>
                  <w:noWrap w:val="0"/>
                  <w:vAlign w:val="center"/>
                </w:tcPr>
                <w:p w14:paraId="26AD03B2">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608A519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jc w:val="center"/>
                    <w:textAlignment w:val="auto"/>
                    <w:rPr>
                      <w:rFonts w:hint="eastAsia"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0238AFEF">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37.69</w:t>
                  </w:r>
                </w:p>
              </w:tc>
              <w:tc>
                <w:tcPr>
                  <w:tcW w:w="691" w:type="dxa"/>
                  <w:tcBorders>
                    <w:tl2br w:val="nil"/>
                    <w:tr2bl w:val="nil"/>
                  </w:tcBorders>
                  <w:noWrap w:val="0"/>
                  <w:vAlign w:val="center"/>
                </w:tcPr>
                <w:p w14:paraId="7DD8A5DA">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7EA4A1E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6C919041">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4</w:t>
                  </w:r>
                </w:p>
              </w:tc>
              <w:tc>
                <w:tcPr>
                  <w:tcW w:w="435" w:type="dxa"/>
                  <w:vMerge w:val="continue"/>
                  <w:tcBorders>
                    <w:tl2br w:val="nil"/>
                    <w:tr2bl w:val="nil"/>
                  </w:tcBorders>
                  <w:noWrap w:val="0"/>
                  <w:vAlign w:val="center"/>
                </w:tcPr>
                <w:p w14:paraId="064B7C7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ascii="Times New Roman" w:hAnsi="Times New Roman" w:eastAsia="宋体" w:cs="Times New Roman"/>
                      <w:color w:val="auto"/>
                      <w:spacing w:val="0"/>
                      <w:sz w:val="18"/>
                      <w:szCs w:val="18"/>
                      <w:highlight w:val="none"/>
                      <w:lang w:val="en-US" w:eastAsia="zh-CN"/>
                    </w:rPr>
                  </w:pPr>
                </w:p>
              </w:tc>
              <w:tc>
                <w:tcPr>
                  <w:tcW w:w="945" w:type="dxa"/>
                  <w:tcBorders>
                    <w:tl2br w:val="nil"/>
                    <w:tr2bl w:val="nil"/>
                  </w:tcBorders>
                  <w:noWrap w:val="0"/>
                  <w:vAlign w:val="center"/>
                </w:tcPr>
                <w:p w14:paraId="6D3DF956">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输送机</w:t>
                  </w:r>
                </w:p>
              </w:tc>
              <w:tc>
                <w:tcPr>
                  <w:tcW w:w="739" w:type="dxa"/>
                  <w:tcBorders>
                    <w:tl2br w:val="nil"/>
                    <w:tr2bl w:val="nil"/>
                  </w:tcBorders>
                  <w:noWrap w:val="0"/>
                  <w:vAlign w:val="center"/>
                </w:tcPr>
                <w:p w14:paraId="3952179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60</w:t>
                  </w:r>
                </w:p>
              </w:tc>
              <w:tc>
                <w:tcPr>
                  <w:tcW w:w="604" w:type="dxa"/>
                  <w:vMerge w:val="continue"/>
                  <w:tcBorders>
                    <w:tl2br w:val="nil"/>
                    <w:tr2bl w:val="nil"/>
                  </w:tcBorders>
                  <w:noWrap w:val="0"/>
                  <w:vAlign w:val="center"/>
                </w:tcPr>
                <w:p w14:paraId="5D96E746">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rPr>
                  </w:pPr>
                </w:p>
              </w:tc>
              <w:tc>
                <w:tcPr>
                  <w:tcW w:w="513" w:type="dxa"/>
                  <w:tcBorders>
                    <w:tl2br w:val="nil"/>
                    <w:tr2bl w:val="nil"/>
                  </w:tcBorders>
                  <w:noWrap w:val="0"/>
                  <w:vAlign w:val="center"/>
                </w:tcPr>
                <w:p w14:paraId="6B5DB4A9">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-21</w:t>
                  </w:r>
                </w:p>
              </w:tc>
              <w:tc>
                <w:tcPr>
                  <w:tcW w:w="537" w:type="dxa"/>
                  <w:tcBorders>
                    <w:tl2br w:val="nil"/>
                    <w:tr2bl w:val="nil"/>
                  </w:tcBorders>
                  <w:noWrap w:val="0"/>
                  <w:vAlign w:val="center"/>
                </w:tcPr>
                <w:p w14:paraId="3C00ED88">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3</w:t>
                  </w:r>
                </w:p>
              </w:tc>
              <w:tc>
                <w:tcPr>
                  <w:tcW w:w="503" w:type="dxa"/>
                  <w:tcBorders>
                    <w:tl2br w:val="nil"/>
                    <w:tr2bl w:val="nil"/>
                  </w:tcBorders>
                  <w:noWrap w:val="0"/>
                  <w:vAlign w:val="center"/>
                </w:tcPr>
                <w:p w14:paraId="5261C0B1">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s="Times New Roman"/>
                      <w:bCs/>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w:t>
                  </w:r>
                </w:p>
              </w:tc>
              <w:tc>
                <w:tcPr>
                  <w:tcW w:w="670" w:type="dxa"/>
                  <w:tcBorders>
                    <w:tl2br w:val="nil"/>
                    <w:tr2bl w:val="nil"/>
                  </w:tcBorders>
                  <w:noWrap w:val="0"/>
                  <w:vAlign w:val="center"/>
                </w:tcPr>
                <w:p w14:paraId="534DD130">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w:t>
                  </w:r>
                </w:p>
              </w:tc>
              <w:tc>
                <w:tcPr>
                  <w:tcW w:w="736" w:type="dxa"/>
                  <w:tcBorders>
                    <w:tl2br w:val="nil"/>
                    <w:tr2bl w:val="nil"/>
                  </w:tcBorders>
                  <w:noWrap w:val="0"/>
                  <w:vAlign w:val="center"/>
                </w:tcPr>
                <w:p w14:paraId="714530FF">
                  <w:pPr>
                    <w:keepNext w:val="0"/>
                    <w:keepLines w:val="0"/>
                    <w:pageBreakBefore w:val="0"/>
                    <w:suppressLineNumbers w:val="0"/>
                    <w:kinsoku/>
                    <w:wordWrap/>
                    <w:overflowPunct/>
                    <w:topLinePunct w:val="0"/>
                    <w:autoSpaceDE/>
                    <w:autoSpaceDN/>
                    <w:bidi w:val="0"/>
                    <w:adjustRightInd w:val="0"/>
                    <w:spacing w:before="0" w:beforeAutospacing="0" w:after="0" w:afterAutospacing="0"/>
                    <w:ind w:left="0" w:right="0" w:firstLine="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46.69</w:t>
                  </w:r>
                </w:p>
              </w:tc>
              <w:tc>
                <w:tcPr>
                  <w:tcW w:w="523" w:type="dxa"/>
                  <w:vMerge w:val="continue"/>
                  <w:tcBorders>
                    <w:tl2br w:val="nil"/>
                    <w:tr2bl w:val="nil"/>
                  </w:tcBorders>
                  <w:noWrap w:val="0"/>
                  <w:vAlign w:val="center"/>
                </w:tcPr>
                <w:p w14:paraId="40A84096">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1B25E18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jc w:val="center"/>
                    <w:textAlignment w:val="auto"/>
                    <w:rPr>
                      <w:rFonts w:hint="eastAsia"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22B9D4EC">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25.69</w:t>
                  </w:r>
                </w:p>
              </w:tc>
              <w:tc>
                <w:tcPr>
                  <w:tcW w:w="691" w:type="dxa"/>
                  <w:tcBorders>
                    <w:tl2br w:val="nil"/>
                    <w:tr2bl w:val="nil"/>
                  </w:tcBorders>
                  <w:noWrap w:val="0"/>
                  <w:vAlign w:val="center"/>
                </w:tcPr>
                <w:p w14:paraId="38090FD5">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61D41CC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6D197EFB">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5</w:t>
                  </w:r>
                </w:p>
              </w:tc>
              <w:tc>
                <w:tcPr>
                  <w:tcW w:w="435" w:type="dxa"/>
                  <w:vMerge w:val="continue"/>
                  <w:tcBorders>
                    <w:tl2br w:val="nil"/>
                    <w:tr2bl w:val="nil"/>
                  </w:tcBorders>
                  <w:noWrap w:val="0"/>
                  <w:vAlign w:val="center"/>
                </w:tcPr>
                <w:p w14:paraId="474C40B2">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ascii="Times New Roman" w:hAnsi="Times New Roman" w:eastAsia="宋体" w:cs="Times New Roman"/>
                      <w:color w:val="auto"/>
                      <w:spacing w:val="0"/>
                      <w:sz w:val="18"/>
                      <w:szCs w:val="18"/>
                      <w:highlight w:val="none"/>
                      <w:lang w:val="en-US" w:eastAsia="zh-CN"/>
                    </w:rPr>
                  </w:pPr>
                </w:p>
              </w:tc>
              <w:tc>
                <w:tcPr>
                  <w:tcW w:w="945" w:type="dxa"/>
                  <w:tcBorders>
                    <w:tl2br w:val="nil"/>
                    <w:tr2bl w:val="nil"/>
                  </w:tcBorders>
                  <w:noWrap w:val="0"/>
                  <w:vAlign w:val="center"/>
                </w:tcPr>
                <w:p w14:paraId="4434B934">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粉碎机</w:t>
                  </w:r>
                </w:p>
              </w:tc>
              <w:tc>
                <w:tcPr>
                  <w:tcW w:w="739" w:type="dxa"/>
                  <w:tcBorders>
                    <w:tl2br w:val="nil"/>
                    <w:tr2bl w:val="nil"/>
                  </w:tcBorders>
                  <w:noWrap w:val="0"/>
                  <w:vAlign w:val="center"/>
                </w:tcPr>
                <w:p w14:paraId="4E97E73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85</w:t>
                  </w:r>
                </w:p>
              </w:tc>
              <w:tc>
                <w:tcPr>
                  <w:tcW w:w="604" w:type="dxa"/>
                  <w:vMerge w:val="continue"/>
                  <w:tcBorders>
                    <w:tl2br w:val="nil"/>
                    <w:tr2bl w:val="nil"/>
                  </w:tcBorders>
                  <w:noWrap w:val="0"/>
                  <w:vAlign w:val="center"/>
                </w:tcPr>
                <w:p w14:paraId="110DC46D">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rPr>
                  </w:pPr>
                </w:p>
              </w:tc>
              <w:tc>
                <w:tcPr>
                  <w:tcW w:w="513" w:type="dxa"/>
                  <w:tcBorders>
                    <w:tl2br w:val="nil"/>
                    <w:tr2bl w:val="nil"/>
                  </w:tcBorders>
                  <w:noWrap w:val="0"/>
                  <w:vAlign w:val="center"/>
                </w:tcPr>
                <w:p w14:paraId="4942612A">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-21</w:t>
                  </w:r>
                </w:p>
              </w:tc>
              <w:tc>
                <w:tcPr>
                  <w:tcW w:w="537" w:type="dxa"/>
                  <w:tcBorders>
                    <w:tl2br w:val="nil"/>
                    <w:tr2bl w:val="nil"/>
                  </w:tcBorders>
                  <w:noWrap w:val="0"/>
                  <w:vAlign w:val="center"/>
                </w:tcPr>
                <w:p w14:paraId="51561691">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w:t>
                  </w:r>
                </w:p>
              </w:tc>
              <w:tc>
                <w:tcPr>
                  <w:tcW w:w="503" w:type="dxa"/>
                  <w:tcBorders>
                    <w:tl2br w:val="nil"/>
                    <w:tr2bl w:val="nil"/>
                  </w:tcBorders>
                  <w:noWrap w:val="0"/>
                  <w:vAlign w:val="center"/>
                </w:tcPr>
                <w:p w14:paraId="73BB95C1">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s="Times New Roman"/>
                      <w:bCs/>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670" w:type="dxa"/>
                  <w:tcBorders>
                    <w:tl2br w:val="nil"/>
                    <w:tr2bl w:val="nil"/>
                  </w:tcBorders>
                  <w:noWrap w:val="0"/>
                  <w:vAlign w:val="center"/>
                </w:tcPr>
                <w:p w14:paraId="236495EC">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4.5</w:t>
                  </w:r>
                </w:p>
              </w:tc>
              <w:tc>
                <w:tcPr>
                  <w:tcW w:w="736" w:type="dxa"/>
                  <w:tcBorders>
                    <w:tl2br w:val="nil"/>
                    <w:tr2bl w:val="nil"/>
                  </w:tcBorders>
                  <w:noWrap w:val="0"/>
                  <w:vAlign w:val="center"/>
                </w:tcPr>
                <w:p w14:paraId="0319FFF5">
                  <w:pPr>
                    <w:keepNext w:val="0"/>
                    <w:keepLines w:val="0"/>
                    <w:pageBreakBefore w:val="0"/>
                    <w:suppressLineNumbers w:val="0"/>
                    <w:kinsoku/>
                    <w:wordWrap/>
                    <w:overflowPunct/>
                    <w:topLinePunct w:val="0"/>
                    <w:autoSpaceDE/>
                    <w:autoSpaceDN/>
                    <w:bidi w:val="0"/>
                    <w:adjustRightInd w:val="0"/>
                    <w:spacing w:before="0" w:beforeAutospacing="0" w:after="0" w:afterAutospacing="0"/>
                    <w:ind w:left="0" w:leftChars="0" w:right="0" w:rightChars="0" w:firstLine="0" w:firstLineChars="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63.2</w:t>
                  </w:r>
                </w:p>
              </w:tc>
              <w:tc>
                <w:tcPr>
                  <w:tcW w:w="523" w:type="dxa"/>
                  <w:vMerge w:val="continue"/>
                  <w:tcBorders>
                    <w:tl2br w:val="nil"/>
                    <w:tr2bl w:val="nil"/>
                  </w:tcBorders>
                  <w:noWrap w:val="0"/>
                  <w:vAlign w:val="center"/>
                </w:tcPr>
                <w:p w14:paraId="51EEC097">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3B40A9DE">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jc w:val="center"/>
                    <w:textAlignment w:val="auto"/>
                    <w:rPr>
                      <w:rFonts w:hint="eastAsia"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30E6BC94">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42.2</w:t>
                  </w:r>
                </w:p>
              </w:tc>
              <w:tc>
                <w:tcPr>
                  <w:tcW w:w="691" w:type="dxa"/>
                  <w:tcBorders>
                    <w:tl2br w:val="nil"/>
                    <w:tr2bl w:val="nil"/>
                  </w:tcBorders>
                  <w:noWrap w:val="0"/>
                  <w:vAlign w:val="center"/>
                </w:tcPr>
                <w:p w14:paraId="0FBA8382">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7F4235D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09576A57">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6</w:t>
                  </w:r>
                </w:p>
              </w:tc>
              <w:tc>
                <w:tcPr>
                  <w:tcW w:w="435" w:type="dxa"/>
                  <w:vMerge w:val="continue"/>
                  <w:tcBorders>
                    <w:tl2br w:val="nil"/>
                    <w:tr2bl w:val="nil"/>
                  </w:tcBorders>
                  <w:noWrap w:val="0"/>
                  <w:vAlign w:val="center"/>
                </w:tcPr>
                <w:p w14:paraId="43D3900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ascii="Times New Roman" w:hAnsi="Times New Roman" w:eastAsia="宋体" w:cs="Times New Roman"/>
                      <w:color w:val="auto"/>
                      <w:spacing w:val="0"/>
                      <w:sz w:val="18"/>
                      <w:szCs w:val="18"/>
                      <w:highlight w:val="none"/>
                      <w:lang w:val="en-US" w:eastAsia="zh-CN"/>
                    </w:rPr>
                  </w:pPr>
                </w:p>
              </w:tc>
              <w:tc>
                <w:tcPr>
                  <w:tcW w:w="945" w:type="dxa"/>
                  <w:tcBorders>
                    <w:tl2br w:val="nil"/>
                    <w:tr2bl w:val="nil"/>
                  </w:tcBorders>
                  <w:noWrap w:val="0"/>
                  <w:vAlign w:val="center"/>
                </w:tcPr>
                <w:p w14:paraId="3E51A8BF">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输送机</w:t>
                  </w:r>
                </w:p>
              </w:tc>
              <w:tc>
                <w:tcPr>
                  <w:tcW w:w="739" w:type="dxa"/>
                  <w:tcBorders>
                    <w:tl2br w:val="nil"/>
                    <w:tr2bl w:val="nil"/>
                  </w:tcBorders>
                  <w:noWrap w:val="0"/>
                  <w:vAlign w:val="center"/>
                </w:tcPr>
                <w:p w14:paraId="545CF23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60</w:t>
                  </w:r>
                </w:p>
              </w:tc>
              <w:tc>
                <w:tcPr>
                  <w:tcW w:w="604" w:type="dxa"/>
                  <w:vMerge w:val="continue"/>
                  <w:tcBorders>
                    <w:tl2br w:val="nil"/>
                    <w:tr2bl w:val="nil"/>
                  </w:tcBorders>
                  <w:noWrap w:val="0"/>
                  <w:vAlign w:val="center"/>
                </w:tcPr>
                <w:p w14:paraId="178A2274">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rPr>
                  </w:pPr>
                </w:p>
              </w:tc>
              <w:tc>
                <w:tcPr>
                  <w:tcW w:w="513" w:type="dxa"/>
                  <w:tcBorders>
                    <w:tl2br w:val="nil"/>
                    <w:tr2bl w:val="nil"/>
                  </w:tcBorders>
                  <w:noWrap w:val="0"/>
                  <w:vAlign w:val="center"/>
                </w:tcPr>
                <w:p w14:paraId="632DE945">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-20</w:t>
                  </w:r>
                </w:p>
              </w:tc>
              <w:tc>
                <w:tcPr>
                  <w:tcW w:w="537" w:type="dxa"/>
                  <w:tcBorders>
                    <w:tl2br w:val="nil"/>
                    <w:tr2bl w:val="nil"/>
                  </w:tcBorders>
                  <w:noWrap w:val="0"/>
                  <w:vAlign w:val="center"/>
                </w:tcPr>
                <w:p w14:paraId="36378153">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-2</w:t>
                  </w:r>
                </w:p>
              </w:tc>
              <w:tc>
                <w:tcPr>
                  <w:tcW w:w="503" w:type="dxa"/>
                  <w:tcBorders>
                    <w:tl2br w:val="nil"/>
                    <w:tr2bl w:val="nil"/>
                  </w:tcBorders>
                  <w:noWrap w:val="0"/>
                  <w:vAlign w:val="center"/>
                </w:tcPr>
                <w:p w14:paraId="5CF33DB9">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s="Times New Roman"/>
                      <w:bCs/>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w:t>
                  </w:r>
                </w:p>
              </w:tc>
              <w:tc>
                <w:tcPr>
                  <w:tcW w:w="670" w:type="dxa"/>
                  <w:tcBorders>
                    <w:tl2br w:val="nil"/>
                    <w:tr2bl w:val="nil"/>
                  </w:tcBorders>
                  <w:noWrap w:val="0"/>
                  <w:vAlign w:val="center"/>
                </w:tcPr>
                <w:p w14:paraId="5E651B01">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7.3</w:t>
                  </w:r>
                </w:p>
              </w:tc>
              <w:tc>
                <w:tcPr>
                  <w:tcW w:w="736" w:type="dxa"/>
                  <w:tcBorders>
                    <w:tl2br w:val="nil"/>
                    <w:tr2bl w:val="nil"/>
                  </w:tcBorders>
                  <w:noWrap w:val="0"/>
                  <w:vAlign w:val="center"/>
                </w:tcPr>
                <w:p w14:paraId="14E6D360">
                  <w:pPr>
                    <w:keepNext w:val="0"/>
                    <w:keepLines w:val="0"/>
                    <w:pageBreakBefore w:val="0"/>
                    <w:suppressLineNumbers w:val="0"/>
                    <w:kinsoku/>
                    <w:wordWrap/>
                    <w:overflowPunct/>
                    <w:topLinePunct w:val="0"/>
                    <w:autoSpaceDE/>
                    <w:autoSpaceDN/>
                    <w:bidi w:val="0"/>
                    <w:adjustRightInd w:val="0"/>
                    <w:spacing w:before="0" w:beforeAutospacing="0" w:after="0" w:afterAutospacing="0"/>
                    <w:ind w:left="0" w:right="0" w:firstLine="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45.94</w:t>
                  </w:r>
                </w:p>
              </w:tc>
              <w:tc>
                <w:tcPr>
                  <w:tcW w:w="523" w:type="dxa"/>
                  <w:vMerge w:val="continue"/>
                  <w:tcBorders>
                    <w:tl2br w:val="nil"/>
                    <w:tr2bl w:val="nil"/>
                  </w:tcBorders>
                  <w:noWrap w:val="0"/>
                  <w:vAlign w:val="center"/>
                </w:tcPr>
                <w:p w14:paraId="532D5A1B">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1120C5F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jc w:val="center"/>
                    <w:textAlignment w:val="auto"/>
                    <w:rPr>
                      <w:rFonts w:hint="eastAsia"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62C0CD7D">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24.94</w:t>
                  </w:r>
                </w:p>
              </w:tc>
              <w:tc>
                <w:tcPr>
                  <w:tcW w:w="691" w:type="dxa"/>
                  <w:tcBorders>
                    <w:tl2br w:val="nil"/>
                    <w:tr2bl w:val="nil"/>
                  </w:tcBorders>
                  <w:noWrap w:val="0"/>
                  <w:vAlign w:val="center"/>
                </w:tcPr>
                <w:p w14:paraId="5C1C5177">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60FF025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09E00FC8">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7</w:t>
                  </w:r>
                </w:p>
              </w:tc>
              <w:tc>
                <w:tcPr>
                  <w:tcW w:w="435" w:type="dxa"/>
                  <w:vMerge w:val="continue"/>
                  <w:tcBorders>
                    <w:tl2br w:val="nil"/>
                    <w:tr2bl w:val="nil"/>
                  </w:tcBorders>
                  <w:noWrap w:val="0"/>
                  <w:vAlign w:val="center"/>
                </w:tcPr>
                <w:p w14:paraId="5C91DE3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ascii="Times New Roman" w:hAnsi="Times New Roman" w:eastAsia="宋体" w:cs="Times New Roman"/>
                      <w:color w:val="auto"/>
                      <w:spacing w:val="0"/>
                      <w:sz w:val="18"/>
                      <w:szCs w:val="18"/>
                      <w:highlight w:val="none"/>
                      <w:lang w:val="en-US" w:eastAsia="zh-CN"/>
                    </w:rPr>
                  </w:pPr>
                </w:p>
              </w:tc>
              <w:tc>
                <w:tcPr>
                  <w:tcW w:w="945" w:type="dxa"/>
                  <w:tcBorders>
                    <w:tl2br w:val="nil"/>
                    <w:tr2bl w:val="nil"/>
                  </w:tcBorders>
                  <w:noWrap w:val="0"/>
                  <w:vAlign w:val="center"/>
                </w:tcPr>
                <w:p w14:paraId="1AAFA884">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烘干燃烧除尘风机</w:t>
                  </w:r>
                </w:p>
              </w:tc>
              <w:tc>
                <w:tcPr>
                  <w:tcW w:w="739" w:type="dxa"/>
                  <w:tcBorders>
                    <w:tl2br w:val="nil"/>
                    <w:tr2bl w:val="nil"/>
                  </w:tcBorders>
                  <w:noWrap w:val="0"/>
                  <w:vAlign w:val="center"/>
                </w:tcPr>
                <w:p w14:paraId="5A41E9F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85</w:t>
                  </w:r>
                </w:p>
              </w:tc>
              <w:tc>
                <w:tcPr>
                  <w:tcW w:w="604" w:type="dxa"/>
                  <w:vMerge w:val="continue"/>
                  <w:tcBorders>
                    <w:tl2br w:val="nil"/>
                    <w:tr2bl w:val="nil"/>
                  </w:tcBorders>
                  <w:noWrap w:val="0"/>
                  <w:vAlign w:val="center"/>
                </w:tcPr>
                <w:p w14:paraId="1D73B236">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rPr>
                  </w:pPr>
                </w:p>
              </w:tc>
              <w:tc>
                <w:tcPr>
                  <w:tcW w:w="513" w:type="dxa"/>
                  <w:tcBorders>
                    <w:tl2br w:val="nil"/>
                    <w:tr2bl w:val="nil"/>
                  </w:tcBorders>
                  <w:noWrap w:val="0"/>
                  <w:vAlign w:val="center"/>
                </w:tcPr>
                <w:p w14:paraId="337A2990">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-41</w:t>
                  </w:r>
                </w:p>
              </w:tc>
              <w:tc>
                <w:tcPr>
                  <w:tcW w:w="537" w:type="dxa"/>
                  <w:tcBorders>
                    <w:tl2br w:val="nil"/>
                    <w:tr2bl w:val="nil"/>
                  </w:tcBorders>
                  <w:noWrap w:val="0"/>
                  <w:vAlign w:val="center"/>
                </w:tcPr>
                <w:p w14:paraId="73BD01EA">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-10</w:t>
                  </w:r>
                </w:p>
              </w:tc>
              <w:tc>
                <w:tcPr>
                  <w:tcW w:w="503" w:type="dxa"/>
                  <w:tcBorders>
                    <w:tl2br w:val="nil"/>
                    <w:tr2bl w:val="nil"/>
                  </w:tcBorders>
                  <w:noWrap w:val="0"/>
                  <w:vAlign w:val="center"/>
                </w:tcPr>
                <w:p w14:paraId="30465F27">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s="Times New Roman"/>
                      <w:bCs/>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670" w:type="dxa"/>
                  <w:tcBorders>
                    <w:tl2br w:val="nil"/>
                    <w:tr2bl w:val="nil"/>
                  </w:tcBorders>
                  <w:noWrap w:val="0"/>
                  <w:vAlign w:val="center"/>
                </w:tcPr>
                <w:p w14:paraId="6DBE2072">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textAlignment w:val="center"/>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18"/>
                      <w:szCs w:val="18"/>
                      <w:highlight w:val="none"/>
                      <w:lang w:val="en-US" w:eastAsia="zh-CN" w:bidi="ar-SA"/>
                    </w:rPr>
                    <w:t>10</w:t>
                  </w:r>
                </w:p>
              </w:tc>
              <w:tc>
                <w:tcPr>
                  <w:tcW w:w="736" w:type="dxa"/>
                  <w:tcBorders>
                    <w:tl2br w:val="nil"/>
                    <w:tr2bl w:val="nil"/>
                  </w:tcBorders>
                  <w:noWrap w:val="0"/>
                  <w:vAlign w:val="center"/>
                </w:tcPr>
                <w:p w14:paraId="7C54AB0D">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62.86</w:t>
                  </w:r>
                </w:p>
              </w:tc>
              <w:tc>
                <w:tcPr>
                  <w:tcW w:w="523" w:type="dxa"/>
                  <w:vMerge w:val="continue"/>
                  <w:tcBorders>
                    <w:tl2br w:val="nil"/>
                    <w:tr2bl w:val="nil"/>
                  </w:tcBorders>
                  <w:noWrap w:val="0"/>
                  <w:vAlign w:val="center"/>
                </w:tcPr>
                <w:p w14:paraId="2EC0F4C7">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1F1A7842">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57F507C1">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41.86</w:t>
                  </w:r>
                </w:p>
              </w:tc>
              <w:tc>
                <w:tcPr>
                  <w:tcW w:w="691" w:type="dxa"/>
                  <w:tcBorders>
                    <w:tl2br w:val="nil"/>
                    <w:tr2bl w:val="nil"/>
                  </w:tcBorders>
                  <w:noWrap w:val="0"/>
                  <w:vAlign w:val="center"/>
                </w:tcPr>
                <w:p w14:paraId="6C232EC4">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2B6ECEE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23E0DF3F">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8</w:t>
                  </w:r>
                </w:p>
              </w:tc>
              <w:tc>
                <w:tcPr>
                  <w:tcW w:w="435" w:type="dxa"/>
                  <w:vMerge w:val="continue"/>
                  <w:tcBorders>
                    <w:tl2br w:val="nil"/>
                    <w:tr2bl w:val="nil"/>
                  </w:tcBorders>
                  <w:noWrap w:val="0"/>
                  <w:vAlign w:val="center"/>
                </w:tcPr>
                <w:p w14:paraId="5C2C29D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ascii="Times New Roman" w:hAnsi="Times New Roman" w:eastAsia="宋体" w:cs="Times New Roman"/>
                      <w:color w:val="auto"/>
                      <w:spacing w:val="0"/>
                      <w:sz w:val="18"/>
                      <w:szCs w:val="18"/>
                      <w:highlight w:val="none"/>
                      <w:lang w:val="en-US" w:eastAsia="zh-CN"/>
                    </w:rPr>
                  </w:pPr>
                </w:p>
              </w:tc>
              <w:tc>
                <w:tcPr>
                  <w:tcW w:w="945" w:type="dxa"/>
                  <w:tcBorders>
                    <w:tl2br w:val="nil"/>
                    <w:tr2bl w:val="nil"/>
                  </w:tcBorders>
                  <w:noWrap w:val="0"/>
                  <w:vAlign w:val="center"/>
                </w:tcPr>
                <w:p w14:paraId="3E26C5FB">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输送机</w:t>
                  </w:r>
                </w:p>
              </w:tc>
              <w:tc>
                <w:tcPr>
                  <w:tcW w:w="739" w:type="dxa"/>
                  <w:tcBorders>
                    <w:tl2br w:val="nil"/>
                    <w:tr2bl w:val="nil"/>
                  </w:tcBorders>
                  <w:noWrap w:val="0"/>
                  <w:vAlign w:val="center"/>
                </w:tcPr>
                <w:p w14:paraId="5B7FAB4E">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60</w:t>
                  </w:r>
                </w:p>
              </w:tc>
              <w:tc>
                <w:tcPr>
                  <w:tcW w:w="604" w:type="dxa"/>
                  <w:vMerge w:val="continue"/>
                  <w:tcBorders>
                    <w:tl2br w:val="nil"/>
                    <w:tr2bl w:val="nil"/>
                  </w:tcBorders>
                  <w:noWrap w:val="0"/>
                  <w:vAlign w:val="center"/>
                </w:tcPr>
                <w:p w14:paraId="05157CD7">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rPr>
                  </w:pPr>
                </w:p>
              </w:tc>
              <w:tc>
                <w:tcPr>
                  <w:tcW w:w="513" w:type="dxa"/>
                  <w:tcBorders>
                    <w:tl2br w:val="nil"/>
                    <w:tr2bl w:val="nil"/>
                  </w:tcBorders>
                  <w:noWrap w:val="0"/>
                  <w:vAlign w:val="center"/>
                </w:tcPr>
                <w:p w14:paraId="656667C6">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-39</w:t>
                  </w:r>
                </w:p>
              </w:tc>
              <w:tc>
                <w:tcPr>
                  <w:tcW w:w="537" w:type="dxa"/>
                  <w:tcBorders>
                    <w:tl2br w:val="nil"/>
                    <w:tr2bl w:val="nil"/>
                  </w:tcBorders>
                  <w:noWrap w:val="0"/>
                  <w:vAlign w:val="center"/>
                </w:tcPr>
                <w:p w14:paraId="6DA60964">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-5</w:t>
                  </w:r>
                </w:p>
              </w:tc>
              <w:tc>
                <w:tcPr>
                  <w:tcW w:w="503" w:type="dxa"/>
                  <w:tcBorders>
                    <w:tl2br w:val="nil"/>
                    <w:tr2bl w:val="nil"/>
                  </w:tcBorders>
                  <w:noWrap w:val="0"/>
                  <w:vAlign w:val="center"/>
                </w:tcPr>
                <w:p w14:paraId="303EA0C3">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s="Times New Roman"/>
                      <w:bCs/>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w:t>
                  </w:r>
                </w:p>
              </w:tc>
              <w:tc>
                <w:tcPr>
                  <w:tcW w:w="670" w:type="dxa"/>
                  <w:tcBorders>
                    <w:tl2br w:val="nil"/>
                    <w:tr2bl w:val="nil"/>
                  </w:tcBorders>
                  <w:noWrap w:val="0"/>
                  <w:vAlign w:val="center"/>
                </w:tcPr>
                <w:p w14:paraId="76FEC757">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w:t>
                  </w:r>
                </w:p>
              </w:tc>
              <w:tc>
                <w:tcPr>
                  <w:tcW w:w="736" w:type="dxa"/>
                  <w:tcBorders>
                    <w:tl2br w:val="nil"/>
                    <w:tr2bl w:val="nil"/>
                  </w:tcBorders>
                  <w:noWrap w:val="0"/>
                  <w:vAlign w:val="center"/>
                </w:tcPr>
                <w:p w14:paraId="034D65B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45.88</w:t>
                  </w:r>
                </w:p>
              </w:tc>
              <w:tc>
                <w:tcPr>
                  <w:tcW w:w="523" w:type="dxa"/>
                  <w:vMerge w:val="continue"/>
                  <w:tcBorders>
                    <w:tl2br w:val="nil"/>
                    <w:tr2bl w:val="nil"/>
                  </w:tcBorders>
                  <w:noWrap w:val="0"/>
                  <w:vAlign w:val="center"/>
                </w:tcPr>
                <w:p w14:paraId="7F5AD7E7">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0CC4408E">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3B46380C">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24.88</w:t>
                  </w:r>
                </w:p>
              </w:tc>
              <w:tc>
                <w:tcPr>
                  <w:tcW w:w="691" w:type="dxa"/>
                  <w:tcBorders>
                    <w:tl2br w:val="nil"/>
                    <w:tr2bl w:val="nil"/>
                  </w:tcBorders>
                  <w:noWrap w:val="0"/>
                  <w:vAlign w:val="center"/>
                </w:tcPr>
                <w:p w14:paraId="28ABDBA6">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38DD802E">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3CA4F672">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9</w:t>
                  </w:r>
                </w:p>
              </w:tc>
              <w:tc>
                <w:tcPr>
                  <w:tcW w:w="435" w:type="dxa"/>
                  <w:vMerge w:val="continue"/>
                  <w:tcBorders>
                    <w:tl2br w:val="nil"/>
                    <w:tr2bl w:val="nil"/>
                  </w:tcBorders>
                  <w:noWrap w:val="0"/>
                  <w:vAlign w:val="center"/>
                </w:tcPr>
                <w:p w14:paraId="184C16E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ascii="Times New Roman" w:hAnsi="Times New Roman" w:eastAsia="宋体" w:cs="Times New Roman"/>
                      <w:color w:val="auto"/>
                      <w:spacing w:val="0"/>
                      <w:sz w:val="18"/>
                      <w:szCs w:val="18"/>
                      <w:highlight w:val="none"/>
                      <w:lang w:val="en-US" w:eastAsia="zh-CN"/>
                    </w:rPr>
                  </w:pPr>
                </w:p>
              </w:tc>
              <w:tc>
                <w:tcPr>
                  <w:tcW w:w="945" w:type="dxa"/>
                  <w:tcBorders>
                    <w:tl2br w:val="nil"/>
                    <w:tr2bl w:val="nil"/>
                  </w:tcBorders>
                  <w:noWrap w:val="0"/>
                  <w:vAlign w:val="center"/>
                </w:tcPr>
                <w:p w14:paraId="2530CFAB">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造粒机</w:t>
                  </w:r>
                </w:p>
              </w:tc>
              <w:tc>
                <w:tcPr>
                  <w:tcW w:w="739" w:type="dxa"/>
                  <w:tcBorders>
                    <w:tl2br w:val="nil"/>
                    <w:tr2bl w:val="nil"/>
                  </w:tcBorders>
                  <w:noWrap w:val="0"/>
                  <w:vAlign w:val="center"/>
                </w:tcPr>
                <w:p w14:paraId="1F35BBD4">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70</w:t>
                  </w:r>
                </w:p>
              </w:tc>
              <w:tc>
                <w:tcPr>
                  <w:tcW w:w="604" w:type="dxa"/>
                  <w:vMerge w:val="continue"/>
                  <w:tcBorders>
                    <w:tl2br w:val="nil"/>
                    <w:tr2bl w:val="nil"/>
                  </w:tcBorders>
                  <w:noWrap w:val="0"/>
                  <w:vAlign w:val="center"/>
                </w:tcPr>
                <w:p w14:paraId="7C6840CD">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rPr>
                  </w:pPr>
                </w:p>
              </w:tc>
              <w:tc>
                <w:tcPr>
                  <w:tcW w:w="513" w:type="dxa"/>
                  <w:tcBorders>
                    <w:tl2br w:val="nil"/>
                    <w:tr2bl w:val="nil"/>
                  </w:tcBorders>
                  <w:noWrap w:val="0"/>
                  <w:vAlign w:val="center"/>
                </w:tcPr>
                <w:p w14:paraId="54E49B56">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-35</w:t>
                  </w:r>
                </w:p>
              </w:tc>
              <w:tc>
                <w:tcPr>
                  <w:tcW w:w="537" w:type="dxa"/>
                  <w:tcBorders>
                    <w:tl2br w:val="nil"/>
                    <w:tr2bl w:val="nil"/>
                  </w:tcBorders>
                  <w:noWrap w:val="0"/>
                  <w:vAlign w:val="center"/>
                </w:tcPr>
                <w:p w14:paraId="576BD227">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w:t>
                  </w:r>
                </w:p>
              </w:tc>
              <w:tc>
                <w:tcPr>
                  <w:tcW w:w="503" w:type="dxa"/>
                  <w:tcBorders>
                    <w:tl2br w:val="nil"/>
                    <w:tr2bl w:val="nil"/>
                  </w:tcBorders>
                  <w:noWrap w:val="0"/>
                  <w:vAlign w:val="center"/>
                </w:tcPr>
                <w:p w14:paraId="5A785F07">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s="Times New Roman"/>
                      <w:bCs/>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670" w:type="dxa"/>
                  <w:tcBorders>
                    <w:tl2br w:val="nil"/>
                    <w:tr2bl w:val="nil"/>
                  </w:tcBorders>
                  <w:noWrap w:val="0"/>
                  <w:vAlign w:val="center"/>
                </w:tcPr>
                <w:p w14:paraId="19518100">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10</w:t>
                  </w:r>
                </w:p>
              </w:tc>
              <w:tc>
                <w:tcPr>
                  <w:tcW w:w="736" w:type="dxa"/>
                  <w:tcBorders>
                    <w:tl2br w:val="nil"/>
                    <w:tr2bl w:val="nil"/>
                  </w:tcBorders>
                  <w:noWrap w:val="0"/>
                  <w:vAlign w:val="center"/>
                </w:tcPr>
                <w:p w14:paraId="5BEB5B7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47.86</w:t>
                  </w:r>
                </w:p>
              </w:tc>
              <w:tc>
                <w:tcPr>
                  <w:tcW w:w="523" w:type="dxa"/>
                  <w:vMerge w:val="continue"/>
                  <w:tcBorders>
                    <w:tl2br w:val="nil"/>
                    <w:tr2bl w:val="nil"/>
                  </w:tcBorders>
                  <w:noWrap w:val="0"/>
                  <w:vAlign w:val="center"/>
                </w:tcPr>
                <w:p w14:paraId="6D80A8B1">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0BC4214F">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493561B7">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26.86</w:t>
                  </w:r>
                </w:p>
              </w:tc>
              <w:tc>
                <w:tcPr>
                  <w:tcW w:w="691" w:type="dxa"/>
                  <w:tcBorders>
                    <w:tl2br w:val="nil"/>
                    <w:tr2bl w:val="nil"/>
                  </w:tcBorders>
                  <w:noWrap w:val="0"/>
                  <w:vAlign w:val="center"/>
                </w:tcPr>
                <w:p w14:paraId="20117B98">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2CB1FC5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1C0974B5">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10</w:t>
                  </w:r>
                </w:p>
              </w:tc>
              <w:tc>
                <w:tcPr>
                  <w:tcW w:w="435" w:type="dxa"/>
                  <w:vMerge w:val="continue"/>
                  <w:tcBorders>
                    <w:tl2br w:val="nil"/>
                    <w:tr2bl w:val="nil"/>
                  </w:tcBorders>
                  <w:noWrap w:val="0"/>
                  <w:vAlign w:val="center"/>
                </w:tcPr>
                <w:p w14:paraId="532EDBD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ascii="Times New Roman" w:hAnsi="Times New Roman" w:eastAsia="宋体" w:cs="Times New Roman"/>
                      <w:color w:val="auto"/>
                      <w:spacing w:val="0"/>
                      <w:sz w:val="18"/>
                      <w:szCs w:val="18"/>
                      <w:highlight w:val="none"/>
                      <w:lang w:val="en-US" w:eastAsia="zh-CN"/>
                    </w:rPr>
                  </w:pPr>
                </w:p>
              </w:tc>
              <w:tc>
                <w:tcPr>
                  <w:tcW w:w="945" w:type="dxa"/>
                  <w:tcBorders>
                    <w:tl2br w:val="nil"/>
                    <w:tr2bl w:val="nil"/>
                  </w:tcBorders>
                  <w:noWrap w:val="0"/>
                  <w:vAlign w:val="center"/>
                </w:tcPr>
                <w:p w14:paraId="4602ABFE">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车间除尘风机</w:t>
                  </w:r>
                </w:p>
              </w:tc>
              <w:tc>
                <w:tcPr>
                  <w:tcW w:w="739" w:type="dxa"/>
                  <w:tcBorders>
                    <w:tl2br w:val="nil"/>
                    <w:tr2bl w:val="nil"/>
                  </w:tcBorders>
                  <w:noWrap w:val="0"/>
                  <w:vAlign w:val="center"/>
                </w:tcPr>
                <w:p w14:paraId="6488D07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85</w:t>
                  </w:r>
                </w:p>
              </w:tc>
              <w:tc>
                <w:tcPr>
                  <w:tcW w:w="604" w:type="dxa"/>
                  <w:vMerge w:val="continue"/>
                  <w:tcBorders>
                    <w:tl2br w:val="nil"/>
                    <w:tr2bl w:val="nil"/>
                  </w:tcBorders>
                  <w:noWrap w:val="0"/>
                  <w:vAlign w:val="center"/>
                </w:tcPr>
                <w:p w14:paraId="05B53E44">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rPr>
                  </w:pPr>
                </w:p>
              </w:tc>
              <w:tc>
                <w:tcPr>
                  <w:tcW w:w="513" w:type="dxa"/>
                  <w:tcBorders>
                    <w:tl2br w:val="nil"/>
                    <w:tr2bl w:val="nil"/>
                  </w:tcBorders>
                  <w:noWrap w:val="0"/>
                  <w:vAlign w:val="center"/>
                </w:tcPr>
                <w:p w14:paraId="51A9F61E">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-31</w:t>
                  </w:r>
                </w:p>
              </w:tc>
              <w:tc>
                <w:tcPr>
                  <w:tcW w:w="537" w:type="dxa"/>
                  <w:tcBorders>
                    <w:tl2br w:val="nil"/>
                    <w:tr2bl w:val="nil"/>
                  </w:tcBorders>
                  <w:noWrap w:val="0"/>
                  <w:vAlign w:val="center"/>
                </w:tcPr>
                <w:p w14:paraId="3F143948">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1.5</w:t>
                  </w:r>
                </w:p>
              </w:tc>
              <w:tc>
                <w:tcPr>
                  <w:tcW w:w="503" w:type="dxa"/>
                  <w:tcBorders>
                    <w:tl2br w:val="nil"/>
                    <w:tr2bl w:val="nil"/>
                  </w:tcBorders>
                  <w:noWrap w:val="0"/>
                  <w:vAlign w:val="center"/>
                </w:tcPr>
                <w:p w14:paraId="2275092D">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s="Times New Roman"/>
                      <w:bCs/>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670" w:type="dxa"/>
                  <w:tcBorders>
                    <w:tl2br w:val="nil"/>
                    <w:tr2bl w:val="nil"/>
                  </w:tcBorders>
                  <w:noWrap w:val="0"/>
                  <w:vAlign w:val="center"/>
                </w:tcPr>
                <w:p w14:paraId="101877BE">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11</w:t>
                  </w:r>
                </w:p>
              </w:tc>
              <w:tc>
                <w:tcPr>
                  <w:tcW w:w="736" w:type="dxa"/>
                  <w:tcBorders>
                    <w:tl2br w:val="nil"/>
                    <w:tr2bl w:val="nil"/>
                  </w:tcBorders>
                  <w:noWrap w:val="0"/>
                  <w:vAlign w:val="center"/>
                </w:tcPr>
                <w:p w14:paraId="3BEF70C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62.85</w:t>
                  </w:r>
                </w:p>
              </w:tc>
              <w:tc>
                <w:tcPr>
                  <w:tcW w:w="523" w:type="dxa"/>
                  <w:vMerge w:val="continue"/>
                  <w:tcBorders>
                    <w:tl2br w:val="nil"/>
                    <w:tr2bl w:val="nil"/>
                  </w:tcBorders>
                  <w:noWrap w:val="0"/>
                  <w:vAlign w:val="center"/>
                </w:tcPr>
                <w:p w14:paraId="18B3E015">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241C86F3">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36A3CD3B">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41.85</w:t>
                  </w:r>
                </w:p>
              </w:tc>
              <w:tc>
                <w:tcPr>
                  <w:tcW w:w="691" w:type="dxa"/>
                  <w:tcBorders>
                    <w:tl2br w:val="nil"/>
                    <w:tr2bl w:val="nil"/>
                  </w:tcBorders>
                  <w:noWrap w:val="0"/>
                  <w:vAlign w:val="center"/>
                </w:tcPr>
                <w:p w14:paraId="2DE23DD6">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5035A83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159AEE94">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11</w:t>
                  </w:r>
                </w:p>
              </w:tc>
              <w:tc>
                <w:tcPr>
                  <w:tcW w:w="435" w:type="dxa"/>
                  <w:vMerge w:val="continue"/>
                  <w:tcBorders>
                    <w:tl2br w:val="nil"/>
                    <w:tr2bl w:val="nil"/>
                  </w:tcBorders>
                  <w:noWrap w:val="0"/>
                  <w:vAlign w:val="center"/>
                </w:tcPr>
                <w:p w14:paraId="763332C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ascii="Times New Roman" w:hAnsi="Times New Roman" w:eastAsia="宋体" w:cs="Times New Roman"/>
                      <w:color w:val="auto"/>
                      <w:spacing w:val="0"/>
                      <w:sz w:val="18"/>
                      <w:szCs w:val="18"/>
                      <w:highlight w:val="none"/>
                      <w:lang w:val="en-US" w:eastAsia="zh-CN"/>
                    </w:rPr>
                  </w:pPr>
                </w:p>
              </w:tc>
              <w:tc>
                <w:tcPr>
                  <w:tcW w:w="945" w:type="dxa"/>
                  <w:tcBorders>
                    <w:tl2br w:val="nil"/>
                    <w:tr2bl w:val="nil"/>
                  </w:tcBorders>
                  <w:noWrap w:val="0"/>
                  <w:vAlign w:val="center"/>
                </w:tcPr>
                <w:p w14:paraId="59C550AA">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输送机</w:t>
                  </w:r>
                </w:p>
              </w:tc>
              <w:tc>
                <w:tcPr>
                  <w:tcW w:w="739" w:type="dxa"/>
                  <w:tcBorders>
                    <w:tl2br w:val="nil"/>
                    <w:tr2bl w:val="nil"/>
                  </w:tcBorders>
                  <w:noWrap w:val="0"/>
                  <w:vAlign w:val="center"/>
                </w:tcPr>
                <w:p w14:paraId="1BD3A2B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60</w:t>
                  </w:r>
                </w:p>
              </w:tc>
              <w:tc>
                <w:tcPr>
                  <w:tcW w:w="604" w:type="dxa"/>
                  <w:vMerge w:val="continue"/>
                  <w:tcBorders>
                    <w:tl2br w:val="nil"/>
                    <w:tr2bl w:val="nil"/>
                  </w:tcBorders>
                  <w:noWrap w:val="0"/>
                  <w:vAlign w:val="center"/>
                </w:tcPr>
                <w:p w14:paraId="7168FB0B">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rPr>
                  </w:pPr>
                </w:p>
              </w:tc>
              <w:tc>
                <w:tcPr>
                  <w:tcW w:w="513" w:type="dxa"/>
                  <w:tcBorders>
                    <w:tl2br w:val="nil"/>
                    <w:tr2bl w:val="nil"/>
                  </w:tcBorders>
                  <w:noWrap w:val="0"/>
                  <w:vAlign w:val="center"/>
                </w:tcPr>
                <w:p w14:paraId="5809FF5C">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-35</w:t>
                  </w:r>
                </w:p>
              </w:tc>
              <w:tc>
                <w:tcPr>
                  <w:tcW w:w="537" w:type="dxa"/>
                  <w:tcBorders>
                    <w:tl2br w:val="nil"/>
                    <w:tr2bl w:val="nil"/>
                  </w:tcBorders>
                  <w:noWrap w:val="0"/>
                  <w:vAlign w:val="center"/>
                </w:tcPr>
                <w:p w14:paraId="0798B01A">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w:t>
                  </w:r>
                </w:p>
              </w:tc>
              <w:tc>
                <w:tcPr>
                  <w:tcW w:w="503" w:type="dxa"/>
                  <w:tcBorders>
                    <w:tl2br w:val="nil"/>
                    <w:tr2bl w:val="nil"/>
                  </w:tcBorders>
                  <w:noWrap w:val="0"/>
                  <w:vAlign w:val="center"/>
                </w:tcPr>
                <w:p w14:paraId="712BCD0D">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s="Times New Roman"/>
                      <w:bCs/>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w:t>
                  </w:r>
                </w:p>
              </w:tc>
              <w:tc>
                <w:tcPr>
                  <w:tcW w:w="670" w:type="dxa"/>
                  <w:tcBorders>
                    <w:tl2br w:val="nil"/>
                    <w:tr2bl w:val="nil"/>
                  </w:tcBorders>
                  <w:noWrap w:val="0"/>
                  <w:vAlign w:val="center"/>
                </w:tcPr>
                <w:p w14:paraId="6B055986">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12</w:t>
                  </w:r>
                </w:p>
              </w:tc>
              <w:tc>
                <w:tcPr>
                  <w:tcW w:w="736" w:type="dxa"/>
                  <w:tcBorders>
                    <w:tl2br w:val="nil"/>
                    <w:tr2bl w:val="nil"/>
                  </w:tcBorders>
                  <w:noWrap w:val="0"/>
                  <w:vAlign w:val="center"/>
                </w:tcPr>
                <w:p w14:paraId="760BBCE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45.84</w:t>
                  </w:r>
                </w:p>
              </w:tc>
              <w:tc>
                <w:tcPr>
                  <w:tcW w:w="523" w:type="dxa"/>
                  <w:vMerge w:val="continue"/>
                  <w:tcBorders>
                    <w:tl2br w:val="nil"/>
                    <w:tr2bl w:val="nil"/>
                  </w:tcBorders>
                  <w:noWrap w:val="0"/>
                  <w:vAlign w:val="center"/>
                </w:tcPr>
                <w:p w14:paraId="085F384A">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54923F73">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6607A8F2">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24.84</w:t>
                  </w:r>
                </w:p>
              </w:tc>
              <w:tc>
                <w:tcPr>
                  <w:tcW w:w="691" w:type="dxa"/>
                  <w:tcBorders>
                    <w:tl2br w:val="nil"/>
                    <w:tr2bl w:val="nil"/>
                  </w:tcBorders>
                  <w:noWrap w:val="0"/>
                  <w:vAlign w:val="center"/>
                </w:tcPr>
                <w:p w14:paraId="103A2B45">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2ADCD73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76422F88">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12</w:t>
                  </w:r>
                </w:p>
              </w:tc>
              <w:tc>
                <w:tcPr>
                  <w:tcW w:w="435" w:type="dxa"/>
                  <w:vMerge w:val="restart"/>
                  <w:tcBorders>
                    <w:tl2br w:val="nil"/>
                    <w:tr2bl w:val="nil"/>
                  </w:tcBorders>
                  <w:noWrap w:val="0"/>
                  <w:vAlign w:val="center"/>
                </w:tcPr>
                <w:p w14:paraId="15C35D6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ascii="Times New Roman" w:hAnsi="Times New Roman" w:eastAsia="宋体"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2号生产车间</w:t>
                  </w:r>
                </w:p>
              </w:tc>
              <w:tc>
                <w:tcPr>
                  <w:tcW w:w="945" w:type="dxa"/>
                  <w:tcBorders>
                    <w:tl2br w:val="nil"/>
                    <w:tr2bl w:val="nil"/>
                  </w:tcBorders>
                  <w:shd w:val="clear" w:color="auto" w:fill="auto"/>
                  <w:noWrap w:val="0"/>
                  <w:vAlign w:val="center"/>
                </w:tcPr>
                <w:p w14:paraId="77F1455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投料筛分</w:t>
                  </w:r>
                </w:p>
              </w:tc>
              <w:tc>
                <w:tcPr>
                  <w:tcW w:w="739" w:type="dxa"/>
                  <w:tcBorders>
                    <w:tl2br w:val="nil"/>
                    <w:tr2bl w:val="nil"/>
                  </w:tcBorders>
                  <w:shd w:val="clear" w:color="auto" w:fill="auto"/>
                  <w:noWrap w:val="0"/>
                  <w:vAlign w:val="center"/>
                </w:tcPr>
                <w:p w14:paraId="4493DF88">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70</w:t>
                  </w:r>
                </w:p>
              </w:tc>
              <w:tc>
                <w:tcPr>
                  <w:tcW w:w="604" w:type="dxa"/>
                  <w:vMerge w:val="restart"/>
                  <w:tcBorders>
                    <w:tl2br w:val="nil"/>
                    <w:tr2bl w:val="nil"/>
                  </w:tcBorders>
                  <w:shd w:val="clear" w:color="auto" w:fill="auto"/>
                  <w:noWrap w:val="0"/>
                  <w:vAlign w:val="center"/>
                </w:tcPr>
                <w:p w14:paraId="29902D6A">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低噪声设备、厂房隔声、基础减振</w:t>
                  </w:r>
                </w:p>
              </w:tc>
              <w:tc>
                <w:tcPr>
                  <w:tcW w:w="513" w:type="dxa"/>
                  <w:tcBorders>
                    <w:tl2br w:val="nil"/>
                    <w:tr2bl w:val="nil"/>
                  </w:tcBorders>
                  <w:shd w:val="clear" w:color="auto" w:fill="auto"/>
                  <w:noWrap w:val="0"/>
                  <w:vAlign w:val="center"/>
                </w:tcPr>
                <w:p w14:paraId="06E0B043">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-15</w:t>
                  </w:r>
                </w:p>
              </w:tc>
              <w:tc>
                <w:tcPr>
                  <w:tcW w:w="537" w:type="dxa"/>
                  <w:tcBorders>
                    <w:tl2br w:val="nil"/>
                    <w:tr2bl w:val="nil"/>
                  </w:tcBorders>
                  <w:noWrap w:val="0"/>
                  <w:vAlign w:val="center"/>
                </w:tcPr>
                <w:p w14:paraId="07DE1BD0">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34</w:t>
                  </w:r>
                </w:p>
              </w:tc>
              <w:tc>
                <w:tcPr>
                  <w:tcW w:w="503" w:type="dxa"/>
                  <w:tcBorders>
                    <w:tl2br w:val="nil"/>
                    <w:tr2bl w:val="nil"/>
                  </w:tcBorders>
                  <w:noWrap w:val="0"/>
                  <w:vAlign w:val="center"/>
                </w:tcPr>
                <w:p w14:paraId="50F1297B">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s="Times New Roman"/>
                      <w:bCs/>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4</w:t>
                  </w:r>
                </w:p>
              </w:tc>
              <w:tc>
                <w:tcPr>
                  <w:tcW w:w="670" w:type="dxa"/>
                  <w:tcBorders>
                    <w:tl2br w:val="nil"/>
                    <w:tr2bl w:val="nil"/>
                  </w:tcBorders>
                  <w:noWrap w:val="0"/>
                  <w:vAlign w:val="center"/>
                </w:tcPr>
                <w:p w14:paraId="263BEA97">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6</w:t>
                  </w:r>
                </w:p>
              </w:tc>
              <w:tc>
                <w:tcPr>
                  <w:tcW w:w="736" w:type="dxa"/>
                  <w:tcBorders>
                    <w:tl2br w:val="nil"/>
                    <w:tr2bl w:val="nil"/>
                  </w:tcBorders>
                  <w:noWrap w:val="0"/>
                  <w:vAlign w:val="center"/>
                </w:tcPr>
                <w:p w14:paraId="40AE4C33">
                  <w:pPr>
                    <w:keepNext w:val="0"/>
                    <w:keepLines w:val="0"/>
                    <w:pageBreakBefore w:val="0"/>
                    <w:suppressLineNumbers w:val="0"/>
                    <w:kinsoku/>
                    <w:wordWrap/>
                    <w:overflowPunct/>
                    <w:topLinePunct w:val="0"/>
                    <w:autoSpaceDE/>
                    <w:autoSpaceDN/>
                    <w:bidi w:val="0"/>
                    <w:adjustRightInd w:val="0"/>
                    <w:spacing w:before="0" w:beforeAutospacing="0" w:after="0" w:afterAutospacing="0"/>
                    <w:ind w:left="0" w:leftChars="0" w:right="0" w:rightChars="0" w:firstLine="0" w:firstLineChars="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48.23</w:t>
                  </w:r>
                </w:p>
              </w:tc>
              <w:tc>
                <w:tcPr>
                  <w:tcW w:w="523" w:type="dxa"/>
                  <w:vMerge w:val="continue"/>
                  <w:tcBorders>
                    <w:tl2br w:val="nil"/>
                    <w:tr2bl w:val="nil"/>
                  </w:tcBorders>
                  <w:noWrap w:val="0"/>
                  <w:vAlign w:val="center"/>
                </w:tcPr>
                <w:p w14:paraId="4CE6D36C">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692EDA63">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ascii="Times New Roman" w:hAnsi="Times New Roman" w:eastAsia="宋体"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3B9DE145">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27.23</w:t>
                  </w:r>
                </w:p>
              </w:tc>
              <w:tc>
                <w:tcPr>
                  <w:tcW w:w="691" w:type="dxa"/>
                  <w:tcBorders>
                    <w:tl2br w:val="nil"/>
                    <w:tr2bl w:val="nil"/>
                  </w:tcBorders>
                  <w:noWrap w:val="0"/>
                  <w:vAlign w:val="center"/>
                </w:tcPr>
                <w:p w14:paraId="2769B950">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0E74EAD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4AA13BD6">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13</w:t>
                  </w:r>
                </w:p>
              </w:tc>
              <w:tc>
                <w:tcPr>
                  <w:tcW w:w="435" w:type="dxa"/>
                  <w:vMerge w:val="continue"/>
                  <w:tcBorders>
                    <w:tl2br w:val="nil"/>
                    <w:tr2bl w:val="nil"/>
                  </w:tcBorders>
                  <w:noWrap w:val="0"/>
                  <w:vAlign w:val="center"/>
                </w:tcPr>
                <w:p w14:paraId="44E335D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default" w:ascii="Times New Roman" w:hAnsi="Times New Roman" w:eastAsia="宋体" w:cs="Times New Roman"/>
                      <w:color w:val="auto"/>
                      <w:spacing w:val="0"/>
                      <w:sz w:val="18"/>
                      <w:szCs w:val="18"/>
                      <w:highlight w:val="none"/>
                      <w:lang w:val="en-US" w:eastAsia="zh-CN"/>
                    </w:rPr>
                  </w:pPr>
                </w:p>
              </w:tc>
              <w:tc>
                <w:tcPr>
                  <w:tcW w:w="945" w:type="dxa"/>
                  <w:tcBorders>
                    <w:tl2br w:val="nil"/>
                    <w:tr2bl w:val="nil"/>
                  </w:tcBorders>
                  <w:shd w:val="clear" w:color="auto" w:fill="auto"/>
                  <w:noWrap w:val="0"/>
                  <w:vAlign w:val="center"/>
                </w:tcPr>
                <w:p w14:paraId="2C85B4F4">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olor w:val="auto"/>
                      <w:sz w:val="18"/>
                      <w:szCs w:val="18"/>
                      <w:highlight w:val="none"/>
                      <w:lang w:val="en-US" w:eastAsia="zh-CN"/>
                    </w:rPr>
                    <w:t>输送机</w:t>
                  </w:r>
                </w:p>
              </w:tc>
              <w:tc>
                <w:tcPr>
                  <w:tcW w:w="739" w:type="dxa"/>
                  <w:tcBorders>
                    <w:tl2br w:val="nil"/>
                    <w:tr2bl w:val="nil"/>
                  </w:tcBorders>
                  <w:shd w:val="clear" w:color="auto" w:fill="auto"/>
                  <w:noWrap w:val="0"/>
                  <w:vAlign w:val="center"/>
                </w:tcPr>
                <w:p w14:paraId="3AA23A71">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60</w:t>
                  </w:r>
                </w:p>
              </w:tc>
              <w:tc>
                <w:tcPr>
                  <w:tcW w:w="604" w:type="dxa"/>
                  <w:vMerge w:val="continue"/>
                  <w:tcBorders>
                    <w:tl2br w:val="nil"/>
                    <w:tr2bl w:val="nil"/>
                  </w:tcBorders>
                  <w:noWrap w:val="0"/>
                  <w:vAlign w:val="center"/>
                </w:tcPr>
                <w:p w14:paraId="662CB8CF">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olor w:val="auto"/>
                      <w:sz w:val="18"/>
                      <w:szCs w:val="18"/>
                      <w:highlight w:val="none"/>
                    </w:rPr>
                  </w:pPr>
                </w:p>
              </w:tc>
              <w:tc>
                <w:tcPr>
                  <w:tcW w:w="513" w:type="dxa"/>
                  <w:tcBorders>
                    <w:tl2br w:val="nil"/>
                    <w:tr2bl w:val="nil"/>
                  </w:tcBorders>
                  <w:noWrap w:val="0"/>
                  <w:vAlign w:val="center"/>
                </w:tcPr>
                <w:p w14:paraId="26467F5A">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-14</w:t>
                  </w:r>
                </w:p>
              </w:tc>
              <w:tc>
                <w:tcPr>
                  <w:tcW w:w="537" w:type="dxa"/>
                  <w:tcBorders>
                    <w:tl2br w:val="nil"/>
                    <w:tr2bl w:val="nil"/>
                  </w:tcBorders>
                  <w:noWrap w:val="0"/>
                  <w:vAlign w:val="center"/>
                </w:tcPr>
                <w:p w14:paraId="74393428">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29</w:t>
                  </w:r>
                </w:p>
              </w:tc>
              <w:tc>
                <w:tcPr>
                  <w:tcW w:w="503" w:type="dxa"/>
                  <w:tcBorders>
                    <w:tl2br w:val="nil"/>
                    <w:tr2bl w:val="nil"/>
                  </w:tcBorders>
                  <w:noWrap w:val="0"/>
                  <w:vAlign w:val="center"/>
                </w:tcPr>
                <w:p w14:paraId="20181C5D">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s="Times New Roman"/>
                      <w:bCs/>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w:t>
                  </w:r>
                </w:p>
              </w:tc>
              <w:tc>
                <w:tcPr>
                  <w:tcW w:w="670" w:type="dxa"/>
                  <w:tcBorders>
                    <w:tl2br w:val="nil"/>
                    <w:tr2bl w:val="nil"/>
                  </w:tcBorders>
                  <w:noWrap w:val="0"/>
                  <w:vAlign w:val="center"/>
                </w:tcPr>
                <w:p w14:paraId="2ADEF00B">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w:t>
                  </w:r>
                </w:p>
              </w:tc>
              <w:tc>
                <w:tcPr>
                  <w:tcW w:w="736" w:type="dxa"/>
                  <w:tcBorders>
                    <w:tl2br w:val="nil"/>
                    <w:tr2bl w:val="nil"/>
                  </w:tcBorders>
                  <w:noWrap w:val="0"/>
                  <w:vAlign w:val="center"/>
                </w:tcPr>
                <w:p w14:paraId="1447BFB2">
                  <w:pPr>
                    <w:keepNext w:val="0"/>
                    <w:keepLines w:val="0"/>
                    <w:pageBreakBefore w:val="0"/>
                    <w:suppressLineNumbers w:val="0"/>
                    <w:kinsoku/>
                    <w:wordWrap/>
                    <w:overflowPunct/>
                    <w:topLinePunct w:val="0"/>
                    <w:autoSpaceDE/>
                    <w:autoSpaceDN/>
                    <w:bidi w:val="0"/>
                    <w:adjustRightInd w:val="0"/>
                    <w:spacing w:before="0" w:beforeAutospacing="0" w:after="0" w:afterAutospacing="0"/>
                    <w:ind w:left="0" w:leftChars="0" w:right="0" w:rightChars="0" w:firstLine="0" w:firstLineChars="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46.1</w:t>
                  </w:r>
                </w:p>
              </w:tc>
              <w:tc>
                <w:tcPr>
                  <w:tcW w:w="523" w:type="dxa"/>
                  <w:vMerge w:val="continue"/>
                  <w:tcBorders>
                    <w:tl2br w:val="nil"/>
                    <w:tr2bl w:val="nil"/>
                  </w:tcBorders>
                  <w:noWrap w:val="0"/>
                  <w:vAlign w:val="center"/>
                </w:tcPr>
                <w:p w14:paraId="54290B05">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3B8B39AD">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534CE0EF">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25.1</w:t>
                  </w:r>
                </w:p>
              </w:tc>
              <w:tc>
                <w:tcPr>
                  <w:tcW w:w="691" w:type="dxa"/>
                  <w:tcBorders>
                    <w:tl2br w:val="nil"/>
                    <w:tr2bl w:val="nil"/>
                  </w:tcBorders>
                  <w:noWrap w:val="0"/>
                  <w:vAlign w:val="center"/>
                </w:tcPr>
                <w:p w14:paraId="14F1EE8F">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4BE2F72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7D1ADB96">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14</w:t>
                  </w:r>
                </w:p>
              </w:tc>
              <w:tc>
                <w:tcPr>
                  <w:tcW w:w="435" w:type="dxa"/>
                  <w:vMerge w:val="continue"/>
                  <w:tcBorders>
                    <w:tl2br w:val="nil"/>
                    <w:tr2bl w:val="nil"/>
                  </w:tcBorders>
                  <w:noWrap w:val="0"/>
                  <w:vAlign w:val="center"/>
                </w:tcPr>
                <w:p w14:paraId="43B36DB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eastAsia" w:ascii="宋体" w:hAnsi="宋体" w:eastAsia="宋体" w:cs="宋体"/>
                      <w:bCs/>
                      <w:color w:val="auto"/>
                      <w:kern w:val="0"/>
                      <w:sz w:val="18"/>
                      <w:szCs w:val="18"/>
                      <w:highlight w:val="none"/>
                      <w:lang w:val="en-US" w:eastAsia="zh-CN"/>
                    </w:rPr>
                  </w:pPr>
                </w:p>
              </w:tc>
              <w:tc>
                <w:tcPr>
                  <w:tcW w:w="945" w:type="dxa"/>
                  <w:tcBorders>
                    <w:tl2br w:val="nil"/>
                    <w:tr2bl w:val="nil"/>
                  </w:tcBorders>
                  <w:shd w:val="clear" w:color="auto" w:fill="auto"/>
                  <w:noWrap w:val="0"/>
                  <w:vAlign w:val="center"/>
                </w:tcPr>
                <w:p w14:paraId="51DE9ED3">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olor w:val="auto"/>
                      <w:sz w:val="18"/>
                      <w:szCs w:val="18"/>
                      <w:highlight w:val="none"/>
                      <w:lang w:val="en-US" w:eastAsia="zh-CN"/>
                    </w:rPr>
                    <w:t>粗破机</w:t>
                  </w:r>
                </w:p>
              </w:tc>
              <w:tc>
                <w:tcPr>
                  <w:tcW w:w="739" w:type="dxa"/>
                  <w:tcBorders>
                    <w:tl2br w:val="nil"/>
                    <w:tr2bl w:val="nil"/>
                  </w:tcBorders>
                  <w:shd w:val="clear" w:color="auto" w:fill="auto"/>
                  <w:noWrap w:val="0"/>
                  <w:vAlign w:val="center"/>
                </w:tcPr>
                <w:p w14:paraId="4A431883">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80</w:t>
                  </w:r>
                </w:p>
              </w:tc>
              <w:tc>
                <w:tcPr>
                  <w:tcW w:w="604" w:type="dxa"/>
                  <w:vMerge w:val="continue"/>
                  <w:tcBorders>
                    <w:tl2br w:val="nil"/>
                    <w:tr2bl w:val="nil"/>
                  </w:tcBorders>
                  <w:noWrap w:val="0"/>
                  <w:vAlign w:val="center"/>
                </w:tcPr>
                <w:p w14:paraId="1F158C14">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olor w:val="auto"/>
                      <w:sz w:val="18"/>
                      <w:szCs w:val="18"/>
                      <w:highlight w:val="none"/>
                    </w:rPr>
                  </w:pPr>
                </w:p>
              </w:tc>
              <w:tc>
                <w:tcPr>
                  <w:tcW w:w="513" w:type="dxa"/>
                  <w:tcBorders>
                    <w:tl2br w:val="nil"/>
                    <w:tr2bl w:val="nil"/>
                  </w:tcBorders>
                  <w:noWrap w:val="0"/>
                  <w:vAlign w:val="center"/>
                </w:tcPr>
                <w:p w14:paraId="2D0AC41B">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-14</w:t>
                  </w:r>
                </w:p>
              </w:tc>
              <w:tc>
                <w:tcPr>
                  <w:tcW w:w="537" w:type="dxa"/>
                  <w:tcBorders>
                    <w:tl2br w:val="nil"/>
                    <w:tr2bl w:val="nil"/>
                  </w:tcBorders>
                  <w:noWrap w:val="0"/>
                  <w:vAlign w:val="center"/>
                </w:tcPr>
                <w:p w14:paraId="52EE7236">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26</w:t>
                  </w:r>
                </w:p>
              </w:tc>
              <w:tc>
                <w:tcPr>
                  <w:tcW w:w="503" w:type="dxa"/>
                  <w:tcBorders>
                    <w:tl2br w:val="nil"/>
                    <w:tr2bl w:val="nil"/>
                  </w:tcBorders>
                  <w:noWrap w:val="0"/>
                  <w:vAlign w:val="center"/>
                </w:tcPr>
                <w:p w14:paraId="65B6F0B7">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670" w:type="dxa"/>
                  <w:tcBorders>
                    <w:tl2br w:val="nil"/>
                    <w:tr2bl w:val="nil"/>
                  </w:tcBorders>
                  <w:noWrap w:val="0"/>
                  <w:vAlign w:val="center"/>
                </w:tcPr>
                <w:p w14:paraId="43D9010E">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13</w:t>
                  </w:r>
                </w:p>
              </w:tc>
              <w:tc>
                <w:tcPr>
                  <w:tcW w:w="736" w:type="dxa"/>
                  <w:tcBorders>
                    <w:tl2br w:val="nil"/>
                    <w:tr2bl w:val="nil"/>
                  </w:tcBorders>
                  <w:noWrap w:val="0"/>
                  <w:vAlign w:val="center"/>
                </w:tcPr>
                <w:p w14:paraId="1F9E723B">
                  <w:pPr>
                    <w:keepNext w:val="0"/>
                    <w:keepLines w:val="0"/>
                    <w:pageBreakBefore w:val="0"/>
                    <w:suppressLineNumbers w:val="0"/>
                    <w:kinsoku/>
                    <w:wordWrap/>
                    <w:overflowPunct/>
                    <w:topLinePunct w:val="0"/>
                    <w:autoSpaceDE/>
                    <w:autoSpaceDN/>
                    <w:bidi w:val="0"/>
                    <w:adjustRightInd w:val="0"/>
                    <w:spacing w:before="0" w:beforeAutospacing="0" w:after="0" w:afterAutospacing="0"/>
                    <w:ind w:left="0" w:leftChars="0" w:right="0" w:rightChars="0" w:firstLine="0" w:firstLineChars="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58.05</w:t>
                  </w:r>
                </w:p>
              </w:tc>
              <w:tc>
                <w:tcPr>
                  <w:tcW w:w="523" w:type="dxa"/>
                  <w:vMerge w:val="continue"/>
                  <w:tcBorders>
                    <w:tl2br w:val="nil"/>
                    <w:tr2bl w:val="nil"/>
                  </w:tcBorders>
                  <w:noWrap w:val="0"/>
                  <w:vAlign w:val="center"/>
                </w:tcPr>
                <w:p w14:paraId="078EFEE9">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03248815">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654DAED5">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37.05</w:t>
                  </w:r>
                </w:p>
              </w:tc>
              <w:tc>
                <w:tcPr>
                  <w:tcW w:w="691" w:type="dxa"/>
                  <w:tcBorders>
                    <w:tl2br w:val="nil"/>
                    <w:tr2bl w:val="nil"/>
                  </w:tcBorders>
                  <w:noWrap w:val="0"/>
                  <w:vAlign w:val="center"/>
                </w:tcPr>
                <w:p w14:paraId="2F020C64">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4E71FFD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482DB5BB">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15</w:t>
                  </w:r>
                </w:p>
              </w:tc>
              <w:tc>
                <w:tcPr>
                  <w:tcW w:w="435" w:type="dxa"/>
                  <w:vMerge w:val="continue"/>
                  <w:tcBorders>
                    <w:tl2br w:val="nil"/>
                    <w:tr2bl w:val="nil"/>
                  </w:tcBorders>
                  <w:noWrap w:val="0"/>
                  <w:vAlign w:val="center"/>
                </w:tcPr>
                <w:p w14:paraId="114F64F4">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eastAsia" w:ascii="宋体" w:hAnsi="宋体" w:eastAsia="宋体" w:cs="宋体"/>
                      <w:bCs/>
                      <w:color w:val="auto"/>
                      <w:kern w:val="0"/>
                      <w:sz w:val="18"/>
                      <w:szCs w:val="18"/>
                      <w:highlight w:val="none"/>
                      <w:lang w:val="en-US" w:eastAsia="zh-CN"/>
                    </w:rPr>
                  </w:pPr>
                </w:p>
              </w:tc>
              <w:tc>
                <w:tcPr>
                  <w:tcW w:w="945" w:type="dxa"/>
                  <w:tcBorders>
                    <w:tl2br w:val="nil"/>
                    <w:tr2bl w:val="nil"/>
                  </w:tcBorders>
                  <w:shd w:val="clear" w:color="auto" w:fill="auto"/>
                  <w:noWrap w:val="0"/>
                  <w:vAlign w:val="center"/>
                </w:tcPr>
                <w:p w14:paraId="5BEB5872">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输送机</w:t>
                  </w:r>
                </w:p>
              </w:tc>
              <w:tc>
                <w:tcPr>
                  <w:tcW w:w="739" w:type="dxa"/>
                  <w:tcBorders>
                    <w:tl2br w:val="nil"/>
                    <w:tr2bl w:val="nil"/>
                  </w:tcBorders>
                  <w:shd w:val="clear" w:color="auto" w:fill="auto"/>
                  <w:noWrap w:val="0"/>
                  <w:vAlign w:val="center"/>
                </w:tcPr>
                <w:p w14:paraId="51BC1055">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60</w:t>
                  </w:r>
                </w:p>
              </w:tc>
              <w:tc>
                <w:tcPr>
                  <w:tcW w:w="604" w:type="dxa"/>
                  <w:vMerge w:val="continue"/>
                  <w:tcBorders>
                    <w:tl2br w:val="nil"/>
                    <w:tr2bl w:val="nil"/>
                  </w:tcBorders>
                  <w:noWrap w:val="0"/>
                  <w:vAlign w:val="center"/>
                </w:tcPr>
                <w:p w14:paraId="6C4E85DE">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olor w:val="auto"/>
                      <w:sz w:val="18"/>
                      <w:szCs w:val="18"/>
                      <w:highlight w:val="none"/>
                    </w:rPr>
                  </w:pPr>
                </w:p>
              </w:tc>
              <w:tc>
                <w:tcPr>
                  <w:tcW w:w="513" w:type="dxa"/>
                  <w:tcBorders>
                    <w:tl2br w:val="nil"/>
                    <w:tr2bl w:val="nil"/>
                  </w:tcBorders>
                  <w:noWrap w:val="0"/>
                  <w:vAlign w:val="center"/>
                </w:tcPr>
                <w:p w14:paraId="0A48387E">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-12</w:t>
                  </w:r>
                </w:p>
              </w:tc>
              <w:tc>
                <w:tcPr>
                  <w:tcW w:w="537" w:type="dxa"/>
                  <w:tcBorders>
                    <w:tl2br w:val="nil"/>
                    <w:tr2bl w:val="nil"/>
                  </w:tcBorders>
                  <w:noWrap w:val="0"/>
                  <w:vAlign w:val="center"/>
                </w:tcPr>
                <w:p w14:paraId="21EE0CF2">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22</w:t>
                  </w:r>
                </w:p>
              </w:tc>
              <w:tc>
                <w:tcPr>
                  <w:tcW w:w="503" w:type="dxa"/>
                  <w:tcBorders>
                    <w:tl2br w:val="nil"/>
                    <w:tr2bl w:val="nil"/>
                  </w:tcBorders>
                  <w:noWrap w:val="0"/>
                  <w:vAlign w:val="center"/>
                </w:tcPr>
                <w:p w14:paraId="1E72393B">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w:t>
                  </w:r>
                </w:p>
              </w:tc>
              <w:tc>
                <w:tcPr>
                  <w:tcW w:w="670" w:type="dxa"/>
                  <w:tcBorders>
                    <w:tl2br w:val="nil"/>
                    <w:tr2bl w:val="nil"/>
                  </w:tcBorders>
                  <w:noWrap w:val="0"/>
                  <w:vAlign w:val="center"/>
                </w:tcPr>
                <w:p w14:paraId="0A6707B9">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17</w:t>
                  </w:r>
                </w:p>
              </w:tc>
              <w:tc>
                <w:tcPr>
                  <w:tcW w:w="736" w:type="dxa"/>
                  <w:tcBorders>
                    <w:tl2br w:val="nil"/>
                    <w:tr2bl w:val="nil"/>
                  </w:tcBorders>
                  <w:noWrap w:val="0"/>
                  <w:vAlign w:val="center"/>
                </w:tcPr>
                <w:p w14:paraId="5E06601A">
                  <w:pPr>
                    <w:keepNext w:val="0"/>
                    <w:keepLines w:val="0"/>
                    <w:pageBreakBefore w:val="0"/>
                    <w:suppressLineNumbers w:val="0"/>
                    <w:kinsoku/>
                    <w:wordWrap/>
                    <w:overflowPunct/>
                    <w:topLinePunct w:val="0"/>
                    <w:autoSpaceDE/>
                    <w:autoSpaceDN/>
                    <w:bidi w:val="0"/>
                    <w:adjustRightInd w:val="0"/>
                    <w:spacing w:before="0" w:beforeAutospacing="0" w:after="0" w:afterAutospacing="0"/>
                    <w:ind w:left="0" w:leftChars="0" w:right="0" w:rightChars="0" w:firstLine="0" w:firstLineChars="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46.03</w:t>
                  </w:r>
                </w:p>
              </w:tc>
              <w:tc>
                <w:tcPr>
                  <w:tcW w:w="523" w:type="dxa"/>
                  <w:vMerge w:val="continue"/>
                  <w:tcBorders>
                    <w:tl2br w:val="nil"/>
                    <w:tr2bl w:val="nil"/>
                  </w:tcBorders>
                  <w:noWrap w:val="0"/>
                  <w:vAlign w:val="center"/>
                </w:tcPr>
                <w:p w14:paraId="770CA6AF">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3D5EF442">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6E520123">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25.03</w:t>
                  </w:r>
                </w:p>
              </w:tc>
              <w:tc>
                <w:tcPr>
                  <w:tcW w:w="691" w:type="dxa"/>
                  <w:tcBorders>
                    <w:tl2br w:val="nil"/>
                    <w:tr2bl w:val="nil"/>
                  </w:tcBorders>
                  <w:noWrap w:val="0"/>
                  <w:vAlign w:val="center"/>
                </w:tcPr>
                <w:p w14:paraId="259E3694">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74E6382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0AD58A66">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16</w:t>
                  </w:r>
                </w:p>
              </w:tc>
              <w:tc>
                <w:tcPr>
                  <w:tcW w:w="435" w:type="dxa"/>
                  <w:vMerge w:val="continue"/>
                  <w:tcBorders>
                    <w:tl2br w:val="nil"/>
                    <w:tr2bl w:val="nil"/>
                  </w:tcBorders>
                  <w:noWrap w:val="0"/>
                  <w:vAlign w:val="center"/>
                </w:tcPr>
                <w:p w14:paraId="3F047A63">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eastAsia" w:ascii="宋体" w:hAnsi="宋体" w:eastAsia="宋体" w:cs="宋体"/>
                      <w:bCs/>
                      <w:color w:val="auto"/>
                      <w:kern w:val="0"/>
                      <w:sz w:val="18"/>
                      <w:szCs w:val="18"/>
                      <w:highlight w:val="none"/>
                      <w:lang w:val="en-US" w:eastAsia="zh-CN"/>
                    </w:rPr>
                  </w:pPr>
                </w:p>
              </w:tc>
              <w:tc>
                <w:tcPr>
                  <w:tcW w:w="945" w:type="dxa"/>
                  <w:tcBorders>
                    <w:tl2br w:val="nil"/>
                    <w:tr2bl w:val="nil"/>
                  </w:tcBorders>
                  <w:shd w:val="clear" w:color="auto" w:fill="auto"/>
                  <w:noWrap w:val="0"/>
                  <w:vAlign w:val="center"/>
                </w:tcPr>
                <w:p w14:paraId="4D42A393">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粉碎机</w:t>
                  </w:r>
                </w:p>
              </w:tc>
              <w:tc>
                <w:tcPr>
                  <w:tcW w:w="739" w:type="dxa"/>
                  <w:tcBorders>
                    <w:tl2br w:val="nil"/>
                    <w:tr2bl w:val="nil"/>
                  </w:tcBorders>
                  <w:shd w:val="clear" w:color="auto" w:fill="auto"/>
                  <w:noWrap w:val="0"/>
                  <w:vAlign w:val="center"/>
                </w:tcPr>
                <w:p w14:paraId="515DC31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85</w:t>
                  </w:r>
                </w:p>
              </w:tc>
              <w:tc>
                <w:tcPr>
                  <w:tcW w:w="604" w:type="dxa"/>
                  <w:vMerge w:val="continue"/>
                  <w:tcBorders>
                    <w:tl2br w:val="nil"/>
                    <w:tr2bl w:val="nil"/>
                  </w:tcBorders>
                  <w:noWrap w:val="0"/>
                  <w:vAlign w:val="center"/>
                </w:tcPr>
                <w:p w14:paraId="1D6F5C9B">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olor w:val="auto"/>
                      <w:sz w:val="18"/>
                      <w:szCs w:val="18"/>
                      <w:highlight w:val="none"/>
                    </w:rPr>
                  </w:pPr>
                </w:p>
              </w:tc>
              <w:tc>
                <w:tcPr>
                  <w:tcW w:w="513" w:type="dxa"/>
                  <w:tcBorders>
                    <w:tl2br w:val="nil"/>
                    <w:tr2bl w:val="nil"/>
                  </w:tcBorders>
                  <w:noWrap w:val="0"/>
                  <w:vAlign w:val="center"/>
                </w:tcPr>
                <w:p w14:paraId="5B3CD605">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-12</w:t>
                  </w:r>
                </w:p>
              </w:tc>
              <w:tc>
                <w:tcPr>
                  <w:tcW w:w="537" w:type="dxa"/>
                  <w:tcBorders>
                    <w:tl2br w:val="nil"/>
                    <w:tr2bl w:val="nil"/>
                  </w:tcBorders>
                  <w:noWrap w:val="0"/>
                  <w:vAlign w:val="center"/>
                </w:tcPr>
                <w:p w14:paraId="1F55249A">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19</w:t>
                  </w:r>
                </w:p>
              </w:tc>
              <w:tc>
                <w:tcPr>
                  <w:tcW w:w="503" w:type="dxa"/>
                  <w:tcBorders>
                    <w:tl2br w:val="nil"/>
                    <w:tr2bl w:val="nil"/>
                  </w:tcBorders>
                  <w:noWrap w:val="0"/>
                  <w:vAlign w:val="center"/>
                </w:tcPr>
                <w:p w14:paraId="40575707">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670" w:type="dxa"/>
                  <w:tcBorders>
                    <w:tl2br w:val="nil"/>
                    <w:tr2bl w:val="nil"/>
                  </w:tcBorders>
                  <w:noWrap w:val="0"/>
                  <w:vAlign w:val="center"/>
                </w:tcPr>
                <w:p w14:paraId="651F4024">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20</w:t>
                  </w:r>
                </w:p>
              </w:tc>
              <w:tc>
                <w:tcPr>
                  <w:tcW w:w="736" w:type="dxa"/>
                  <w:tcBorders>
                    <w:tl2br w:val="nil"/>
                    <w:tr2bl w:val="nil"/>
                  </w:tcBorders>
                  <w:noWrap w:val="0"/>
                  <w:vAlign w:val="center"/>
                </w:tcPr>
                <w:p w14:paraId="7F0698A9">
                  <w:pPr>
                    <w:keepNext w:val="0"/>
                    <w:keepLines w:val="0"/>
                    <w:pageBreakBefore w:val="0"/>
                    <w:suppressLineNumbers w:val="0"/>
                    <w:kinsoku/>
                    <w:wordWrap/>
                    <w:overflowPunct/>
                    <w:topLinePunct w:val="0"/>
                    <w:autoSpaceDE/>
                    <w:autoSpaceDN/>
                    <w:bidi w:val="0"/>
                    <w:adjustRightInd w:val="0"/>
                    <w:spacing w:before="0" w:beforeAutospacing="0" w:after="0" w:afterAutospacing="0"/>
                    <w:ind w:left="0" w:leftChars="0" w:right="0" w:rightChars="0" w:firstLine="0" w:firstLineChars="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63.02</w:t>
                  </w:r>
                </w:p>
              </w:tc>
              <w:tc>
                <w:tcPr>
                  <w:tcW w:w="523" w:type="dxa"/>
                  <w:vMerge w:val="continue"/>
                  <w:tcBorders>
                    <w:tl2br w:val="nil"/>
                    <w:tr2bl w:val="nil"/>
                  </w:tcBorders>
                  <w:noWrap w:val="0"/>
                  <w:vAlign w:val="center"/>
                </w:tcPr>
                <w:p w14:paraId="7B5FD329">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3C62093B">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0E054A7A">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42.02</w:t>
                  </w:r>
                </w:p>
              </w:tc>
              <w:tc>
                <w:tcPr>
                  <w:tcW w:w="691" w:type="dxa"/>
                  <w:tcBorders>
                    <w:tl2br w:val="nil"/>
                    <w:tr2bl w:val="nil"/>
                  </w:tcBorders>
                  <w:noWrap w:val="0"/>
                  <w:vAlign w:val="center"/>
                </w:tcPr>
                <w:p w14:paraId="31E06A7D">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24F8604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025E02BD">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17</w:t>
                  </w:r>
                </w:p>
              </w:tc>
              <w:tc>
                <w:tcPr>
                  <w:tcW w:w="435" w:type="dxa"/>
                  <w:vMerge w:val="continue"/>
                  <w:tcBorders>
                    <w:tl2br w:val="nil"/>
                    <w:tr2bl w:val="nil"/>
                  </w:tcBorders>
                  <w:noWrap w:val="0"/>
                  <w:vAlign w:val="center"/>
                </w:tcPr>
                <w:p w14:paraId="159D4A6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eastAsia" w:ascii="宋体" w:hAnsi="宋体" w:eastAsia="宋体" w:cs="宋体"/>
                      <w:bCs/>
                      <w:color w:val="auto"/>
                      <w:kern w:val="0"/>
                      <w:sz w:val="18"/>
                      <w:szCs w:val="18"/>
                      <w:highlight w:val="none"/>
                      <w:lang w:val="en-US" w:eastAsia="zh-CN"/>
                    </w:rPr>
                  </w:pPr>
                </w:p>
              </w:tc>
              <w:tc>
                <w:tcPr>
                  <w:tcW w:w="945" w:type="dxa"/>
                  <w:tcBorders>
                    <w:tl2br w:val="nil"/>
                    <w:tr2bl w:val="nil"/>
                  </w:tcBorders>
                  <w:shd w:val="clear" w:color="auto" w:fill="auto"/>
                  <w:noWrap w:val="0"/>
                  <w:vAlign w:val="center"/>
                </w:tcPr>
                <w:p w14:paraId="029DC823">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输送机</w:t>
                  </w:r>
                </w:p>
              </w:tc>
              <w:tc>
                <w:tcPr>
                  <w:tcW w:w="739" w:type="dxa"/>
                  <w:tcBorders>
                    <w:tl2br w:val="nil"/>
                    <w:tr2bl w:val="nil"/>
                  </w:tcBorders>
                  <w:shd w:val="clear" w:color="auto" w:fill="auto"/>
                  <w:noWrap w:val="0"/>
                  <w:vAlign w:val="center"/>
                </w:tcPr>
                <w:p w14:paraId="2F5CA9B2">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60</w:t>
                  </w:r>
                </w:p>
              </w:tc>
              <w:tc>
                <w:tcPr>
                  <w:tcW w:w="604" w:type="dxa"/>
                  <w:vMerge w:val="continue"/>
                  <w:tcBorders>
                    <w:tl2br w:val="nil"/>
                    <w:tr2bl w:val="nil"/>
                  </w:tcBorders>
                  <w:noWrap w:val="0"/>
                  <w:vAlign w:val="center"/>
                </w:tcPr>
                <w:p w14:paraId="49C1F2A5">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olor w:val="auto"/>
                      <w:sz w:val="18"/>
                      <w:szCs w:val="18"/>
                      <w:highlight w:val="none"/>
                    </w:rPr>
                  </w:pPr>
                </w:p>
              </w:tc>
              <w:tc>
                <w:tcPr>
                  <w:tcW w:w="513" w:type="dxa"/>
                  <w:tcBorders>
                    <w:tl2br w:val="nil"/>
                    <w:tr2bl w:val="nil"/>
                  </w:tcBorders>
                  <w:noWrap w:val="0"/>
                  <w:vAlign w:val="center"/>
                </w:tcPr>
                <w:p w14:paraId="46AC90E2">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-12</w:t>
                  </w:r>
                </w:p>
              </w:tc>
              <w:tc>
                <w:tcPr>
                  <w:tcW w:w="537" w:type="dxa"/>
                  <w:tcBorders>
                    <w:tl2br w:val="nil"/>
                    <w:tr2bl w:val="nil"/>
                  </w:tcBorders>
                  <w:noWrap w:val="0"/>
                  <w:vAlign w:val="center"/>
                </w:tcPr>
                <w:p w14:paraId="702D4F4A">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16</w:t>
                  </w:r>
                </w:p>
              </w:tc>
              <w:tc>
                <w:tcPr>
                  <w:tcW w:w="503" w:type="dxa"/>
                  <w:tcBorders>
                    <w:tl2br w:val="nil"/>
                    <w:tr2bl w:val="nil"/>
                  </w:tcBorders>
                  <w:noWrap w:val="0"/>
                  <w:vAlign w:val="center"/>
                </w:tcPr>
                <w:p w14:paraId="0FF72FF4">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w:t>
                  </w:r>
                </w:p>
              </w:tc>
              <w:tc>
                <w:tcPr>
                  <w:tcW w:w="670" w:type="dxa"/>
                  <w:tcBorders>
                    <w:tl2br w:val="nil"/>
                    <w:tr2bl w:val="nil"/>
                  </w:tcBorders>
                  <w:noWrap w:val="0"/>
                  <w:vAlign w:val="center"/>
                </w:tcPr>
                <w:p w14:paraId="72FAC320">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24</w:t>
                  </w:r>
                </w:p>
              </w:tc>
              <w:tc>
                <w:tcPr>
                  <w:tcW w:w="736" w:type="dxa"/>
                  <w:tcBorders>
                    <w:tl2br w:val="nil"/>
                    <w:tr2bl w:val="nil"/>
                  </w:tcBorders>
                  <w:noWrap w:val="0"/>
                  <w:vAlign w:val="center"/>
                </w:tcPr>
                <w:p w14:paraId="7563875D">
                  <w:pPr>
                    <w:keepNext w:val="0"/>
                    <w:keepLines w:val="0"/>
                    <w:pageBreakBefore w:val="0"/>
                    <w:suppressLineNumbers w:val="0"/>
                    <w:kinsoku/>
                    <w:wordWrap/>
                    <w:overflowPunct/>
                    <w:topLinePunct w:val="0"/>
                    <w:autoSpaceDE/>
                    <w:autoSpaceDN/>
                    <w:bidi w:val="0"/>
                    <w:adjustRightInd w:val="0"/>
                    <w:spacing w:before="0" w:beforeAutospacing="0" w:after="0" w:afterAutospacing="0"/>
                    <w:ind w:left="0" w:leftChars="0" w:right="0" w:rightChars="0" w:firstLine="0" w:firstLineChars="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46.01</w:t>
                  </w:r>
                </w:p>
              </w:tc>
              <w:tc>
                <w:tcPr>
                  <w:tcW w:w="523" w:type="dxa"/>
                  <w:vMerge w:val="continue"/>
                  <w:tcBorders>
                    <w:tl2br w:val="nil"/>
                    <w:tr2bl w:val="nil"/>
                  </w:tcBorders>
                  <w:noWrap w:val="0"/>
                  <w:vAlign w:val="center"/>
                </w:tcPr>
                <w:p w14:paraId="4C2B4777">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26B31687">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eastAsia"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6857D8D5">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25.01</w:t>
                  </w:r>
                </w:p>
              </w:tc>
              <w:tc>
                <w:tcPr>
                  <w:tcW w:w="691" w:type="dxa"/>
                  <w:tcBorders>
                    <w:tl2br w:val="nil"/>
                    <w:tr2bl w:val="nil"/>
                  </w:tcBorders>
                  <w:noWrap w:val="0"/>
                  <w:vAlign w:val="center"/>
                </w:tcPr>
                <w:p w14:paraId="6ED3AAE6">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282A6A1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71E43A82">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18</w:t>
                  </w:r>
                </w:p>
              </w:tc>
              <w:tc>
                <w:tcPr>
                  <w:tcW w:w="435" w:type="dxa"/>
                  <w:vMerge w:val="continue"/>
                  <w:tcBorders>
                    <w:tl2br w:val="nil"/>
                    <w:tr2bl w:val="nil"/>
                  </w:tcBorders>
                  <w:noWrap w:val="0"/>
                  <w:vAlign w:val="center"/>
                </w:tcPr>
                <w:p w14:paraId="018F3EE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eastAsia" w:ascii="宋体" w:hAnsi="宋体" w:eastAsia="宋体" w:cs="宋体"/>
                      <w:bCs/>
                      <w:color w:val="auto"/>
                      <w:kern w:val="0"/>
                      <w:sz w:val="18"/>
                      <w:szCs w:val="18"/>
                      <w:highlight w:val="none"/>
                      <w:lang w:val="en-US" w:eastAsia="zh-CN"/>
                    </w:rPr>
                  </w:pPr>
                </w:p>
              </w:tc>
              <w:tc>
                <w:tcPr>
                  <w:tcW w:w="945" w:type="dxa"/>
                  <w:tcBorders>
                    <w:tl2br w:val="nil"/>
                    <w:tr2bl w:val="nil"/>
                  </w:tcBorders>
                  <w:shd w:val="clear" w:color="auto" w:fill="auto"/>
                  <w:noWrap w:val="0"/>
                  <w:vAlign w:val="center"/>
                </w:tcPr>
                <w:p w14:paraId="7D8D037B">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烘干燃烧除尘风机</w:t>
                  </w:r>
                </w:p>
              </w:tc>
              <w:tc>
                <w:tcPr>
                  <w:tcW w:w="739" w:type="dxa"/>
                  <w:tcBorders>
                    <w:tl2br w:val="nil"/>
                    <w:tr2bl w:val="nil"/>
                  </w:tcBorders>
                  <w:shd w:val="clear" w:color="auto" w:fill="auto"/>
                  <w:noWrap w:val="0"/>
                  <w:vAlign w:val="center"/>
                </w:tcPr>
                <w:p w14:paraId="5835BF9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85</w:t>
                  </w:r>
                </w:p>
              </w:tc>
              <w:tc>
                <w:tcPr>
                  <w:tcW w:w="604" w:type="dxa"/>
                  <w:vMerge w:val="continue"/>
                  <w:tcBorders>
                    <w:tl2br w:val="nil"/>
                    <w:tr2bl w:val="nil"/>
                  </w:tcBorders>
                  <w:noWrap w:val="0"/>
                  <w:vAlign w:val="center"/>
                </w:tcPr>
                <w:p w14:paraId="58FACDB2">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olor w:val="auto"/>
                      <w:sz w:val="18"/>
                      <w:szCs w:val="18"/>
                      <w:highlight w:val="none"/>
                    </w:rPr>
                  </w:pPr>
                </w:p>
              </w:tc>
              <w:tc>
                <w:tcPr>
                  <w:tcW w:w="513" w:type="dxa"/>
                  <w:tcBorders>
                    <w:tl2br w:val="nil"/>
                    <w:tr2bl w:val="nil"/>
                  </w:tcBorders>
                  <w:noWrap w:val="0"/>
                  <w:vAlign w:val="center"/>
                </w:tcPr>
                <w:p w14:paraId="2BF11E3A">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-9</w:t>
                  </w:r>
                </w:p>
              </w:tc>
              <w:tc>
                <w:tcPr>
                  <w:tcW w:w="537" w:type="dxa"/>
                  <w:tcBorders>
                    <w:tl2br w:val="nil"/>
                    <w:tr2bl w:val="nil"/>
                  </w:tcBorders>
                  <w:noWrap w:val="0"/>
                  <w:vAlign w:val="center"/>
                </w:tcPr>
                <w:p w14:paraId="68309793">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32</w:t>
                  </w:r>
                </w:p>
              </w:tc>
              <w:tc>
                <w:tcPr>
                  <w:tcW w:w="503" w:type="dxa"/>
                  <w:tcBorders>
                    <w:tl2br w:val="nil"/>
                    <w:tr2bl w:val="nil"/>
                  </w:tcBorders>
                  <w:noWrap w:val="0"/>
                  <w:vAlign w:val="center"/>
                </w:tcPr>
                <w:p w14:paraId="0F99A201">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670" w:type="dxa"/>
                  <w:tcBorders>
                    <w:tl2br w:val="nil"/>
                    <w:tr2bl w:val="nil"/>
                  </w:tcBorders>
                  <w:noWrap w:val="0"/>
                  <w:vAlign w:val="center"/>
                </w:tcPr>
                <w:p w14:paraId="4BE4F282">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w:t>
                  </w:r>
                </w:p>
              </w:tc>
              <w:tc>
                <w:tcPr>
                  <w:tcW w:w="736" w:type="dxa"/>
                  <w:tcBorders>
                    <w:tl2br w:val="nil"/>
                    <w:tr2bl w:val="nil"/>
                  </w:tcBorders>
                  <w:noWrap w:val="0"/>
                  <w:vAlign w:val="center"/>
                </w:tcPr>
                <w:p w14:paraId="1097121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63.13</w:t>
                  </w:r>
                </w:p>
              </w:tc>
              <w:tc>
                <w:tcPr>
                  <w:tcW w:w="523" w:type="dxa"/>
                  <w:vMerge w:val="continue"/>
                  <w:tcBorders>
                    <w:tl2br w:val="nil"/>
                    <w:tr2bl w:val="nil"/>
                  </w:tcBorders>
                  <w:noWrap w:val="0"/>
                  <w:vAlign w:val="center"/>
                </w:tcPr>
                <w:p w14:paraId="0A2EB4F7">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5939BCE2">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firstLine="0" w:firstLineChars="0"/>
                    <w:jc w:val="center"/>
                    <w:textAlignment w:val="auto"/>
                    <w:rPr>
                      <w:rFonts w:hint="eastAsia"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04128BB3">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42.13</w:t>
                  </w:r>
                </w:p>
              </w:tc>
              <w:tc>
                <w:tcPr>
                  <w:tcW w:w="691" w:type="dxa"/>
                  <w:tcBorders>
                    <w:tl2br w:val="nil"/>
                    <w:tr2bl w:val="nil"/>
                  </w:tcBorders>
                  <w:noWrap w:val="0"/>
                  <w:vAlign w:val="center"/>
                </w:tcPr>
                <w:p w14:paraId="5691B0B1">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1CFBD77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7AF8269B">
                  <w:pPr>
                    <w:keepNext w:val="0"/>
                    <w:keepLines w:val="0"/>
                    <w:pageBreakBefore w:val="0"/>
                    <w:suppressLineNumbers w:val="0"/>
                    <w:kinsoku/>
                    <w:wordWrap/>
                    <w:overflowPunct/>
                    <w:topLinePunct w:val="0"/>
                    <w:autoSpaceDE/>
                    <w:autoSpaceDN/>
                    <w:bidi w:val="0"/>
                    <w:snapToGrid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19</w:t>
                  </w:r>
                </w:p>
              </w:tc>
              <w:tc>
                <w:tcPr>
                  <w:tcW w:w="435" w:type="dxa"/>
                  <w:vMerge w:val="continue"/>
                  <w:tcBorders>
                    <w:tl2br w:val="nil"/>
                    <w:tr2bl w:val="nil"/>
                  </w:tcBorders>
                  <w:noWrap w:val="0"/>
                  <w:vAlign w:val="center"/>
                </w:tcPr>
                <w:p w14:paraId="4128139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eastAsia" w:ascii="宋体" w:hAnsi="宋体" w:eastAsia="宋体" w:cs="宋体"/>
                      <w:bCs/>
                      <w:color w:val="auto"/>
                      <w:kern w:val="0"/>
                      <w:sz w:val="18"/>
                      <w:szCs w:val="18"/>
                      <w:highlight w:val="none"/>
                      <w:lang w:val="en-US" w:eastAsia="zh-CN"/>
                    </w:rPr>
                  </w:pPr>
                </w:p>
              </w:tc>
              <w:tc>
                <w:tcPr>
                  <w:tcW w:w="945" w:type="dxa"/>
                  <w:tcBorders>
                    <w:tl2br w:val="nil"/>
                    <w:tr2bl w:val="nil"/>
                  </w:tcBorders>
                  <w:shd w:val="clear" w:color="auto" w:fill="auto"/>
                  <w:noWrap w:val="0"/>
                  <w:vAlign w:val="center"/>
                </w:tcPr>
                <w:p w14:paraId="27D7EEB8">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输送机</w:t>
                  </w:r>
                </w:p>
              </w:tc>
              <w:tc>
                <w:tcPr>
                  <w:tcW w:w="739" w:type="dxa"/>
                  <w:tcBorders>
                    <w:tl2br w:val="nil"/>
                    <w:tr2bl w:val="nil"/>
                  </w:tcBorders>
                  <w:shd w:val="clear" w:color="auto" w:fill="auto"/>
                  <w:noWrap w:val="0"/>
                  <w:vAlign w:val="center"/>
                </w:tcPr>
                <w:p w14:paraId="3F5DD64F">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60</w:t>
                  </w:r>
                </w:p>
              </w:tc>
              <w:tc>
                <w:tcPr>
                  <w:tcW w:w="604" w:type="dxa"/>
                  <w:vMerge w:val="continue"/>
                  <w:tcBorders>
                    <w:tl2br w:val="nil"/>
                    <w:tr2bl w:val="nil"/>
                  </w:tcBorders>
                  <w:noWrap w:val="0"/>
                  <w:vAlign w:val="center"/>
                </w:tcPr>
                <w:p w14:paraId="7D8E35E0">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olor w:val="auto"/>
                      <w:sz w:val="18"/>
                      <w:szCs w:val="18"/>
                      <w:highlight w:val="none"/>
                    </w:rPr>
                  </w:pPr>
                </w:p>
              </w:tc>
              <w:tc>
                <w:tcPr>
                  <w:tcW w:w="513" w:type="dxa"/>
                  <w:tcBorders>
                    <w:tl2br w:val="nil"/>
                    <w:tr2bl w:val="nil"/>
                  </w:tcBorders>
                  <w:noWrap w:val="0"/>
                  <w:vAlign w:val="center"/>
                </w:tcPr>
                <w:p w14:paraId="5660B0E9">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-11</w:t>
                  </w:r>
                </w:p>
              </w:tc>
              <w:tc>
                <w:tcPr>
                  <w:tcW w:w="537" w:type="dxa"/>
                  <w:tcBorders>
                    <w:tl2br w:val="nil"/>
                    <w:tr2bl w:val="nil"/>
                  </w:tcBorders>
                  <w:noWrap w:val="0"/>
                  <w:vAlign w:val="center"/>
                </w:tcPr>
                <w:p w14:paraId="5FF28D50">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36</w:t>
                  </w:r>
                </w:p>
              </w:tc>
              <w:tc>
                <w:tcPr>
                  <w:tcW w:w="503" w:type="dxa"/>
                  <w:tcBorders>
                    <w:tl2br w:val="nil"/>
                    <w:tr2bl w:val="nil"/>
                  </w:tcBorders>
                  <w:noWrap w:val="0"/>
                  <w:vAlign w:val="center"/>
                </w:tcPr>
                <w:p w14:paraId="3EA166E6">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w:t>
                  </w:r>
                </w:p>
              </w:tc>
              <w:tc>
                <w:tcPr>
                  <w:tcW w:w="670" w:type="dxa"/>
                  <w:tcBorders>
                    <w:tl2br w:val="nil"/>
                    <w:tr2bl w:val="nil"/>
                  </w:tcBorders>
                  <w:noWrap w:val="0"/>
                  <w:vAlign w:val="center"/>
                </w:tcPr>
                <w:p w14:paraId="74D542AE">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4.8</w:t>
                  </w:r>
                </w:p>
              </w:tc>
              <w:tc>
                <w:tcPr>
                  <w:tcW w:w="736" w:type="dxa"/>
                  <w:tcBorders>
                    <w:tl2br w:val="nil"/>
                    <w:tr2bl w:val="nil"/>
                  </w:tcBorders>
                  <w:noWrap w:val="0"/>
                  <w:vAlign w:val="center"/>
                </w:tcPr>
                <w:p w14:paraId="637C7946">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46.36</w:t>
                  </w:r>
                </w:p>
              </w:tc>
              <w:tc>
                <w:tcPr>
                  <w:tcW w:w="523" w:type="dxa"/>
                  <w:vMerge w:val="continue"/>
                  <w:tcBorders>
                    <w:tl2br w:val="nil"/>
                    <w:tr2bl w:val="nil"/>
                  </w:tcBorders>
                  <w:noWrap w:val="0"/>
                  <w:vAlign w:val="center"/>
                </w:tcPr>
                <w:p w14:paraId="59259BF6">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7DA15924">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firstLine="0" w:firstLineChars="0"/>
                    <w:jc w:val="center"/>
                    <w:textAlignment w:val="auto"/>
                    <w:rPr>
                      <w:rFonts w:hint="eastAsia"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181B9114">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25.36</w:t>
                  </w:r>
                </w:p>
              </w:tc>
              <w:tc>
                <w:tcPr>
                  <w:tcW w:w="691" w:type="dxa"/>
                  <w:tcBorders>
                    <w:tl2br w:val="nil"/>
                    <w:tr2bl w:val="nil"/>
                  </w:tcBorders>
                  <w:noWrap w:val="0"/>
                  <w:vAlign w:val="center"/>
                </w:tcPr>
                <w:p w14:paraId="7C1541DA">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59B7815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0C129573">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20</w:t>
                  </w:r>
                </w:p>
              </w:tc>
              <w:tc>
                <w:tcPr>
                  <w:tcW w:w="435" w:type="dxa"/>
                  <w:vMerge w:val="continue"/>
                  <w:tcBorders>
                    <w:tl2br w:val="nil"/>
                    <w:tr2bl w:val="nil"/>
                  </w:tcBorders>
                  <w:noWrap w:val="0"/>
                  <w:vAlign w:val="center"/>
                </w:tcPr>
                <w:p w14:paraId="26AFAE6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eastAsia" w:ascii="宋体" w:hAnsi="宋体" w:eastAsia="宋体" w:cs="宋体"/>
                      <w:bCs/>
                      <w:color w:val="auto"/>
                      <w:kern w:val="0"/>
                      <w:sz w:val="18"/>
                      <w:szCs w:val="18"/>
                      <w:highlight w:val="none"/>
                      <w:lang w:val="en-US" w:eastAsia="zh-CN"/>
                    </w:rPr>
                  </w:pPr>
                </w:p>
              </w:tc>
              <w:tc>
                <w:tcPr>
                  <w:tcW w:w="945" w:type="dxa"/>
                  <w:tcBorders>
                    <w:tl2br w:val="nil"/>
                    <w:tr2bl w:val="nil"/>
                  </w:tcBorders>
                  <w:shd w:val="clear" w:color="auto" w:fill="auto"/>
                  <w:noWrap w:val="0"/>
                  <w:vAlign w:val="center"/>
                </w:tcPr>
                <w:p w14:paraId="471E79D6">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造粒机</w:t>
                  </w:r>
                </w:p>
              </w:tc>
              <w:tc>
                <w:tcPr>
                  <w:tcW w:w="739" w:type="dxa"/>
                  <w:tcBorders>
                    <w:tl2br w:val="nil"/>
                    <w:tr2bl w:val="nil"/>
                  </w:tcBorders>
                  <w:shd w:val="clear" w:color="auto" w:fill="auto"/>
                  <w:noWrap w:val="0"/>
                  <w:vAlign w:val="center"/>
                </w:tcPr>
                <w:p w14:paraId="30842DE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70</w:t>
                  </w:r>
                </w:p>
              </w:tc>
              <w:tc>
                <w:tcPr>
                  <w:tcW w:w="604" w:type="dxa"/>
                  <w:vMerge w:val="continue"/>
                  <w:tcBorders>
                    <w:tl2br w:val="nil"/>
                    <w:tr2bl w:val="nil"/>
                  </w:tcBorders>
                  <w:noWrap w:val="0"/>
                  <w:vAlign w:val="center"/>
                </w:tcPr>
                <w:p w14:paraId="0F0A15E9">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olor w:val="auto"/>
                      <w:sz w:val="18"/>
                      <w:szCs w:val="18"/>
                      <w:highlight w:val="none"/>
                    </w:rPr>
                  </w:pPr>
                </w:p>
              </w:tc>
              <w:tc>
                <w:tcPr>
                  <w:tcW w:w="513" w:type="dxa"/>
                  <w:tcBorders>
                    <w:tl2br w:val="nil"/>
                    <w:tr2bl w:val="nil"/>
                  </w:tcBorders>
                  <w:noWrap w:val="0"/>
                  <w:vAlign w:val="center"/>
                </w:tcPr>
                <w:p w14:paraId="4D1C57BE">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-11</w:t>
                  </w:r>
                </w:p>
              </w:tc>
              <w:tc>
                <w:tcPr>
                  <w:tcW w:w="537" w:type="dxa"/>
                  <w:tcBorders>
                    <w:tl2br w:val="nil"/>
                    <w:tr2bl w:val="nil"/>
                  </w:tcBorders>
                  <w:noWrap w:val="0"/>
                  <w:vAlign w:val="center"/>
                </w:tcPr>
                <w:p w14:paraId="0CCE15C1">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41</w:t>
                  </w:r>
                </w:p>
              </w:tc>
              <w:tc>
                <w:tcPr>
                  <w:tcW w:w="503" w:type="dxa"/>
                  <w:tcBorders>
                    <w:tl2br w:val="nil"/>
                    <w:tr2bl w:val="nil"/>
                  </w:tcBorders>
                  <w:noWrap w:val="0"/>
                  <w:vAlign w:val="center"/>
                </w:tcPr>
                <w:p w14:paraId="646F7B72">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670" w:type="dxa"/>
                  <w:tcBorders>
                    <w:tl2br w:val="nil"/>
                    <w:tr2bl w:val="nil"/>
                  </w:tcBorders>
                  <w:noWrap w:val="0"/>
                  <w:vAlign w:val="center"/>
                </w:tcPr>
                <w:p w14:paraId="29408AF7">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w:t>
                  </w:r>
                </w:p>
              </w:tc>
              <w:tc>
                <w:tcPr>
                  <w:tcW w:w="736" w:type="dxa"/>
                  <w:tcBorders>
                    <w:tl2br w:val="nil"/>
                    <w:tr2bl w:val="nil"/>
                  </w:tcBorders>
                  <w:noWrap w:val="0"/>
                  <w:vAlign w:val="center"/>
                </w:tcPr>
                <w:p w14:paraId="2003964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48.87</w:t>
                  </w:r>
                </w:p>
              </w:tc>
              <w:tc>
                <w:tcPr>
                  <w:tcW w:w="523" w:type="dxa"/>
                  <w:vMerge w:val="continue"/>
                  <w:tcBorders>
                    <w:tl2br w:val="nil"/>
                    <w:tr2bl w:val="nil"/>
                  </w:tcBorders>
                  <w:noWrap w:val="0"/>
                  <w:vAlign w:val="center"/>
                </w:tcPr>
                <w:p w14:paraId="427D2071">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0CBB789A">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firstLine="0" w:firstLineChars="0"/>
                    <w:jc w:val="center"/>
                    <w:textAlignment w:val="auto"/>
                    <w:rPr>
                      <w:rFonts w:hint="eastAsia"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1D56A92E">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27.87</w:t>
                  </w:r>
                </w:p>
              </w:tc>
              <w:tc>
                <w:tcPr>
                  <w:tcW w:w="691" w:type="dxa"/>
                  <w:tcBorders>
                    <w:tl2br w:val="nil"/>
                    <w:tr2bl w:val="nil"/>
                  </w:tcBorders>
                  <w:noWrap w:val="0"/>
                  <w:vAlign w:val="center"/>
                </w:tcPr>
                <w:p w14:paraId="431AA2FB">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16D2DBD4">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3DB73F55">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21</w:t>
                  </w:r>
                </w:p>
              </w:tc>
              <w:tc>
                <w:tcPr>
                  <w:tcW w:w="435" w:type="dxa"/>
                  <w:vMerge w:val="continue"/>
                  <w:tcBorders>
                    <w:tl2br w:val="nil"/>
                    <w:tr2bl w:val="nil"/>
                  </w:tcBorders>
                  <w:noWrap w:val="0"/>
                  <w:vAlign w:val="center"/>
                </w:tcPr>
                <w:p w14:paraId="02953EE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eastAsia" w:ascii="宋体" w:hAnsi="宋体" w:eastAsia="宋体" w:cs="宋体"/>
                      <w:bCs/>
                      <w:color w:val="auto"/>
                      <w:kern w:val="0"/>
                      <w:sz w:val="18"/>
                      <w:szCs w:val="18"/>
                      <w:highlight w:val="none"/>
                      <w:lang w:val="en-US" w:eastAsia="zh-CN"/>
                    </w:rPr>
                  </w:pPr>
                </w:p>
              </w:tc>
              <w:tc>
                <w:tcPr>
                  <w:tcW w:w="945" w:type="dxa"/>
                  <w:tcBorders>
                    <w:tl2br w:val="nil"/>
                    <w:tr2bl w:val="nil"/>
                  </w:tcBorders>
                  <w:shd w:val="clear" w:color="auto" w:fill="auto"/>
                  <w:noWrap w:val="0"/>
                  <w:vAlign w:val="center"/>
                </w:tcPr>
                <w:p w14:paraId="592A9B03">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车间除尘风机</w:t>
                  </w:r>
                </w:p>
              </w:tc>
              <w:tc>
                <w:tcPr>
                  <w:tcW w:w="739" w:type="dxa"/>
                  <w:tcBorders>
                    <w:tl2br w:val="nil"/>
                    <w:tr2bl w:val="nil"/>
                  </w:tcBorders>
                  <w:shd w:val="clear" w:color="auto" w:fill="auto"/>
                  <w:noWrap w:val="0"/>
                  <w:vAlign w:val="center"/>
                </w:tcPr>
                <w:p w14:paraId="11A9F0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85</w:t>
                  </w:r>
                </w:p>
              </w:tc>
              <w:tc>
                <w:tcPr>
                  <w:tcW w:w="604" w:type="dxa"/>
                  <w:vMerge w:val="continue"/>
                  <w:tcBorders>
                    <w:tl2br w:val="nil"/>
                    <w:tr2bl w:val="nil"/>
                  </w:tcBorders>
                  <w:noWrap w:val="0"/>
                  <w:vAlign w:val="center"/>
                </w:tcPr>
                <w:p w14:paraId="3EF9EA12">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olor w:val="auto"/>
                      <w:sz w:val="18"/>
                      <w:szCs w:val="18"/>
                      <w:highlight w:val="none"/>
                    </w:rPr>
                  </w:pPr>
                </w:p>
              </w:tc>
              <w:tc>
                <w:tcPr>
                  <w:tcW w:w="513" w:type="dxa"/>
                  <w:tcBorders>
                    <w:tl2br w:val="nil"/>
                    <w:tr2bl w:val="nil"/>
                  </w:tcBorders>
                  <w:noWrap w:val="0"/>
                  <w:vAlign w:val="center"/>
                </w:tcPr>
                <w:p w14:paraId="6D301E86">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-13</w:t>
                  </w:r>
                </w:p>
              </w:tc>
              <w:tc>
                <w:tcPr>
                  <w:tcW w:w="537" w:type="dxa"/>
                  <w:tcBorders>
                    <w:tl2br w:val="nil"/>
                    <w:tr2bl w:val="nil"/>
                  </w:tcBorders>
                  <w:noWrap w:val="0"/>
                  <w:vAlign w:val="center"/>
                </w:tcPr>
                <w:p w14:paraId="47940083">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31</w:t>
                  </w:r>
                </w:p>
              </w:tc>
              <w:tc>
                <w:tcPr>
                  <w:tcW w:w="503" w:type="dxa"/>
                  <w:tcBorders>
                    <w:tl2br w:val="nil"/>
                    <w:tr2bl w:val="nil"/>
                  </w:tcBorders>
                  <w:noWrap w:val="0"/>
                  <w:vAlign w:val="center"/>
                </w:tcPr>
                <w:p w14:paraId="1988819D">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670" w:type="dxa"/>
                  <w:tcBorders>
                    <w:tl2br w:val="nil"/>
                    <w:tr2bl w:val="nil"/>
                  </w:tcBorders>
                  <w:noWrap w:val="0"/>
                  <w:vAlign w:val="center"/>
                </w:tcPr>
                <w:p w14:paraId="00D6F8B2">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9</w:t>
                  </w:r>
                </w:p>
              </w:tc>
              <w:tc>
                <w:tcPr>
                  <w:tcW w:w="736" w:type="dxa"/>
                  <w:tcBorders>
                    <w:tl2br w:val="nil"/>
                    <w:tr2bl w:val="nil"/>
                  </w:tcBorders>
                  <w:noWrap w:val="0"/>
                  <w:vAlign w:val="center"/>
                </w:tcPr>
                <w:p w14:paraId="4956A4C8">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63.1</w:t>
                  </w:r>
                </w:p>
              </w:tc>
              <w:tc>
                <w:tcPr>
                  <w:tcW w:w="523" w:type="dxa"/>
                  <w:vMerge w:val="continue"/>
                  <w:tcBorders>
                    <w:tl2br w:val="nil"/>
                    <w:tr2bl w:val="nil"/>
                  </w:tcBorders>
                  <w:noWrap w:val="0"/>
                  <w:vAlign w:val="center"/>
                </w:tcPr>
                <w:p w14:paraId="2AC54406">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6D9A4892">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firstLine="0" w:firstLineChars="0"/>
                    <w:jc w:val="center"/>
                    <w:textAlignment w:val="auto"/>
                    <w:rPr>
                      <w:rFonts w:hint="eastAsia"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3352A0E0">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42.1</w:t>
                  </w:r>
                </w:p>
              </w:tc>
              <w:tc>
                <w:tcPr>
                  <w:tcW w:w="691" w:type="dxa"/>
                  <w:tcBorders>
                    <w:tl2br w:val="nil"/>
                    <w:tr2bl w:val="nil"/>
                  </w:tcBorders>
                  <w:noWrap w:val="0"/>
                  <w:vAlign w:val="center"/>
                </w:tcPr>
                <w:p w14:paraId="5ACA162B">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294B824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5F119A6B">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22</w:t>
                  </w:r>
                </w:p>
              </w:tc>
              <w:tc>
                <w:tcPr>
                  <w:tcW w:w="435" w:type="dxa"/>
                  <w:vMerge w:val="continue"/>
                  <w:tcBorders>
                    <w:tl2br w:val="nil"/>
                    <w:tr2bl w:val="nil"/>
                  </w:tcBorders>
                  <w:noWrap w:val="0"/>
                  <w:vAlign w:val="center"/>
                </w:tcPr>
                <w:p w14:paraId="109318F5">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right="0" w:firstLine="0"/>
                    <w:jc w:val="center"/>
                    <w:rPr>
                      <w:rFonts w:hint="eastAsia" w:ascii="宋体" w:hAnsi="宋体" w:eastAsia="宋体" w:cs="宋体"/>
                      <w:bCs/>
                      <w:color w:val="auto"/>
                      <w:kern w:val="0"/>
                      <w:sz w:val="18"/>
                      <w:szCs w:val="18"/>
                      <w:highlight w:val="none"/>
                      <w:lang w:val="en-US" w:eastAsia="zh-CN"/>
                    </w:rPr>
                  </w:pPr>
                </w:p>
              </w:tc>
              <w:tc>
                <w:tcPr>
                  <w:tcW w:w="945" w:type="dxa"/>
                  <w:tcBorders>
                    <w:tl2br w:val="nil"/>
                    <w:tr2bl w:val="nil"/>
                  </w:tcBorders>
                  <w:shd w:val="clear" w:color="auto" w:fill="auto"/>
                  <w:noWrap w:val="0"/>
                  <w:vAlign w:val="center"/>
                </w:tcPr>
                <w:p w14:paraId="5789F7BD">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输送机</w:t>
                  </w:r>
                </w:p>
              </w:tc>
              <w:tc>
                <w:tcPr>
                  <w:tcW w:w="739" w:type="dxa"/>
                  <w:tcBorders>
                    <w:tl2br w:val="nil"/>
                    <w:tr2bl w:val="nil"/>
                  </w:tcBorders>
                  <w:shd w:val="clear" w:color="auto" w:fill="auto"/>
                  <w:noWrap w:val="0"/>
                  <w:vAlign w:val="center"/>
                </w:tcPr>
                <w:p w14:paraId="153CAB3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60</w:t>
                  </w:r>
                </w:p>
              </w:tc>
              <w:tc>
                <w:tcPr>
                  <w:tcW w:w="604" w:type="dxa"/>
                  <w:vMerge w:val="continue"/>
                  <w:tcBorders>
                    <w:tl2br w:val="nil"/>
                    <w:tr2bl w:val="nil"/>
                  </w:tcBorders>
                  <w:noWrap w:val="0"/>
                  <w:vAlign w:val="center"/>
                </w:tcPr>
                <w:p w14:paraId="2FB783A4">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olor w:val="auto"/>
                      <w:sz w:val="18"/>
                      <w:szCs w:val="18"/>
                      <w:highlight w:val="none"/>
                    </w:rPr>
                  </w:pPr>
                </w:p>
              </w:tc>
              <w:tc>
                <w:tcPr>
                  <w:tcW w:w="513" w:type="dxa"/>
                  <w:tcBorders>
                    <w:tl2br w:val="nil"/>
                    <w:tr2bl w:val="nil"/>
                  </w:tcBorders>
                  <w:noWrap w:val="0"/>
                  <w:vAlign w:val="center"/>
                </w:tcPr>
                <w:p w14:paraId="5C54AFA9">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-13</w:t>
                  </w:r>
                </w:p>
              </w:tc>
              <w:tc>
                <w:tcPr>
                  <w:tcW w:w="537" w:type="dxa"/>
                  <w:tcBorders>
                    <w:tl2br w:val="nil"/>
                    <w:tr2bl w:val="nil"/>
                  </w:tcBorders>
                  <w:noWrap w:val="0"/>
                  <w:vAlign w:val="center"/>
                </w:tcPr>
                <w:p w14:paraId="6A986490">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44</w:t>
                  </w:r>
                </w:p>
              </w:tc>
              <w:tc>
                <w:tcPr>
                  <w:tcW w:w="503" w:type="dxa"/>
                  <w:tcBorders>
                    <w:tl2br w:val="nil"/>
                    <w:tr2bl w:val="nil"/>
                  </w:tcBorders>
                  <w:noWrap w:val="0"/>
                  <w:vAlign w:val="center"/>
                </w:tcPr>
                <w:p w14:paraId="4D072ABD">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2</w:t>
                  </w:r>
                </w:p>
              </w:tc>
              <w:tc>
                <w:tcPr>
                  <w:tcW w:w="670" w:type="dxa"/>
                  <w:tcBorders>
                    <w:tl2br w:val="nil"/>
                    <w:tr2bl w:val="nil"/>
                  </w:tcBorders>
                  <w:noWrap w:val="0"/>
                  <w:vAlign w:val="center"/>
                </w:tcPr>
                <w:p w14:paraId="02ED36E8">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4.5</w:t>
                  </w:r>
                </w:p>
              </w:tc>
              <w:tc>
                <w:tcPr>
                  <w:tcW w:w="736" w:type="dxa"/>
                  <w:tcBorders>
                    <w:tl2br w:val="nil"/>
                    <w:tr2bl w:val="nil"/>
                  </w:tcBorders>
                  <w:noWrap w:val="0"/>
                  <w:vAlign w:val="center"/>
                </w:tcPr>
                <w:p w14:paraId="2BCF3959">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46.4</w:t>
                  </w:r>
                </w:p>
              </w:tc>
              <w:tc>
                <w:tcPr>
                  <w:tcW w:w="523" w:type="dxa"/>
                  <w:vMerge w:val="continue"/>
                  <w:tcBorders>
                    <w:tl2br w:val="nil"/>
                    <w:tr2bl w:val="nil"/>
                  </w:tcBorders>
                  <w:noWrap w:val="0"/>
                  <w:vAlign w:val="center"/>
                </w:tcPr>
                <w:p w14:paraId="77B98803">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072560E2">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ind w:left="0" w:leftChars="0" w:right="0" w:rightChars="0" w:firstLine="0" w:firstLineChars="0"/>
                    <w:jc w:val="center"/>
                    <w:textAlignment w:val="auto"/>
                    <w:rPr>
                      <w:rFonts w:hint="eastAsia"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771FE6A1">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25.4</w:t>
                  </w:r>
                </w:p>
              </w:tc>
              <w:tc>
                <w:tcPr>
                  <w:tcW w:w="691" w:type="dxa"/>
                  <w:tcBorders>
                    <w:tl2br w:val="nil"/>
                    <w:tr2bl w:val="nil"/>
                  </w:tcBorders>
                  <w:noWrap w:val="0"/>
                  <w:vAlign w:val="center"/>
                </w:tcPr>
                <w:p w14:paraId="6EEECE87">
                  <w:pPr>
                    <w:keepNext w:val="0"/>
                    <w:keepLines w:val="0"/>
                    <w:pageBreakBefore w:val="0"/>
                    <w:suppressLineNumbers w:val="0"/>
                    <w:kinsoku/>
                    <w:wordWrap/>
                    <w:overflowPunct/>
                    <w:topLinePunct w:val="0"/>
                    <w:autoSpaceDE/>
                    <w:autoSpaceDN/>
                    <w:bidi w:val="0"/>
                    <w:snapToGrid w:val="0"/>
                    <w:spacing w:before="0" w:beforeAutospacing="0" w:after="0" w:afterAutospacing="0"/>
                    <w:ind w:left="0" w:leftChars="0" w:right="0" w:rightChars="0" w:firstLine="0" w:firstLineChars="0"/>
                    <w:jc w:val="center"/>
                    <w:textAlignment w:val="center"/>
                    <w:rPr>
                      <w:rFonts w:hint="eastAsia"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09E21D8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24CA5AA9">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23</w:t>
                  </w:r>
                </w:p>
              </w:tc>
              <w:tc>
                <w:tcPr>
                  <w:tcW w:w="435" w:type="dxa"/>
                  <w:vMerge w:val="restart"/>
                  <w:tcBorders>
                    <w:tl2br w:val="nil"/>
                    <w:tr2bl w:val="nil"/>
                  </w:tcBorders>
                  <w:shd w:val="clear" w:color="auto" w:fill="auto"/>
                  <w:noWrap w:val="0"/>
                  <w:vAlign w:val="center"/>
                </w:tcPr>
                <w:p w14:paraId="00D001AC">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rPr>
                      <w:rFonts w:hint="eastAsia" w:ascii="Times New Roman" w:hAnsi="Times New Roman" w:eastAsia="宋体" w:cs="Times New Roman"/>
                      <w:color w:val="auto"/>
                      <w:spacing w:val="0"/>
                      <w:kern w:val="2"/>
                      <w:sz w:val="18"/>
                      <w:szCs w:val="18"/>
                      <w:highlight w:val="none"/>
                      <w:lang w:val="en-US" w:eastAsia="zh-CN" w:bidi="ar-SA"/>
                    </w:rPr>
                  </w:pPr>
                  <w:r>
                    <w:rPr>
                      <w:rFonts w:hint="eastAsia" w:ascii="宋体" w:hAnsi="宋体" w:eastAsia="宋体" w:cs="宋体"/>
                      <w:bCs/>
                      <w:color w:val="auto"/>
                      <w:kern w:val="0"/>
                      <w:sz w:val="18"/>
                      <w:szCs w:val="18"/>
                      <w:highlight w:val="none"/>
                      <w:lang w:val="en-US" w:eastAsia="zh-CN"/>
                    </w:rPr>
                    <w:t>热风炉房</w:t>
                  </w:r>
                </w:p>
              </w:tc>
              <w:tc>
                <w:tcPr>
                  <w:tcW w:w="945" w:type="dxa"/>
                  <w:tcBorders>
                    <w:tl2br w:val="nil"/>
                    <w:tr2bl w:val="nil"/>
                  </w:tcBorders>
                  <w:shd w:val="clear" w:color="auto" w:fill="auto"/>
                  <w:noWrap w:val="0"/>
                  <w:vAlign w:val="center"/>
                </w:tcPr>
                <w:p w14:paraId="5A1C9DCB">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1号燃烧器风机</w:t>
                  </w:r>
                </w:p>
              </w:tc>
              <w:tc>
                <w:tcPr>
                  <w:tcW w:w="739" w:type="dxa"/>
                  <w:tcBorders>
                    <w:tl2br w:val="nil"/>
                    <w:tr2bl w:val="nil"/>
                  </w:tcBorders>
                  <w:shd w:val="clear" w:color="auto" w:fill="auto"/>
                  <w:noWrap w:val="0"/>
                  <w:vAlign w:val="center"/>
                </w:tcPr>
                <w:p w14:paraId="4451B2F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pacing w:val="0"/>
                      <w:kern w:val="2"/>
                      <w:sz w:val="18"/>
                      <w:szCs w:val="18"/>
                      <w:highlight w:val="none"/>
                      <w:lang w:val="en-US" w:eastAsia="zh-CN" w:bidi="ar-SA"/>
                    </w:rPr>
                  </w:pPr>
                  <w:r>
                    <w:rPr>
                      <w:rFonts w:hint="eastAsia" w:cs="Times New Roman"/>
                      <w:color w:val="auto"/>
                      <w:spacing w:val="0"/>
                      <w:sz w:val="18"/>
                      <w:szCs w:val="18"/>
                      <w:highlight w:val="none"/>
                      <w:lang w:val="en-US" w:eastAsia="zh-CN"/>
                    </w:rPr>
                    <w:t>85</w:t>
                  </w:r>
                </w:p>
              </w:tc>
              <w:tc>
                <w:tcPr>
                  <w:tcW w:w="604" w:type="dxa"/>
                  <w:vMerge w:val="continue"/>
                  <w:tcBorders>
                    <w:tl2br w:val="nil"/>
                    <w:tr2bl w:val="nil"/>
                  </w:tcBorders>
                  <w:shd w:val="clear" w:color="auto" w:fill="auto"/>
                  <w:noWrap w:val="0"/>
                  <w:vAlign w:val="center"/>
                </w:tcPr>
                <w:p w14:paraId="16AA9DB8">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513" w:type="dxa"/>
                  <w:tcBorders>
                    <w:tl2br w:val="nil"/>
                    <w:tr2bl w:val="nil"/>
                  </w:tcBorders>
                  <w:shd w:val="clear" w:color="auto" w:fill="auto"/>
                  <w:noWrap w:val="0"/>
                  <w:vAlign w:val="center"/>
                </w:tcPr>
                <w:p w14:paraId="370B6E29">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-15</w:t>
                  </w:r>
                </w:p>
              </w:tc>
              <w:tc>
                <w:tcPr>
                  <w:tcW w:w="537" w:type="dxa"/>
                  <w:tcBorders>
                    <w:tl2br w:val="nil"/>
                    <w:tr2bl w:val="nil"/>
                  </w:tcBorders>
                  <w:shd w:val="clear" w:color="auto" w:fill="auto"/>
                  <w:noWrap w:val="0"/>
                  <w:vAlign w:val="center"/>
                </w:tcPr>
                <w:p w14:paraId="5578E207">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-1</w:t>
                  </w:r>
                </w:p>
              </w:tc>
              <w:tc>
                <w:tcPr>
                  <w:tcW w:w="503" w:type="dxa"/>
                  <w:tcBorders>
                    <w:tl2br w:val="nil"/>
                    <w:tr2bl w:val="nil"/>
                  </w:tcBorders>
                  <w:shd w:val="clear" w:color="auto" w:fill="auto"/>
                  <w:noWrap w:val="0"/>
                  <w:vAlign w:val="center"/>
                </w:tcPr>
                <w:p w14:paraId="0BED5D3D">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3</w:t>
                  </w:r>
                </w:p>
              </w:tc>
              <w:tc>
                <w:tcPr>
                  <w:tcW w:w="670" w:type="dxa"/>
                  <w:tcBorders>
                    <w:tl2br w:val="nil"/>
                    <w:tr2bl w:val="nil"/>
                  </w:tcBorders>
                  <w:noWrap w:val="0"/>
                  <w:vAlign w:val="center"/>
                </w:tcPr>
                <w:p w14:paraId="07FE0D07">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4.7</w:t>
                  </w:r>
                </w:p>
              </w:tc>
              <w:tc>
                <w:tcPr>
                  <w:tcW w:w="736" w:type="dxa"/>
                  <w:tcBorders>
                    <w:tl2br w:val="nil"/>
                    <w:tr2bl w:val="nil"/>
                  </w:tcBorders>
                  <w:noWrap w:val="0"/>
                  <w:vAlign w:val="center"/>
                </w:tcPr>
                <w:p w14:paraId="60AE845D">
                  <w:pPr>
                    <w:keepNext w:val="0"/>
                    <w:keepLines w:val="0"/>
                    <w:pageBreakBefore w:val="0"/>
                    <w:suppressLineNumbers w:val="0"/>
                    <w:kinsoku/>
                    <w:wordWrap/>
                    <w:overflowPunct/>
                    <w:topLinePunct w:val="0"/>
                    <w:autoSpaceDE/>
                    <w:autoSpaceDN/>
                    <w:bidi w:val="0"/>
                    <w:adjustRightInd w:val="0"/>
                    <w:spacing w:before="0" w:beforeAutospacing="0" w:after="0" w:afterAutospacing="0"/>
                    <w:ind w:left="0" w:leftChars="0" w:right="0" w:rightChars="0" w:firstLine="0" w:firstLineChars="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68.76</w:t>
                  </w:r>
                </w:p>
              </w:tc>
              <w:tc>
                <w:tcPr>
                  <w:tcW w:w="523" w:type="dxa"/>
                  <w:vMerge w:val="continue"/>
                  <w:tcBorders>
                    <w:tl2br w:val="nil"/>
                    <w:tr2bl w:val="nil"/>
                  </w:tcBorders>
                  <w:noWrap w:val="0"/>
                  <w:vAlign w:val="center"/>
                </w:tcPr>
                <w:p w14:paraId="32E28F38">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0C4F46EF">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380E9AEF">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42.75</w:t>
                  </w:r>
                </w:p>
              </w:tc>
              <w:tc>
                <w:tcPr>
                  <w:tcW w:w="691" w:type="dxa"/>
                  <w:tcBorders>
                    <w:tl2br w:val="nil"/>
                    <w:tr2bl w:val="nil"/>
                  </w:tcBorders>
                  <w:noWrap w:val="0"/>
                  <w:vAlign w:val="center"/>
                </w:tcPr>
                <w:p w14:paraId="4A6BEC7D">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r w14:paraId="1488464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9" w:hRule="atLeast"/>
                <w:jc w:val="center"/>
              </w:trPr>
              <w:tc>
                <w:tcPr>
                  <w:tcW w:w="412" w:type="dxa"/>
                  <w:tcBorders>
                    <w:tl2br w:val="nil"/>
                    <w:tr2bl w:val="nil"/>
                  </w:tcBorders>
                  <w:noWrap w:val="0"/>
                  <w:vAlign w:val="center"/>
                </w:tcPr>
                <w:p w14:paraId="0E2AC4CC">
                  <w:pPr>
                    <w:keepNext w:val="0"/>
                    <w:keepLines w:val="0"/>
                    <w:pageBreakBefore w:val="0"/>
                    <w:suppressLineNumbers w:val="0"/>
                    <w:kinsoku/>
                    <w:wordWrap/>
                    <w:overflowPunct/>
                    <w:topLinePunct w:val="0"/>
                    <w:autoSpaceDE/>
                    <w:autoSpaceDN/>
                    <w:bidi w:val="0"/>
                    <w:spacing w:before="0" w:beforeAutospacing="0" w:after="0" w:afterAutospacing="0"/>
                    <w:ind w:left="0" w:right="0" w:firstLine="0"/>
                    <w:jc w:val="center"/>
                    <w:textAlignment w:val="center"/>
                    <w:rPr>
                      <w:rFonts w:hint="default"/>
                      <w:color w:val="auto"/>
                      <w:sz w:val="18"/>
                      <w:szCs w:val="18"/>
                      <w:highlight w:val="none"/>
                      <w:lang w:val="en-US" w:eastAsia="zh-CN"/>
                    </w:rPr>
                  </w:pPr>
                  <w:r>
                    <w:rPr>
                      <w:rFonts w:hint="eastAsia"/>
                      <w:color w:val="auto"/>
                      <w:sz w:val="18"/>
                      <w:szCs w:val="18"/>
                      <w:highlight w:val="none"/>
                      <w:lang w:val="en-US" w:eastAsia="zh-CN"/>
                    </w:rPr>
                    <w:t>24</w:t>
                  </w:r>
                </w:p>
              </w:tc>
              <w:tc>
                <w:tcPr>
                  <w:tcW w:w="435" w:type="dxa"/>
                  <w:vMerge w:val="continue"/>
                  <w:tcBorders>
                    <w:tl2br w:val="nil"/>
                    <w:tr2bl w:val="nil"/>
                  </w:tcBorders>
                  <w:shd w:val="clear" w:color="auto" w:fill="auto"/>
                  <w:noWrap w:val="0"/>
                  <w:vAlign w:val="center"/>
                </w:tcPr>
                <w:p w14:paraId="025D74FA">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ind w:left="0" w:leftChars="0" w:right="0" w:rightChars="0" w:firstLine="0" w:firstLineChars="0"/>
                    <w:jc w:val="center"/>
                    <w:rPr>
                      <w:rFonts w:hint="eastAsia" w:ascii="宋体" w:hAnsi="宋体" w:eastAsia="宋体" w:cs="宋体"/>
                      <w:bCs/>
                      <w:color w:val="auto"/>
                      <w:kern w:val="0"/>
                      <w:sz w:val="18"/>
                      <w:szCs w:val="18"/>
                      <w:highlight w:val="none"/>
                      <w:lang w:val="en-US" w:eastAsia="zh-CN"/>
                    </w:rPr>
                  </w:pPr>
                </w:p>
              </w:tc>
              <w:tc>
                <w:tcPr>
                  <w:tcW w:w="945" w:type="dxa"/>
                  <w:tcBorders>
                    <w:tl2br w:val="nil"/>
                    <w:tr2bl w:val="nil"/>
                  </w:tcBorders>
                  <w:shd w:val="clear" w:color="auto" w:fill="auto"/>
                  <w:noWrap w:val="0"/>
                  <w:vAlign w:val="center"/>
                </w:tcPr>
                <w:p w14:paraId="3CE0BBA2">
                  <w:pPr>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2号燃烧器风机</w:t>
                  </w:r>
                </w:p>
              </w:tc>
              <w:tc>
                <w:tcPr>
                  <w:tcW w:w="739" w:type="dxa"/>
                  <w:tcBorders>
                    <w:tl2br w:val="nil"/>
                    <w:tr2bl w:val="nil"/>
                  </w:tcBorders>
                  <w:shd w:val="clear" w:color="auto" w:fill="auto"/>
                  <w:noWrap w:val="0"/>
                  <w:vAlign w:val="center"/>
                </w:tcPr>
                <w:p w14:paraId="1178906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85</w:t>
                  </w:r>
                </w:p>
              </w:tc>
              <w:tc>
                <w:tcPr>
                  <w:tcW w:w="604" w:type="dxa"/>
                  <w:vMerge w:val="continue"/>
                  <w:tcBorders>
                    <w:tl2br w:val="nil"/>
                    <w:tr2bl w:val="nil"/>
                  </w:tcBorders>
                  <w:shd w:val="clear" w:color="auto" w:fill="auto"/>
                  <w:noWrap w:val="0"/>
                  <w:vAlign w:val="center"/>
                </w:tcPr>
                <w:p w14:paraId="0CF21AAD">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ascii="Times New Roman" w:hAnsi="Times New Roman" w:eastAsia="宋体" w:cs="Times New Roman"/>
                      <w:color w:val="auto"/>
                      <w:kern w:val="2"/>
                      <w:sz w:val="18"/>
                      <w:szCs w:val="18"/>
                      <w:highlight w:val="none"/>
                      <w:lang w:val="en-US" w:eastAsia="zh-CN" w:bidi="ar-SA"/>
                    </w:rPr>
                  </w:pPr>
                </w:p>
              </w:tc>
              <w:tc>
                <w:tcPr>
                  <w:tcW w:w="513" w:type="dxa"/>
                  <w:tcBorders>
                    <w:tl2br w:val="nil"/>
                    <w:tr2bl w:val="nil"/>
                  </w:tcBorders>
                  <w:shd w:val="clear" w:color="auto" w:fill="auto"/>
                  <w:noWrap w:val="0"/>
                  <w:vAlign w:val="center"/>
                </w:tcPr>
                <w:p w14:paraId="04A0262A">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-4</w:t>
                  </w:r>
                </w:p>
              </w:tc>
              <w:tc>
                <w:tcPr>
                  <w:tcW w:w="537" w:type="dxa"/>
                  <w:tcBorders>
                    <w:tl2br w:val="nil"/>
                    <w:tr2bl w:val="nil"/>
                  </w:tcBorders>
                  <w:shd w:val="clear" w:color="auto" w:fill="auto"/>
                  <w:noWrap w:val="0"/>
                  <w:vAlign w:val="center"/>
                </w:tcPr>
                <w:p w14:paraId="5DBEC0CF">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rPr>
                      <w:rFonts w:hint="default"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6</w:t>
                  </w:r>
                </w:p>
              </w:tc>
              <w:tc>
                <w:tcPr>
                  <w:tcW w:w="503" w:type="dxa"/>
                  <w:tcBorders>
                    <w:tl2br w:val="nil"/>
                    <w:tr2bl w:val="nil"/>
                  </w:tcBorders>
                  <w:shd w:val="clear" w:color="auto" w:fill="auto"/>
                  <w:noWrap w:val="0"/>
                  <w:vAlign w:val="center"/>
                </w:tcPr>
                <w:p w14:paraId="68C8D449">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1</w:t>
                  </w:r>
                </w:p>
              </w:tc>
              <w:tc>
                <w:tcPr>
                  <w:tcW w:w="670" w:type="dxa"/>
                  <w:tcBorders>
                    <w:tl2br w:val="nil"/>
                    <w:tr2bl w:val="nil"/>
                  </w:tcBorders>
                  <w:noWrap w:val="0"/>
                  <w:vAlign w:val="center"/>
                </w:tcPr>
                <w:p w14:paraId="382681A6">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4.4</w:t>
                  </w:r>
                </w:p>
              </w:tc>
              <w:tc>
                <w:tcPr>
                  <w:tcW w:w="736" w:type="dxa"/>
                  <w:tcBorders>
                    <w:tl2br w:val="nil"/>
                    <w:tr2bl w:val="nil"/>
                  </w:tcBorders>
                  <w:noWrap w:val="0"/>
                  <w:vAlign w:val="center"/>
                </w:tcPr>
                <w:p w14:paraId="527DD355">
                  <w:pPr>
                    <w:keepNext w:val="0"/>
                    <w:keepLines w:val="0"/>
                    <w:pageBreakBefore w:val="0"/>
                    <w:suppressLineNumbers w:val="0"/>
                    <w:kinsoku/>
                    <w:wordWrap/>
                    <w:overflowPunct/>
                    <w:topLinePunct w:val="0"/>
                    <w:autoSpaceDE/>
                    <w:autoSpaceDN/>
                    <w:bidi w:val="0"/>
                    <w:adjustRightInd w:val="0"/>
                    <w:spacing w:before="0" w:beforeAutospacing="0" w:after="0" w:afterAutospacing="0"/>
                    <w:ind w:left="0" w:leftChars="0" w:right="0" w:rightChars="0" w:firstLine="0" w:firstLineChars="0"/>
                    <w:jc w:val="center"/>
                    <w:rPr>
                      <w:rFonts w:hint="default" w:cs="Times New Roman"/>
                      <w:color w:val="auto"/>
                      <w:spacing w:val="0"/>
                      <w:kern w:val="2"/>
                      <w:sz w:val="18"/>
                      <w:szCs w:val="18"/>
                      <w:highlight w:val="none"/>
                      <w:lang w:val="en-US" w:eastAsia="zh-CN" w:bidi="ar-SA"/>
                    </w:rPr>
                  </w:pPr>
                  <w:r>
                    <w:rPr>
                      <w:rFonts w:hint="eastAsia" w:cs="Times New Roman"/>
                      <w:color w:val="auto"/>
                      <w:spacing w:val="0"/>
                      <w:kern w:val="2"/>
                      <w:sz w:val="18"/>
                      <w:szCs w:val="18"/>
                      <w:highlight w:val="none"/>
                      <w:lang w:val="en-US" w:eastAsia="zh-CN" w:bidi="ar-SA"/>
                    </w:rPr>
                    <w:t>68.77</w:t>
                  </w:r>
                </w:p>
              </w:tc>
              <w:tc>
                <w:tcPr>
                  <w:tcW w:w="523" w:type="dxa"/>
                  <w:vMerge w:val="continue"/>
                  <w:tcBorders>
                    <w:tl2br w:val="nil"/>
                    <w:tr2bl w:val="nil"/>
                  </w:tcBorders>
                  <w:noWrap w:val="0"/>
                  <w:vAlign w:val="center"/>
                </w:tcPr>
                <w:p w14:paraId="5FCAC703">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eastAsia"/>
                      <w:color w:val="auto"/>
                      <w:sz w:val="18"/>
                      <w:szCs w:val="18"/>
                      <w:highlight w:val="none"/>
                      <w:lang w:val="en-US" w:eastAsia="zh-CN"/>
                    </w:rPr>
                  </w:pPr>
                </w:p>
              </w:tc>
              <w:tc>
                <w:tcPr>
                  <w:tcW w:w="692" w:type="dxa"/>
                  <w:tcBorders>
                    <w:tl2br w:val="nil"/>
                    <w:tr2bl w:val="nil"/>
                  </w:tcBorders>
                  <w:noWrap w:val="0"/>
                  <w:vAlign w:val="center"/>
                </w:tcPr>
                <w:p w14:paraId="0F936E28">
                  <w:pPr>
                    <w:keepNext w:val="0"/>
                    <w:keepLines w:val="0"/>
                    <w:pageBreakBefore w:val="0"/>
                    <w:suppressLineNumbers w:val="0"/>
                    <w:kinsoku/>
                    <w:wordWrap/>
                    <w:overflowPunct/>
                    <w:topLinePunct w:val="0"/>
                    <w:autoSpaceDE/>
                    <w:autoSpaceDN/>
                    <w:bidi w:val="0"/>
                    <w:adjustRightInd/>
                    <w:snapToGrid/>
                    <w:spacing w:before="0" w:beforeAutospacing="0" w:after="0" w:afterAutospacing="0"/>
                    <w:ind w:left="0" w:leftChars="0" w:right="0" w:rightChars="0" w:firstLine="0" w:firstLineChars="0"/>
                    <w:jc w:val="center"/>
                    <w:textAlignment w:val="auto"/>
                    <w:rPr>
                      <w:rFonts w:hint="default" w:cs="Times New Roman"/>
                      <w:color w:val="auto"/>
                      <w:spacing w:val="0"/>
                      <w:sz w:val="18"/>
                      <w:szCs w:val="18"/>
                      <w:highlight w:val="none"/>
                      <w:lang w:val="en-US" w:eastAsia="zh-CN"/>
                    </w:rPr>
                  </w:pPr>
                  <w:r>
                    <w:rPr>
                      <w:rFonts w:hint="default" w:ascii="Times New Roman" w:hAnsi="Times New Roman" w:eastAsia="宋体" w:cs="Times New Roman"/>
                      <w:color w:val="auto"/>
                      <w:spacing w:val="0"/>
                      <w:sz w:val="18"/>
                      <w:szCs w:val="18"/>
                      <w:highlight w:val="none"/>
                      <w:lang w:val="en-US" w:eastAsia="zh-CN"/>
                    </w:rPr>
                    <w:t>2</w:t>
                  </w:r>
                  <w:r>
                    <w:rPr>
                      <w:rFonts w:hint="eastAsia" w:cs="Times New Roman"/>
                      <w:color w:val="auto"/>
                      <w:spacing w:val="0"/>
                      <w:sz w:val="18"/>
                      <w:szCs w:val="18"/>
                      <w:highlight w:val="none"/>
                      <w:lang w:val="en-US" w:eastAsia="zh-CN"/>
                    </w:rPr>
                    <w:t>1</w:t>
                  </w:r>
                </w:p>
              </w:tc>
              <w:tc>
                <w:tcPr>
                  <w:tcW w:w="634" w:type="dxa"/>
                  <w:tcBorders>
                    <w:tl2br w:val="nil"/>
                    <w:tr2bl w:val="nil"/>
                  </w:tcBorders>
                  <w:noWrap w:val="0"/>
                  <w:vAlign w:val="center"/>
                </w:tcPr>
                <w:p w14:paraId="2A599E78">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42.77</w:t>
                  </w:r>
                </w:p>
              </w:tc>
              <w:tc>
                <w:tcPr>
                  <w:tcW w:w="691" w:type="dxa"/>
                  <w:tcBorders>
                    <w:tl2br w:val="nil"/>
                    <w:tr2bl w:val="nil"/>
                  </w:tcBorders>
                  <w:noWrap w:val="0"/>
                  <w:vAlign w:val="center"/>
                </w:tcPr>
                <w:p w14:paraId="3ED2C980">
                  <w:pPr>
                    <w:keepNext w:val="0"/>
                    <w:keepLines w:val="0"/>
                    <w:pageBreakBefore w:val="0"/>
                    <w:suppressLineNumbers w:val="0"/>
                    <w:kinsoku/>
                    <w:wordWrap/>
                    <w:overflowPunct/>
                    <w:topLinePunct w:val="0"/>
                    <w:autoSpaceDE/>
                    <w:autoSpaceDN/>
                    <w:bidi w:val="0"/>
                    <w:spacing w:before="0" w:beforeAutospacing="0" w:after="0" w:afterAutospacing="0"/>
                    <w:ind w:left="0" w:leftChars="0" w:right="0" w:rightChars="0" w:firstLine="0" w:firstLineChars="0"/>
                    <w:jc w:val="center"/>
                    <w:textAlignment w:val="center"/>
                    <w:rPr>
                      <w:rFonts w:hint="default" w:cs="Times New Roman"/>
                      <w:color w:val="auto"/>
                      <w:spacing w:val="0"/>
                      <w:sz w:val="18"/>
                      <w:szCs w:val="18"/>
                      <w:highlight w:val="none"/>
                      <w:lang w:val="en-US" w:eastAsia="zh-CN"/>
                    </w:rPr>
                  </w:pPr>
                  <w:r>
                    <w:rPr>
                      <w:rFonts w:hint="eastAsia" w:cs="Times New Roman"/>
                      <w:color w:val="auto"/>
                      <w:spacing w:val="0"/>
                      <w:sz w:val="18"/>
                      <w:szCs w:val="18"/>
                      <w:highlight w:val="none"/>
                      <w:lang w:val="en-US" w:eastAsia="zh-CN"/>
                    </w:rPr>
                    <w:t>1</w:t>
                  </w:r>
                </w:p>
              </w:tc>
            </w:tr>
          </w:tbl>
          <w:p w14:paraId="501F0A67">
            <w:pPr>
              <w:keepNext w:val="0"/>
              <w:keepLines w:val="0"/>
              <w:suppressLineNumbers w:val="0"/>
              <w:spacing w:before="0" w:beforeAutospacing="0" w:after="0" w:afterAutospacing="0"/>
              <w:ind w:left="0" w:right="0"/>
              <w:jc w:val="center"/>
              <w:textAlignment w:val="center"/>
              <w:rPr>
                <w:rFonts w:hint="default" w:ascii="Times New Roman" w:hAnsi="Times New Roman" w:cs="Times New Roman"/>
                <w:color w:val="auto"/>
                <w:szCs w:val="21"/>
                <w:highlight w:val="none"/>
              </w:rPr>
            </w:pPr>
            <w:r>
              <w:rPr>
                <w:rFonts w:hint="default" w:ascii="Times New Roman" w:hAnsi="Times New Roman" w:cs="Times New Roman"/>
                <w:b/>
                <w:color w:val="auto"/>
                <w:sz w:val="21"/>
                <w:szCs w:val="21"/>
                <w:highlight w:val="none"/>
                <w:u w:val="none"/>
              </w:rPr>
              <w:t>表</w:t>
            </w:r>
            <w:r>
              <w:rPr>
                <w:rFonts w:hint="default" w:ascii="Times New Roman" w:hAnsi="Times New Roman" w:cs="Times New Roman"/>
                <w:b/>
                <w:color w:val="auto"/>
                <w:sz w:val="21"/>
                <w:szCs w:val="21"/>
                <w:highlight w:val="none"/>
                <w:u w:val="none"/>
                <w:lang w:val="en-US" w:eastAsia="zh-CN"/>
              </w:rPr>
              <w:t>4</w:t>
            </w:r>
            <w:r>
              <w:rPr>
                <w:rFonts w:hint="eastAsia" w:ascii="Times New Roman" w:hAnsi="Times New Roman" w:cs="Times New Roman"/>
                <w:b/>
                <w:color w:val="auto"/>
                <w:sz w:val="21"/>
                <w:szCs w:val="21"/>
                <w:highlight w:val="none"/>
                <w:u w:val="none"/>
                <w:lang w:val="en-US" w:eastAsia="zh-CN"/>
              </w:rPr>
              <w:t>-</w:t>
            </w:r>
            <w:r>
              <w:rPr>
                <w:rFonts w:hint="eastAsia" w:cs="Times New Roman"/>
                <w:b/>
                <w:color w:val="auto"/>
                <w:sz w:val="21"/>
                <w:szCs w:val="21"/>
                <w:highlight w:val="none"/>
                <w:u w:val="none"/>
                <w:lang w:val="en-US" w:eastAsia="zh-CN"/>
              </w:rPr>
              <w:t>8</w:t>
            </w:r>
            <w:r>
              <w:rPr>
                <w:rFonts w:hint="eastAsia" w:ascii="Times New Roman" w:hAnsi="Times New Roman" w:cs="Times New Roman"/>
                <w:b/>
                <w:color w:val="auto"/>
                <w:sz w:val="21"/>
                <w:szCs w:val="21"/>
                <w:highlight w:val="none"/>
                <w:u w:val="none"/>
                <w:lang w:val="en-US" w:eastAsia="zh-CN"/>
              </w:rPr>
              <w:t xml:space="preserve"> 室外</w:t>
            </w:r>
            <w:r>
              <w:rPr>
                <w:rFonts w:hint="default" w:ascii="Times New Roman" w:hAnsi="Times New Roman" w:cs="Times New Roman"/>
                <w:b/>
                <w:color w:val="auto"/>
                <w:sz w:val="21"/>
                <w:szCs w:val="21"/>
                <w:highlight w:val="none"/>
                <w:u w:val="none"/>
              </w:rPr>
              <w:t>噪声污染源源强核算结果及相关参数一览表</w:t>
            </w:r>
          </w:p>
          <w:tbl>
            <w:tblPr>
              <w:tblStyle w:val="34"/>
              <w:tblW w:w="4976" w:type="pct"/>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4"/>
              <w:gridCol w:w="2059"/>
              <w:gridCol w:w="1088"/>
              <w:gridCol w:w="731"/>
              <w:gridCol w:w="665"/>
              <w:gridCol w:w="580"/>
              <w:gridCol w:w="1358"/>
              <w:gridCol w:w="1011"/>
              <w:gridCol w:w="661"/>
            </w:tblGrid>
            <w:tr w14:paraId="1240E163">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269" w:type="pct"/>
                  <w:vMerge w:val="restart"/>
                  <w:tcBorders>
                    <w:tl2br w:val="nil"/>
                    <w:tr2bl w:val="nil"/>
                  </w:tcBorders>
                  <w:vAlign w:val="center"/>
                </w:tcPr>
                <w:p w14:paraId="743A602C">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r>
                    <w:rPr>
                      <w:rFonts w:hint="eastAsia"/>
                      <w:bCs/>
                      <w:color w:val="auto"/>
                      <w:sz w:val="18"/>
                      <w:szCs w:val="18"/>
                      <w:highlight w:val="none"/>
                    </w:rPr>
                    <w:t>序号</w:t>
                  </w:r>
                </w:p>
              </w:tc>
              <w:tc>
                <w:tcPr>
                  <w:tcW w:w="1194" w:type="pct"/>
                  <w:vMerge w:val="restart"/>
                  <w:tcBorders>
                    <w:tl2br w:val="nil"/>
                    <w:tr2bl w:val="nil"/>
                  </w:tcBorders>
                  <w:vAlign w:val="center"/>
                </w:tcPr>
                <w:p w14:paraId="560917DB">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r>
                    <w:rPr>
                      <w:rFonts w:hint="eastAsia"/>
                      <w:bCs/>
                      <w:color w:val="auto"/>
                      <w:sz w:val="18"/>
                      <w:szCs w:val="18"/>
                      <w:highlight w:val="none"/>
                    </w:rPr>
                    <w:t>声源名称</w:t>
                  </w:r>
                </w:p>
              </w:tc>
              <w:tc>
                <w:tcPr>
                  <w:tcW w:w="631" w:type="pct"/>
                  <w:vMerge w:val="restart"/>
                  <w:tcBorders>
                    <w:tl2br w:val="nil"/>
                    <w:tr2bl w:val="nil"/>
                  </w:tcBorders>
                  <w:vAlign w:val="center"/>
                </w:tcPr>
                <w:p w14:paraId="6B005569">
                  <w:pPr>
                    <w:pStyle w:val="158"/>
                    <w:keepNext w:val="0"/>
                    <w:keepLines w:val="0"/>
                    <w:suppressLineNumbers w:val="0"/>
                    <w:spacing w:before="0" w:beforeAutospacing="0" w:after="0" w:afterAutospacing="0" w:line="240" w:lineRule="auto"/>
                    <w:ind w:left="0" w:right="0" w:firstLine="0" w:firstLineChars="0"/>
                    <w:jc w:val="center"/>
                    <w:rPr>
                      <w:rFonts w:hint="eastAsia" w:eastAsia="宋体"/>
                      <w:bCs/>
                      <w:color w:val="auto"/>
                      <w:sz w:val="18"/>
                      <w:szCs w:val="18"/>
                      <w:highlight w:val="none"/>
                      <w:lang w:val="en-US" w:eastAsia="zh-CN"/>
                    </w:rPr>
                  </w:pPr>
                  <w:r>
                    <w:rPr>
                      <w:rFonts w:hint="eastAsia"/>
                      <w:bCs/>
                      <w:color w:val="auto"/>
                      <w:sz w:val="18"/>
                      <w:szCs w:val="18"/>
                      <w:highlight w:val="none"/>
                      <w:lang w:val="en-US" w:eastAsia="zh-CN"/>
                    </w:rPr>
                    <w:t>数量（台）</w:t>
                  </w:r>
                </w:p>
              </w:tc>
              <w:tc>
                <w:tcPr>
                  <w:tcW w:w="1146" w:type="pct"/>
                  <w:gridSpan w:val="3"/>
                  <w:tcBorders>
                    <w:tl2br w:val="nil"/>
                    <w:tr2bl w:val="nil"/>
                  </w:tcBorders>
                  <w:vAlign w:val="center"/>
                </w:tcPr>
                <w:p w14:paraId="76EF9DD8">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r>
                    <w:rPr>
                      <w:rFonts w:hint="eastAsia"/>
                      <w:bCs/>
                      <w:color w:val="auto"/>
                      <w:sz w:val="18"/>
                      <w:szCs w:val="18"/>
                      <w:highlight w:val="none"/>
                    </w:rPr>
                    <w:t>空间相对位置/m</w:t>
                  </w:r>
                </w:p>
              </w:tc>
              <w:tc>
                <w:tcPr>
                  <w:tcW w:w="787" w:type="pct"/>
                  <w:tcBorders>
                    <w:tl2br w:val="nil"/>
                    <w:tr2bl w:val="nil"/>
                  </w:tcBorders>
                  <w:vAlign w:val="center"/>
                </w:tcPr>
                <w:p w14:paraId="07E1CD8E">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r>
                    <w:rPr>
                      <w:rFonts w:hint="eastAsia"/>
                      <w:bCs/>
                      <w:color w:val="auto"/>
                      <w:sz w:val="18"/>
                      <w:szCs w:val="18"/>
                      <w:highlight w:val="none"/>
                    </w:rPr>
                    <w:t>声源源强</w:t>
                  </w:r>
                </w:p>
              </w:tc>
              <w:tc>
                <w:tcPr>
                  <w:tcW w:w="586" w:type="pct"/>
                  <w:vMerge w:val="restart"/>
                  <w:tcBorders>
                    <w:tl2br w:val="nil"/>
                    <w:tr2bl w:val="nil"/>
                  </w:tcBorders>
                  <w:vAlign w:val="center"/>
                </w:tcPr>
                <w:p w14:paraId="23B7EA1A">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r>
                    <w:rPr>
                      <w:rFonts w:hint="eastAsia"/>
                      <w:bCs/>
                      <w:color w:val="auto"/>
                      <w:sz w:val="18"/>
                      <w:szCs w:val="18"/>
                      <w:highlight w:val="none"/>
                    </w:rPr>
                    <w:t>声源控制措施</w:t>
                  </w:r>
                </w:p>
              </w:tc>
              <w:tc>
                <w:tcPr>
                  <w:tcW w:w="383" w:type="pct"/>
                  <w:vMerge w:val="restart"/>
                  <w:tcBorders>
                    <w:tl2br w:val="nil"/>
                    <w:tr2bl w:val="nil"/>
                  </w:tcBorders>
                  <w:vAlign w:val="center"/>
                </w:tcPr>
                <w:p w14:paraId="66D8086C">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r>
                    <w:rPr>
                      <w:rFonts w:hint="eastAsia"/>
                      <w:bCs/>
                      <w:color w:val="auto"/>
                      <w:sz w:val="18"/>
                      <w:szCs w:val="18"/>
                      <w:highlight w:val="none"/>
                    </w:rPr>
                    <w:t>运行</w:t>
                  </w:r>
                </w:p>
                <w:p w14:paraId="28C7BA7B">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r>
                    <w:rPr>
                      <w:rFonts w:hint="eastAsia"/>
                      <w:bCs/>
                      <w:color w:val="auto"/>
                      <w:sz w:val="18"/>
                      <w:szCs w:val="18"/>
                      <w:highlight w:val="none"/>
                    </w:rPr>
                    <w:t>时段</w:t>
                  </w:r>
                </w:p>
              </w:tc>
            </w:tr>
            <w:tr w14:paraId="5E395CC9">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9" w:type="pct"/>
                  <w:vMerge w:val="continue"/>
                  <w:tcBorders>
                    <w:tl2br w:val="nil"/>
                    <w:tr2bl w:val="nil"/>
                  </w:tcBorders>
                  <w:vAlign w:val="center"/>
                </w:tcPr>
                <w:p w14:paraId="00050518">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p>
              </w:tc>
              <w:tc>
                <w:tcPr>
                  <w:tcW w:w="1194" w:type="pct"/>
                  <w:vMerge w:val="continue"/>
                  <w:tcBorders>
                    <w:tl2br w:val="nil"/>
                    <w:tr2bl w:val="nil"/>
                  </w:tcBorders>
                  <w:vAlign w:val="center"/>
                </w:tcPr>
                <w:p w14:paraId="1BE526DA">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p>
              </w:tc>
              <w:tc>
                <w:tcPr>
                  <w:tcW w:w="631" w:type="pct"/>
                  <w:vMerge w:val="continue"/>
                  <w:tcBorders>
                    <w:tl2br w:val="nil"/>
                    <w:tr2bl w:val="nil"/>
                  </w:tcBorders>
                  <w:vAlign w:val="center"/>
                </w:tcPr>
                <w:p w14:paraId="71B70171">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p>
              </w:tc>
              <w:tc>
                <w:tcPr>
                  <w:tcW w:w="424" w:type="pct"/>
                  <w:tcBorders>
                    <w:tl2br w:val="nil"/>
                    <w:tr2bl w:val="nil"/>
                  </w:tcBorders>
                  <w:vAlign w:val="center"/>
                </w:tcPr>
                <w:p w14:paraId="390D8696">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r>
                    <w:rPr>
                      <w:rFonts w:hint="eastAsia"/>
                      <w:bCs/>
                      <w:color w:val="auto"/>
                      <w:sz w:val="18"/>
                      <w:szCs w:val="18"/>
                      <w:highlight w:val="none"/>
                    </w:rPr>
                    <w:t>X</w:t>
                  </w:r>
                </w:p>
              </w:tc>
              <w:tc>
                <w:tcPr>
                  <w:tcW w:w="385" w:type="pct"/>
                  <w:tcBorders>
                    <w:tl2br w:val="nil"/>
                    <w:tr2bl w:val="nil"/>
                  </w:tcBorders>
                  <w:vAlign w:val="center"/>
                </w:tcPr>
                <w:p w14:paraId="419E8AC1">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r>
                    <w:rPr>
                      <w:rFonts w:hint="eastAsia"/>
                      <w:bCs/>
                      <w:color w:val="auto"/>
                      <w:sz w:val="18"/>
                      <w:szCs w:val="18"/>
                      <w:highlight w:val="none"/>
                    </w:rPr>
                    <w:t>Y</w:t>
                  </w:r>
                </w:p>
              </w:tc>
              <w:tc>
                <w:tcPr>
                  <w:tcW w:w="336" w:type="pct"/>
                  <w:tcBorders>
                    <w:tl2br w:val="nil"/>
                    <w:tr2bl w:val="nil"/>
                  </w:tcBorders>
                  <w:vAlign w:val="center"/>
                </w:tcPr>
                <w:p w14:paraId="68842472">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r>
                    <w:rPr>
                      <w:rFonts w:hint="eastAsia"/>
                      <w:bCs/>
                      <w:color w:val="auto"/>
                      <w:sz w:val="18"/>
                      <w:szCs w:val="18"/>
                      <w:highlight w:val="none"/>
                    </w:rPr>
                    <w:t>Z</w:t>
                  </w:r>
                </w:p>
              </w:tc>
              <w:tc>
                <w:tcPr>
                  <w:tcW w:w="787" w:type="pct"/>
                  <w:tcBorders>
                    <w:tl2br w:val="nil"/>
                    <w:tr2bl w:val="nil"/>
                  </w:tcBorders>
                  <w:vAlign w:val="center"/>
                </w:tcPr>
                <w:p w14:paraId="73008C9B">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r>
                    <w:rPr>
                      <w:rFonts w:hint="eastAsia"/>
                      <w:bCs/>
                      <w:color w:val="auto"/>
                      <w:sz w:val="18"/>
                      <w:szCs w:val="18"/>
                      <w:highlight w:val="none"/>
                    </w:rPr>
                    <w:t>声功率级/dB（A）</w:t>
                  </w:r>
                </w:p>
              </w:tc>
              <w:tc>
                <w:tcPr>
                  <w:tcW w:w="586" w:type="pct"/>
                  <w:vMerge w:val="continue"/>
                  <w:tcBorders>
                    <w:tl2br w:val="nil"/>
                    <w:tr2bl w:val="nil"/>
                  </w:tcBorders>
                  <w:vAlign w:val="center"/>
                </w:tcPr>
                <w:p w14:paraId="6D4DAB39">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p>
              </w:tc>
              <w:tc>
                <w:tcPr>
                  <w:tcW w:w="383" w:type="pct"/>
                  <w:vMerge w:val="continue"/>
                  <w:tcBorders>
                    <w:tl2br w:val="nil"/>
                    <w:tr2bl w:val="nil"/>
                  </w:tcBorders>
                  <w:vAlign w:val="center"/>
                </w:tcPr>
                <w:p w14:paraId="60EE7751">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p>
              </w:tc>
            </w:tr>
            <w:tr w14:paraId="64E6623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269" w:type="pct"/>
                  <w:tcBorders>
                    <w:tl2br w:val="nil"/>
                    <w:tr2bl w:val="nil"/>
                  </w:tcBorders>
                  <w:vAlign w:val="center"/>
                </w:tcPr>
                <w:p w14:paraId="7D3C4A88">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r>
                    <w:rPr>
                      <w:rFonts w:hint="eastAsia"/>
                      <w:bCs/>
                      <w:color w:val="auto"/>
                      <w:sz w:val="18"/>
                      <w:szCs w:val="18"/>
                      <w:highlight w:val="none"/>
                    </w:rPr>
                    <w:t>1</w:t>
                  </w:r>
                </w:p>
              </w:tc>
              <w:tc>
                <w:tcPr>
                  <w:tcW w:w="1194" w:type="pct"/>
                  <w:tcBorders>
                    <w:tl2br w:val="nil"/>
                    <w:tr2bl w:val="nil"/>
                  </w:tcBorders>
                  <w:vAlign w:val="center"/>
                </w:tcPr>
                <w:p w14:paraId="342893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eastAsia="宋体"/>
                      <w:bCs/>
                      <w:color w:val="auto"/>
                      <w:sz w:val="18"/>
                      <w:szCs w:val="18"/>
                      <w:highlight w:val="none"/>
                      <w:lang w:val="en-US" w:eastAsia="zh-CN"/>
                    </w:rPr>
                  </w:pPr>
                  <w:r>
                    <w:rPr>
                      <w:rFonts w:hint="eastAsia"/>
                      <w:bCs/>
                      <w:color w:val="auto"/>
                      <w:sz w:val="18"/>
                      <w:szCs w:val="18"/>
                      <w:highlight w:val="none"/>
                      <w:lang w:val="en-US" w:eastAsia="zh-CN"/>
                    </w:rPr>
                    <w:t>铲车</w:t>
                  </w:r>
                </w:p>
              </w:tc>
              <w:tc>
                <w:tcPr>
                  <w:tcW w:w="631" w:type="pct"/>
                  <w:tcBorders>
                    <w:tl2br w:val="nil"/>
                    <w:tr2bl w:val="nil"/>
                  </w:tcBorders>
                  <w:vAlign w:val="center"/>
                </w:tcPr>
                <w:p w14:paraId="7E268A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eastAsia="宋体"/>
                      <w:color w:val="auto"/>
                      <w:sz w:val="18"/>
                      <w:szCs w:val="18"/>
                      <w:highlight w:val="none"/>
                      <w:lang w:val="en-US" w:eastAsia="zh-CN"/>
                    </w:rPr>
                  </w:pPr>
                  <w:r>
                    <w:rPr>
                      <w:rFonts w:hint="eastAsia"/>
                      <w:color w:val="auto"/>
                      <w:sz w:val="18"/>
                      <w:szCs w:val="18"/>
                      <w:highlight w:val="none"/>
                      <w:lang w:val="en-US" w:eastAsia="zh-CN"/>
                    </w:rPr>
                    <w:t>1</w:t>
                  </w:r>
                </w:p>
              </w:tc>
              <w:tc>
                <w:tcPr>
                  <w:tcW w:w="424" w:type="pct"/>
                  <w:tcBorders>
                    <w:tl2br w:val="nil"/>
                    <w:tr2bl w:val="nil"/>
                  </w:tcBorders>
                  <w:vAlign w:val="center"/>
                </w:tcPr>
                <w:p w14:paraId="027613E5">
                  <w:pPr>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lang w:val="en-US"/>
                    </w:rPr>
                  </w:pPr>
                  <w:r>
                    <w:rPr>
                      <w:rFonts w:hint="eastAsia"/>
                      <w:bCs/>
                      <w:color w:val="auto"/>
                      <w:sz w:val="18"/>
                      <w:szCs w:val="18"/>
                      <w:highlight w:val="none"/>
                      <w:lang w:val="en-US" w:eastAsia="zh-CN"/>
                    </w:rPr>
                    <w:t>/</w:t>
                  </w:r>
                </w:p>
              </w:tc>
              <w:tc>
                <w:tcPr>
                  <w:tcW w:w="385" w:type="pct"/>
                  <w:tcBorders>
                    <w:tl2br w:val="nil"/>
                    <w:tr2bl w:val="nil"/>
                  </w:tcBorders>
                  <w:vAlign w:val="center"/>
                </w:tcPr>
                <w:p w14:paraId="43436154">
                  <w:pPr>
                    <w:keepNext w:val="0"/>
                    <w:keepLines w:val="0"/>
                    <w:suppressLineNumbers w:val="0"/>
                    <w:spacing w:before="0" w:beforeAutospacing="0" w:after="0" w:afterAutospacing="0" w:line="240" w:lineRule="auto"/>
                    <w:ind w:left="0" w:right="0" w:firstLine="0" w:firstLineChars="0"/>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w:t>
                  </w:r>
                </w:p>
              </w:tc>
              <w:tc>
                <w:tcPr>
                  <w:tcW w:w="336" w:type="pct"/>
                  <w:tcBorders>
                    <w:tl2br w:val="nil"/>
                    <w:tr2bl w:val="nil"/>
                  </w:tcBorders>
                  <w:vAlign w:val="center"/>
                </w:tcPr>
                <w:p w14:paraId="241A22DD">
                  <w:pPr>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r>
                    <w:rPr>
                      <w:rFonts w:hint="eastAsia"/>
                      <w:bCs/>
                      <w:color w:val="auto"/>
                      <w:sz w:val="18"/>
                      <w:szCs w:val="18"/>
                      <w:highlight w:val="none"/>
                      <w:lang w:val="en-US" w:eastAsia="zh-CN"/>
                    </w:rPr>
                    <w:t>/</w:t>
                  </w:r>
                </w:p>
              </w:tc>
              <w:tc>
                <w:tcPr>
                  <w:tcW w:w="787" w:type="pct"/>
                  <w:tcBorders>
                    <w:tl2br w:val="nil"/>
                    <w:tr2bl w:val="nil"/>
                  </w:tcBorders>
                  <w:vAlign w:val="center"/>
                </w:tcPr>
                <w:p w14:paraId="1830C173">
                  <w:pPr>
                    <w:keepNext w:val="0"/>
                    <w:keepLines w:val="0"/>
                    <w:suppressLineNumbers w:val="0"/>
                    <w:spacing w:before="0" w:beforeAutospacing="0" w:after="0" w:afterAutospacing="0"/>
                    <w:ind w:left="0" w:right="0"/>
                    <w:jc w:val="center"/>
                    <w:rPr>
                      <w:rFonts w:hint="default" w:eastAsia="宋体"/>
                      <w:bCs/>
                      <w:color w:val="auto"/>
                      <w:sz w:val="18"/>
                      <w:szCs w:val="18"/>
                      <w:highlight w:val="none"/>
                      <w:lang w:val="en-US" w:eastAsia="zh-CN"/>
                    </w:rPr>
                  </w:pPr>
                  <w:r>
                    <w:rPr>
                      <w:rFonts w:hint="eastAsia"/>
                      <w:color w:val="auto"/>
                      <w:sz w:val="18"/>
                      <w:szCs w:val="18"/>
                      <w:highlight w:val="none"/>
                      <w:lang w:val="en-US" w:eastAsia="zh-CN"/>
                    </w:rPr>
                    <w:t>80</w:t>
                  </w:r>
                </w:p>
              </w:tc>
              <w:tc>
                <w:tcPr>
                  <w:tcW w:w="586" w:type="pct"/>
                  <w:vMerge w:val="restart"/>
                  <w:tcBorders>
                    <w:tl2br w:val="nil"/>
                    <w:tr2bl w:val="nil"/>
                  </w:tcBorders>
                  <w:vAlign w:val="center"/>
                </w:tcPr>
                <w:p w14:paraId="668DE1F7">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lang w:val="en-US"/>
                    </w:rPr>
                  </w:pPr>
                  <w:r>
                    <w:rPr>
                      <w:rFonts w:hint="eastAsia"/>
                      <w:color w:val="auto"/>
                      <w:sz w:val="18"/>
                      <w:szCs w:val="18"/>
                      <w:highlight w:val="none"/>
                    </w:rPr>
                    <w:t>已</w:t>
                  </w:r>
                  <w:r>
                    <w:rPr>
                      <w:rFonts w:hint="default"/>
                      <w:color w:val="auto"/>
                      <w:sz w:val="18"/>
                      <w:szCs w:val="18"/>
                      <w:highlight w:val="none"/>
                    </w:rPr>
                    <w:t>选用低噪声设备，</w:t>
                  </w:r>
                  <w:r>
                    <w:rPr>
                      <w:rFonts w:hint="eastAsia"/>
                      <w:color w:val="auto"/>
                      <w:sz w:val="18"/>
                      <w:szCs w:val="18"/>
                      <w:highlight w:val="none"/>
                      <w:lang w:val="en-US" w:eastAsia="zh-CN"/>
                    </w:rPr>
                    <w:t>基础减震</w:t>
                  </w:r>
                  <w:r>
                    <w:rPr>
                      <w:rFonts w:hint="default"/>
                      <w:color w:val="auto"/>
                      <w:sz w:val="18"/>
                      <w:szCs w:val="18"/>
                      <w:highlight w:val="none"/>
                    </w:rPr>
                    <w:t>、</w:t>
                  </w:r>
                  <w:r>
                    <w:rPr>
                      <w:rFonts w:hint="eastAsia"/>
                      <w:color w:val="auto"/>
                      <w:sz w:val="18"/>
                      <w:szCs w:val="18"/>
                      <w:highlight w:val="none"/>
                      <w:lang w:val="en-US" w:eastAsia="zh-CN"/>
                    </w:rPr>
                    <w:t>设备密闭等措施</w:t>
                  </w:r>
                </w:p>
              </w:tc>
              <w:tc>
                <w:tcPr>
                  <w:tcW w:w="383" w:type="pct"/>
                  <w:tcBorders>
                    <w:tl2br w:val="nil"/>
                    <w:tr2bl w:val="nil"/>
                  </w:tcBorders>
                  <w:vAlign w:val="center"/>
                </w:tcPr>
                <w:p w14:paraId="57925304">
                  <w:pPr>
                    <w:keepNext w:val="0"/>
                    <w:keepLines w:val="0"/>
                    <w:suppressLineNumbers w:val="0"/>
                    <w:spacing w:before="0" w:beforeAutospacing="0" w:after="0" w:afterAutospacing="0"/>
                    <w:ind w:left="0" w:right="0"/>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3000</w:t>
                  </w:r>
                </w:p>
              </w:tc>
            </w:tr>
            <w:tr w14:paraId="7423442C">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9" w:hRule="atLeast"/>
                <w:jc w:val="center"/>
              </w:trPr>
              <w:tc>
                <w:tcPr>
                  <w:tcW w:w="269" w:type="pct"/>
                  <w:tcBorders>
                    <w:tl2br w:val="nil"/>
                    <w:tr2bl w:val="nil"/>
                  </w:tcBorders>
                  <w:vAlign w:val="center"/>
                </w:tcPr>
                <w:p w14:paraId="7B77CE26">
                  <w:pPr>
                    <w:pStyle w:val="158"/>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rPr>
                  </w:pPr>
                  <w:r>
                    <w:rPr>
                      <w:rFonts w:hint="eastAsia"/>
                      <w:bCs/>
                      <w:color w:val="auto"/>
                      <w:sz w:val="18"/>
                      <w:szCs w:val="18"/>
                      <w:highlight w:val="none"/>
                    </w:rPr>
                    <w:t>2</w:t>
                  </w:r>
                </w:p>
              </w:tc>
              <w:tc>
                <w:tcPr>
                  <w:tcW w:w="1194" w:type="pct"/>
                  <w:tcBorders>
                    <w:tl2br w:val="nil"/>
                    <w:tr2bl w:val="nil"/>
                  </w:tcBorders>
                  <w:vAlign w:val="center"/>
                </w:tcPr>
                <w:p w14:paraId="2338AD1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leftChars="0" w:right="0" w:rightChars="0"/>
                    <w:jc w:val="center"/>
                    <w:textAlignment w:val="auto"/>
                    <w:rPr>
                      <w:rFonts w:hint="default"/>
                      <w:bCs/>
                      <w:color w:val="auto"/>
                      <w:sz w:val="18"/>
                      <w:szCs w:val="18"/>
                      <w:highlight w:val="none"/>
                      <w:lang w:val="en-US"/>
                    </w:rPr>
                  </w:pPr>
                  <w:r>
                    <w:rPr>
                      <w:rFonts w:hint="eastAsia"/>
                      <w:color w:val="auto"/>
                      <w:sz w:val="18"/>
                      <w:szCs w:val="18"/>
                      <w:highlight w:val="none"/>
                      <w:lang w:val="en-US" w:eastAsia="zh-CN"/>
                    </w:rPr>
                    <w:t>运输车辆</w:t>
                  </w:r>
                </w:p>
              </w:tc>
              <w:tc>
                <w:tcPr>
                  <w:tcW w:w="631" w:type="pct"/>
                  <w:tcBorders>
                    <w:tl2br w:val="nil"/>
                    <w:tr2bl w:val="nil"/>
                  </w:tcBorders>
                  <w:vAlign w:val="center"/>
                </w:tcPr>
                <w:p w14:paraId="3398D11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eastAsia="宋体"/>
                      <w:color w:val="auto"/>
                      <w:sz w:val="18"/>
                      <w:szCs w:val="18"/>
                      <w:highlight w:val="none"/>
                      <w:lang w:val="en-US" w:eastAsia="zh-CN"/>
                    </w:rPr>
                  </w:pPr>
                  <w:r>
                    <w:rPr>
                      <w:rFonts w:hint="eastAsia"/>
                      <w:color w:val="auto"/>
                      <w:sz w:val="18"/>
                      <w:szCs w:val="18"/>
                      <w:highlight w:val="none"/>
                      <w:lang w:val="en-US" w:eastAsia="zh-CN"/>
                    </w:rPr>
                    <w:t>2</w:t>
                  </w:r>
                </w:p>
              </w:tc>
              <w:tc>
                <w:tcPr>
                  <w:tcW w:w="424" w:type="pct"/>
                  <w:tcBorders>
                    <w:tl2br w:val="nil"/>
                    <w:tr2bl w:val="nil"/>
                  </w:tcBorders>
                  <w:vAlign w:val="center"/>
                </w:tcPr>
                <w:p w14:paraId="5687E980">
                  <w:pPr>
                    <w:keepNext w:val="0"/>
                    <w:keepLines w:val="0"/>
                    <w:suppressLineNumbers w:val="0"/>
                    <w:spacing w:before="0" w:beforeAutospacing="0" w:after="0" w:afterAutospacing="0" w:line="240" w:lineRule="auto"/>
                    <w:ind w:left="0" w:right="0" w:firstLine="0" w:firstLineChars="0"/>
                    <w:jc w:val="center"/>
                    <w:rPr>
                      <w:rFonts w:hint="default"/>
                      <w:bCs/>
                      <w:color w:val="auto"/>
                      <w:sz w:val="18"/>
                      <w:szCs w:val="18"/>
                      <w:highlight w:val="none"/>
                      <w:lang w:val="en-US"/>
                    </w:rPr>
                  </w:pPr>
                  <w:r>
                    <w:rPr>
                      <w:rFonts w:hint="eastAsia"/>
                      <w:bCs/>
                      <w:color w:val="auto"/>
                      <w:sz w:val="18"/>
                      <w:szCs w:val="18"/>
                      <w:highlight w:val="none"/>
                      <w:lang w:val="en-US" w:eastAsia="zh-CN"/>
                    </w:rPr>
                    <w:t>/</w:t>
                  </w:r>
                </w:p>
              </w:tc>
              <w:tc>
                <w:tcPr>
                  <w:tcW w:w="385" w:type="pct"/>
                  <w:tcBorders>
                    <w:tl2br w:val="nil"/>
                    <w:tr2bl w:val="nil"/>
                  </w:tcBorders>
                  <w:vAlign w:val="center"/>
                </w:tcPr>
                <w:p w14:paraId="62685F2C">
                  <w:pPr>
                    <w:keepNext w:val="0"/>
                    <w:keepLines w:val="0"/>
                    <w:suppressLineNumbers w:val="0"/>
                    <w:spacing w:before="0" w:beforeAutospacing="0" w:after="0" w:afterAutospacing="0" w:line="240" w:lineRule="auto"/>
                    <w:ind w:left="0" w:right="0" w:firstLine="0" w:firstLineChars="0"/>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w:t>
                  </w:r>
                </w:p>
              </w:tc>
              <w:tc>
                <w:tcPr>
                  <w:tcW w:w="336" w:type="pct"/>
                  <w:tcBorders>
                    <w:tl2br w:val="nil"/>
                    <w:tr2bl w:val="nil"/>
                  </w:tcBorders>
                  <w:vAlign w:val="center"/>
                </w:tcPr>
                <w:p w14:paraId="199961BB">
                  <w:pPr>
                    <w:keepNext w:val="0"/>
                    <w:keepLines w:val="0"/>
                    <w:suppressLineNumbers w:val="0"/>
                    <w:spacing w:before="0" w:beforeAutospacing="0" w:after="0" w:afterAutospacing="0"/>
                    <w:ind w:left="0" w:right="0"/>
                    <w:jc w:val="center"/>
                    <w:rPr>
                      <w:rFonts w:hint="default"/>
                      <w:bCs/>
                      <w:color w:val="auto"/>
                      <w:sz w:val="18"/>
                      <w:szCs w:val="18"/>
                      <w:highlight w:val="none"/>
                    </w:rPr>
                  </w:pPr>
                  <w:r>
                    <w:rPr>
                      <w:rFonts w:hint="eastAsia"/>
                      <w:bCs/>
                      <w:color w:val="auto"/>
                      <w:sz w:val="18"/>
                      <w:szCs w:val="18"/>
                      <w:highlight w:val="none"/>
                      <w:lang w:val="en-US" w:eastAsia="zh-CN"/>
                    </w:rPr>
                    <w:t>/</w:t>
                  </w:r>
                </w:p>
              </w:tc>
              <w:tc>
                <w:tcPr>
                  <w:tcW w:w="787" w:type="pct"/>
                  <w:tcBorders>
                    <w:tl2br w:val="nil"/>
                    <w:tr2bl w:val="nil"/>
                  </w:tcBorders>
                  <w:vAlign w:val="center"/>
                </w:tcPr>
                <w:p w14:paraId="25BBE524">
                  <w:pPr>
                    <w:keepNext w:val="0"/>
                    <w:keepLines w:val="0"/>
                    <w:suppressLineNumbers w:val="0"/>
                    <w:spacing w:before="0" w:beforeAutospacing="0" w:after="0" w:afterAutospacing="0"/>
                    <w:ind w:left="0" w:right="0"/>
                    <w:jc w:val="center"/>
                    <w:rPr>
                      <w:rFonts w:hint="default" w:eastAsia="宋体"/>
                      <w:bCs/>
                      <w:color w:val="auto"/>
                      <w:sz w:val="18"/>
                      <w:szCs w:val="18"/>
                      <w:highlight w:val="none"/>
                      <w:lang w:val="en-US" w:eastAsia="zh-CN"/>
                    </w:rPr>
                  </w:pPr>
                  <w:r>
                    <w:rPr>
                      <w:rFonts w:hint="eastAsia"/>
                      <w:color w:val="auto"/>
                      <w:sz w:val="18"/>
                      <w:szCs w:val="18"/>
                      <w:highlight w:val="none"/>
                      <w:lang w:val="en-US" w:eastAsia="zh-CN"/>
                    </w:rPr>
                    <w:t>80</w:t>
                  </w:r>
                </w:p>
              </w:tc>
              <w:tc>
                <w:tcPr>
                  <w:tcW w:w="586" w:type="pct"/>
                  <w:vMerge w:val="continue"/>
                  <w:tcBorders>
                    <w:tl2br w:val="nil"/>
                    <w:tr2bl w:val="nil"/>
                  </w:tcBorders>
                  <w:vAlign w:val="center"/>
                </w:tcPr>
                <w:p w14:paraId="1F46452D">
                  <w:pPr>
                    <w:pStyle w:val="158"/>
                    <w:keepNext w:val="0"/>
                    <w:keepLines w:val="0"/>
                    <w:suppressLineNumbers w:val="0"/>
                    <w:spacing w:before="0" w:beforeAutospacing="0" w:after="0" w:afterAutospacing="0" w:line="240" w:lineRule="auto"/>
                    <w:ind w:left="0" w:right="0" w:firstLine="0" w:firstLineChars="0"/>
                    <w:jc w:val="center"/>
                    <w:rPr>
                      <w:rFonts w:hint="default"/>
                      <w:color w:val="auto"/>
                      <w:sz w:val="18"/>
                      <w:szCs w:val="18"/>
                      <w:highlight w:val="none"/>
                    </w:rPr>
                  </w:pPr>
                </w:p>
              </w:tc>
              <w:tc>
                <w:tcPr>
                  <w:tcW w:w="383" w:type="pct"/>
                  <w:tcBorders>
                    <w:tl2br w:val="nil"/>
                    <w:tr2bl w:val="nil"/>
                  </w:tcBorders>
                  <w:vAlign w:val="center"/>
                </w:tcPr>
                <w:p w14:paraId="0325DC5A">
                  <w:pPr>
                    <w:keepNext w:val="0"/>
                    <w:keepLines w:val="0"/>
                    <w:suppressLineNumbers w:val="0"/>
                    <w:spacing w:before="0" w:beforeAutospacing="0" w:after="0" w:afterAutospacing="0"/>
                    <w:ind w:left="0" w:right="0"/>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1200</w:t>
                  </w:r>
                </w:p>
              </w:tc>
            </w:tr>
          </w:tbl>
          <w:p w14:paraId="661153CE">
            <w:pPr>
              <w:pStyle w:val="163"/>
              <w:keepNext w:val="0"/>
              <w:keepLines w:val="0"/>
              <w:suppressLineNumbers w:val="0"/>
              <w:spacing w:before="0" w:beforeAutospacing="0" w:after="0" w:afterAutospacing="0"/>
              <w:ind w:left="0" w:right="0" w:firstLine="480"/>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（2）影响预测</w:t>
            </w:r>
          </w:p>
          <w:p w14:paraId="1AC3036D">
            <w:pPr>
              <w:pStyle w:val="163"/>
              <w:keepNext w:val="0"/>
              <w:keepLines w:val="0"/>
              <w:suppressLineNumbers w:val="0"/>
              <w:spacing w:before="0" w:beforeAutospacing="0" w:after="0" w:afterAutospacing="0"/>
              <w:ind w:left="0" w:right="0" w:firstLine="480"/>
              <w:rPr>
                <w:rFonts w:hint="eastAsia" w:ascii="Times New Roman" w:hAnsi="Times New Roman" w:eastAsia="宋体" w:cs="Times New Roman"/>
                <w:color w:val="auto"/>
                <w:kern w:val="2"/>
                <w:sz w:val="21"/>
                <w:szCs w:val="24"/>
                <w:highlight w:val="none"/>
                <w:lang w:val="en-US" w:eastAsia="zh-CN" w:bidi="ar-SA"/>
              </w:rPr>
            </w:pPr>
            <w:r>
              <w:rPr>
                <w:rFonts w:hint="eastAsia" w:ascii="Times New Roman" w:hAnsi="Times New Roman" w:eastAsia="宋体" w:cs="Times New Roman"/>
                <w:color w:val="auto"/>
                <w:kern w:val="2"/>
                <w:sz w:val="21"/>
                <w:szCs w:val="24"/>
                <w:highlight w:val="none"/>
                <w:lang w:val="en-US" w:eastAsia="zh-CN" w:bidi="ar-SA"/>
              </w:rPr>
              <w:t>①预测模式</w:t>
            </w:r>
          </w:p>
          <w:p w14:paraId="72AEC8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（1）建筑物插入损失计算 </w:t>
            </w:r>
          </w:p>
          <w:p w14:paraId="6466D3E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根据《环境影响评价技术导则 声环境》（HJ2.4-2021）附录B可知，室内声源可采用等效室外声源声功率级法进行计算。设靠近开口处（或窗户）室内、室外某倍频带的声压级分别为LP1和LP2。若声源所在室内声场为近似扩散声场，则室外的倍频带声压级可按以下公式近似求出： </w:t>
            </w:r>
          </w:p>
          <w:p w14:paraId="6C8AB8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LP2＝LP1-（TL+6）</w:t>
            </w:r>
          </w:p>
          <w:p w14:paraId="198FED8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cs="Times New Roman"/>
                <w:color w:val="auto"/>
                <w:kern w:val="0"/>
                <w:sz w:val="21"/>
                <w:szCs w:val="21"/>
                <w:highlight w:val="none"/>
                <w:shd w:val="clear" w:color="auto" w:fill="auto"/>
                <w:lang w:val="en-US" w:eastAsia="zh-CN"/>
              </w:rPr>
              <w:t xml:space="preserve">式中：TL—隔墙（或窗户）倍频带的隔声量，dB。 </w:t>
            </w:r>
          </w:p>
          <w:p w14:paraId="2D54AAC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kern w:val="0"/>
                <w:sz w:val="21"/>
                <w:szCs w:val="21"/>
                <w:highlight w:val="none"/>
                <w:shd w:val="clear" w:color="auto" w:fill="auto"/>
                <w:lang w:val="en-US" w:eastAsia="zh-CN"/>
              </w:rPr>
            </w:pPr>
            <w:r>
              <w:rPr>
                <w:rFonts w:hint="default" w:ascii="Times New Roman" w:hAnsi="Times New Roman" w:eastAsia="宋体" w:cs="Times New Roman"/>
                <w:color w:val="auto"/>
                <w:kern w:val="0"/>
                <w:sz w:val="21"/>
                <w:szCs w:val="21"/>
                <w:highlight w:val="none"/>
                <w:lang w:val="en-US" w:eastAsia="zh-CN" w:bidi="ar"/>
              </w:rPr>
              <w:t>综上可知，建筑物插入损失等于建筑物隔音量+6。根据《环境工程手册环境噪声控制卷》表4-14可知，单层板平均隔声量为 20.5dB（A），240厚砖墙（双面抹灰）平均隔声量为 52.6dB（A），本项目设备设置减振装置，</w:t>
            </w:r>
            <w:r>
              <w:rPr>
                <w:rFonts w:hint="default" w:ascii="Times New Roman" w:hAnsi="Times New Roman" w:cs="Times New Roman"/>
                <w:color w:val="auto"/>
                <w:kern w:val="0"/>
                <w:sz w:val="21"/>
                <w:szCs w:val="21"/>
                <w:highlight w:val="none"/>
                <w:lang w:val="en-US" w:eastAsia="zh-CN" w:bidi="ar"/>
              </w:rPr>
              <w:t>1车间为</w:t>
            </w:r>
            <w:r>
              <w:rPr>
                <w:rFonts w:hint="default" w:ascii="Times New Roman" w:hAnsi="Times New Roman" w:eastAsia="宋体" w:cs="Times New Roman"/>
                <w:color w:val="auto"/>
                <w:kern w:val="0"/>
                <w:sz w:val="21"/>
                <w:szCs w:val="21"/>
                <w:highlight w:val="none"/>
                <w:lang w:val="en-US" w:eastAsia="zh-CN" w:bidi="ar"/>
              </w:rPr>
              <w:t>钢架结构，</w:t>
            </w:r>
            <w:r>
              <w:rPr>
                <w:rFonts w:hint="default" w:ascii="Times New Roman" w:hAnsi="Times New Roman" w:cs="Times New Roman"/>
                <w:color w:val="auto"/>
                <w:kern w:val="0"/>
                <w:sz w:val="21"/>
                <w:szCs w:val="21"/>
                <w:highlight w:val="none"/>
                <w:lang w:val="en-US" w:eastAsia="zh-CN" w:bidi="ar"/>
              </w:rPr>
              <w:t>2</w:t>
            </w:r>
            <w:r>
              <w:rPr>
                <w:rFonts w:hint="default" w:ascii="Times New Roman" w:hAnsi="Times New Roman" w:eastAsia="宋体" w:cs="Times New Roman"/>
                <w:color w:val="auto"/>
                <w:kern w:val="0"/>
                <w:sz w:val="21"/>
                <w:szCs w:val="21"/>
                <w:highlight w:val="none"/>
                <w:lang w:val="en-US" w:eastAsia="zh-CN" w:bidi="ar"/>
              </w:rPr>
              <w:t xml:space="preserve">车间为砖混结构建筑，综合考虑，本项目建筑物隔音量 </w:t>
            </w:r>
            <w:r>
              <w:rPr>
                <w:rFonts w:hint="eastAsia" w:ascii="Times New Roman" w:hAnsi="Times New Roman" w:cs="Times New Roman"/>
                <w:color w:val="auto"/>
                <w:kern w:val="0"/>
                <w:sz w:val="21"/>
                <w:szCs w:val="21"/>
                <w:highlight w:val="none"/>
                <w:lang w:val="en-US" w:eastAsia="zh-CN" w:bidi="ar"/>
              </w:rPr>
              <w:t>15d</w:t>
            </w:r>
            <w:r>
              <w:rPr>
                <w:rFonts w:hint="default" w:ascii="Times New Roman" w:hAnsi="Times New Roman" w:eastAsia="宋体" w:cs="Times New Roman"/>
                <w:color w:val="auto"/>
                <w:kern w:val="0"/>
                <w:sz w:val="21"/>
                <w:szCs w:val="21"/>
                <w:highlight w:val="none"/>
                <w:lang w:val="en-US" w:eastAsia="zh-CN" w:bidi="ar"/>
              </w:rPr>
              <w:t>B（A），则建筑物插入损失即为 2</w:t>
            </w:r>
            <w:r>
              <w:rPr>
                <w:rFonts w:hint="eastAsia" w:ascii="Times New Roman" w:hAnsi="Times New Roman" w:cs="Times New Roman"/>
                <w:color w:val="auto"/>
                <w:kern w:val="0"/>
                <w:sz w:val="21"/>
                <w:szCs w:val="21"/>
                <w:highlight w:val="none"/>
                <w:lang w:val="en-US" w:eastAsia="zh-CN" w:bidi="ar"/>
              </w:rPr>
              <w:t>1</w:t>
            </w:r>
            <w:r>
              <w:rPr>
                <w:rFonts w:hint="default" w:ascii="Times New Roman" w:hAnsi="Times New Roman" w:eastAsia="宋体" w:cs="Times New Roman"/>
                <w:color w:val="auto"/>
                <w:kern w:val="0"/>
                <w:sz w:val="21"/>
                <w:szCs w:val="21"/>
                <w:highlight w:val="none"/>
                <w:lang w:val="en-US" w:eastAsia="zh-CN" w:bidi="ar"/>
              </w:rPr>
              <w:t>dB（A）。</w:t>
            </w:r>
          </w:p>
          <w:p w14:paraId="08ED9E0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（2）噪声预测模式及方法 </w:t>
            </w:r>
          </w:p>
          <w:p w14:paraId="26477D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根据《环境影响评价技术导则 声环境》（HJ2.4-2021）中规定，本项目选用导则中附录 A、B 中给定的噪声预测模型，在不能取得声源倍频带声功率级或倍频带声压级，只能获得 A 声功率级或某点的 A 声级时，可用 A 声功率级或某点的 A 声级计算。 </w:t>
            </w:r>
          </w:p>
          <w:p w14:paraId="2BA221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1）基本公式 </w:t>
            </w:r>
          </w:p>
          <w:p w14:paraId="2D0C10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Lp(r)=Lw+DC-(Adiv++Aatm+Agr+Abar+Amisc)</w:t>
            </w:r>
          </w:p>
          <w:p w14:paraId="5D95AC1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式中 Lp(r)——预测点处声压级，dB； </w:t>
            </w:r>
          </w:p>
          <w:p w14:paraId="54669A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Lw——由点声源产生的声功率级（A 计权或倍频带），dB； </w:t>
            </w:r>
          </w:p>
          <w:p w14:paraId="2F9812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DC——指向性校正，它描述点声源的等效连续声压级与产生声功率级 Lw 的全向点声源在规定方向的声级的偏差程度，dB；</w:t>
            </w:r>
          </w:p>
          <w:p w14:paraId="070FEA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Adiv——几何发散引起的衰减，dB； </w:t>
            </w:r>
          </w:p>
          <w:p w14:paraId="597102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Aatm——大气吸收引起的衰减，dB； </w:t>
            </w:r>
          </w:p>
          <w:p w14:paraId="37A512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Agr——地面效应引起的衰减，dB； </w:t>
            </w:r>
          </w:p>
          <w:p w14:paraId="2E49CF3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Abar——障碍物屏蔽引起的衰减，dB； </w:t>
            </w:r>
          </w:p>
          <w:p w14:paraId="3A3EBB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Amisc——其他多方面效应引起的衰减，dB。 </w:t>
            </w:r>
          </w:p>
          <w:p w14:paraId="3559FAA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2）预测条件假设 </w:t>
            </w:r>
          </w:p>
          <w:p w14:paraId="3E10CAB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①所有产噪设备均在正常工况条件下运行； </w:t>
            </w:r>
          </w:p>
          <w:p w14:paraId="208C36A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②考虑室内声源所在厂房围护结构的隔声、吸声作用； </w:t>
            </w:r>
          </w:p>
          <w:p w14:paraId="2A8D82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③衰减仅考虑几何发散衰减。 </w:t>
            </w:r>
          </w:p>
          <w:p w14:paraId="11A69E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3）室内声源 </w:t>
            </w:r>
          </w:p>
          <w:p w14:paraId="587B84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室内声源由室内向室外传播示意图见下图。</w:t>
            </w:r>
          </w:p>
          <w:p w14:paraId="48AEBE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drawing>
                <wp:inline distT="0" distB="0" distL="114300" distR="114300">
                  <wp:extent cx="4524375" cy="2238375"/>
                  <wp:effectExtent l="0" t="0" r="9525" b="9525"/>
                  <wp:docPr id="8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0"/>
                          <pic:cNvPicPr>
                            <a:picLocks noChangeAspect="1"/>
                          </pic:cNvPicPr>
                        </pic:nvPicPr>
                        <pic:blipFill>
                          <a:blip r:embed="rId21"/>
                          <a:stretch>
                            <a:fillRect/>
                          </a:stretch>
                        </pic:blipFill>
                        <pic:spPr>
                          <a:xfrm>
                            <a:off x="0" y="0"/>
                            <a:ext cx="4524375" cy="2238375"/>
                          </a:xfrm>
                          <a:prstGeom prst="rect">
                            <a:avLst/>
                          </a:prstGeom>
                          <a:noFill/>
                          <a:ln>
                            <a:noFill/>
                          </a:ln>
                        </pic:spPr>
                      </pic:pic>
                    </a:graphicData>
                  </a:graphic>
                </wp:inline>
              </w:drawing>
            </w:r>
          </w:p>
          <w:p w14:paraId="44156E9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①如果已知声源的声压级 L(r0)，且声源位于地面上，则</w:t>
            </w:r>
          </w:p>
          <w:p w14:paraId="0AE2B4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Lw=L(r0)+20lgr0+8</w:t>
            </w:r>
          </w:p>
          <w:p w14:paraId="71B78E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②首先计算出某个室内声源靠近围护结构处的声压级： </w:t>
            </w:r>
          </w:p>
          <w:p w14:paraId="21B26E5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drawing>
                <wp:inline distT="0" distB="0" distL="114300" distR="114300">
                  <wp:extent cx="2571750" cy="723900"/>
                  <wp:effectExtent l="0" t="0" r="0" b="0"/>
                  <wp:docPr id="8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4"/>
                          <pic:cNvPicPr>
                            <a:picLocks noChangeAspect="1"/>
                          </pic:cNvPicPr>
                        </pic:nvPicPr>
                        <pic:blipFill>
                          <a:blip r:embed="rId22"/>
                          <a:stretch>
                            <a:fillRect/>
                          </a:stretch>
                        </pic:blipFill>
                        <pic:spPr>
                          <a:xfrm>
                            <a:off x="0" y="0"/>
                            <a:ext cx="2571750" cy="723900"/>
                          </a:xfrm>
                          <a:prstGeom prst="rect">
                            <a:avLst/>
                          </a:prstGeom>
                          <a:noFill/>
                          <a:ln>
                            <a:noFill/>
                          </a:ln>
                        </pic:spPr>
                      </pic:pic>
                    </a:graphicData>
                  </a:graphic>
                </wp:inline>
              </w:drawing>
            </w:r>
          </w:p>
          <w:p w14:paraId="280653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式中：Lp1——某个室内声源靠近围护结构处的声压级。 </w:t>
            </w:r>
          </w:p>
          <w:p w14:paraId="3CEB51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Lw——某个室内声源靠近围护结构处产生的声功率级。 </w:t>
            </w:r>
          </w:p>
          <w:p w14:paraId="4A00E0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Q——指向性因数；通常对无指向性声源，当声源放在房间中心时，Q=1； </w:t>
            </w:r>
          </w:p>
          <w:p w14:paraId="542FE9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当放在一面墙的中心时，Q=2；当放在两面墙夹角处时，Q=4；当放在三面墙夹角处时，Q=8。R——房间常数；R=Sa/(1-a)，S 为房间内表面面积，m²；a为平均吸声系数，本评价a取0.15。 </w:t>
            </w:r>
          </w:p>
          <w:p w14:paraId="44F720F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r——声源到靠近围护结构某点处的距离，m。 </w:t>
            </w:r>
          </w:p>
          <w:p w14:paraId="75B94E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③计算出所有室内声源在围护结构处产生的总声压级：</w:t>
            </w:r>
          </w:p>
          <w:p w14:paraId="7F5525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drawing>
                <wp:inline distT="0" distB="0" distL="114300" distR="114300">
                  <wp:extent cx="2228850" cy="619125"/>
                  <wp:effectExtent l="0" t="0" r="0" b="9525"/>
                  <wp:docPr id="9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1"/>
                          <pic:cNvPicPr>
                            <a:picLocks noChangeAspect="1"/>
                          </pic:cNvPicPr>
                        </pic:nvPicPr>
                        <pic:blipFill>
                          <a:blip r:embed="rId23"/>
                          <a:stretch>
                            <a:fillRect/>
                          </a:stretch>
                        </pic:blipFill>
                        <pic:spPr>
                          <a:xfrm>
                            <a:off x="0" y="0"/>
                            <a:ext cx="2228850" cy="619125"/>
                          </a:xfrm>
                          <a:prstGeom prst="rect">
                            <a:avLst/>
                          </a:prstGeom>
                          <a:noFill/>
                          <a:ln>
                            <a:noFill/>
                          </a:ln>
                        </pic:spPr>
                      </pic:pic>
                    </a:graphicData>
                  </a:graphic>
                </wp:inline>
              </w:drawing>
            </w:r>
          </w:p>
          <w:p w14:paraId="558B69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式中：L1pi(T)——靠近围护结构处室内 N 个声源 i 倍频带的叠加声压级，dB；</w:t>
            </w:r>
          </w:p>
          <w:p w14:paraId="384C44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Lplij——室内 j 声源 i 倍频带的声压级，dB； </w:t>
            </w:r>
          </w:p>
          <w:p w14:paraId="0B358DC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N——室内声源总数。 </w:t>
            </w:r>
          </w:p>
          <w:p w14:paraId="4269559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④计算出室外靠近围护结构处的声压级：</w:t>
            </w:r>
          </w:p>
          <w:p w14:paraId="582612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Lp2=Lp1-(TL+6)</w:t>
            </w:r>
          </w:p>
          <w:p w14:paraId="08E3FA4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式中：Lp1——靠近开口处（或窗户）室内某倍频带的声压级或 A 声级，dB； </w:t>
            </w:r>
          </w:p>
          <w:p w14:paraId="45224E5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Lp2——靠近开口处（或窗户）室外某倍频带的声压级或 A 声级，dB； </w:t>
            </w:r>
          </w:p>
          <w:p w14:paraId="4C56E33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TL——隔墙（或窗户）倍频带或 A 声级的隔声量，dB。 </w:t>
            </w:r>
          </w:p>
          <w:p w14:paraId="6F9D864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⑤将室外声级 </w:t>
            </w:r>
            <w:r>
              <w:rPr>
                <w:rFonts w:hint="default" w:cs="Times New Roman"/>
                <w:color w:val="auto"/>
                <w:kern w:val="0"/>
                <w:sz w:val="21"/>
                <w:szCs w:val="21"/>
                <w:highlight w:val="none"/>
                <w:shd w:val="clear" w:color="auto" w:fill="auto"/>
                <w:lang w:val="en-US" w:eastAsia="zh-CN"/>
              </w:rPr>
              <w:t>Lp2</w:t>
            </w:r>
            <w:r>
              <w:rPr>
                <w:rFonts w:hint="eastAsia" w:cs="Times New Roman"/>
                <w:color w:val="auto"/>
                <w:kern w:val="0"/>
                <w:sz w:val="21"/>
                <w:szCs w:val="21"/>
                <w:highlight w:val="none"/>
                <w:shd w:val="clear" w:color="auto" w:fill="auto"/>
                <w:lang w:val="en-US" w:eastAsia="zh-CN"/>
              </w:rPr>
              <w:t>（</w:t>
            </w:r>
            <w:r>
              <w:rPr>
                <w:rFonts w:hint="default" w:cs="Times New Roman"/>
                <w:color w:val="auto"/>
                <w:kern w:val="0"/>
                <w:sz w:val="21"/>
                <w:szCs w:val="21"/>
                <w:highlight w:val="none"/>
                <w:shd w:val="clear" w:color="auto" w:fill="auto"/>
                <w:lang w:val="en-US" w:eastAsia="zh-CN"/>
              </w:rPr>
              <w:t>T</w:t>
            </w:r>
            <w:r>
              <w:rPr>
                <w:rFonts w:hint="eastAsia" w:cs="Times New Roman"/>
                <w:color w:val="auto"/>
                <w:kern w:val="0"/>
                <w:sz w:val="21"/>
                <w:szCs w:val="21"/>
                <w:highlight w:val="none"/>
                <w:shd w:val="clear" w:color="auto" w:fill="auto"/>
                <w:lang w:val="en-US" w:eastAsia="zh-CN"/>
              </w:rPr>
              <w:t xml:space="preserve">）和透声面积换算成等效的室外声源，计算出等效声源的声功率级 </w:t>
            </w:r>
            <w:r>
              <w:rPr>
                <w:rFonts w:hint="default" w:cs="Times New Roman"/>
                <w:color w:val="auto"/>
                <w:kern w:val="0"/>
                <w:sz w:val="21"/>
                <w:szCs w:val="21"/>
                <w:highlight w:val="none"/>
                <w:shd w:val="clear" w:color="auto" w:fill="auto"/>
                <w:lang w:val="en-US" w:eastAsia="zh-CN"/>
              </w:rPr>
              <w:t>Lw</w:t>
            </w:r>
            <w:r>
              <w:rPr>
                <w:rFonts w:hint="eastAsia" w:cs="Times New Roman"/>
                <w:color w:val="auto"/>
                <w:kern w:val="0"/>
                <w:sz w:val="21"/>
                <w:szCs w:val="21"/>
                <w:highlight w:val="none"/>
                <w:shd w:val="clear" w:color="auto" w:fill="auto"/>
                <w:lang w:val="en-US" w:eastAsia="zh-CN"/>
              </w:rPr>
              <w:t>；</w:t>
            </w:r>
          </w:p>
          <w:p w14:paraId="46D19D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default" w:cs="Times New Roman"/>
                <w:color w:val="auto"/>
                <w:kern w:val="0"/>
                <w:sz w:val="21"/>
                <w:szCs w:val="21"/>
                <w:highlight w:val="none"/>
                <w:shd w:val="clear" w:color="auto" w:fill="auto"/>
                <w:lang w:val="en-US" w:eastAsia="zh-CN"/>
              </w:rPr>
              <w:t>L=Lp2(T)+101gS</w:t>
            </w:r>
          </w:p>
          <w:p w14:paraId="0250970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式中：</w:t>
            </w:r>
            <w:r>
              <w:rPr>
                <w:rFonts w:hint="default" w:cs="Times New Roman"/>
                <w:color w:val="auto"/>
                <w:kern w:val="0"/>
                <w:sz w:val="21"/>
                <w:szCs w:val="21"/>
                <w:highlight w:val="none"/>
                <w:shd w:val="clear" w:color="auto" w:fill="auto"/>
                <w:lang w:val="en-US" w:eastAsia="zh-CN"/>
              </w:rPr>
              <w:t xml:space="preserve">S </w:t>
            </w:r>
            <w:r>
              <w:rPr>
                <w:rFonts w:hint="eastAsia" w:cs="Times New Roman"/>
                <w:color w:val="auto"/>
                <w:kern w:val="0"/>
                <w:sz w:val="21"/>
                <w:szCs w:val="21"/>
                <w:highlight w:val="none"/>
                <w:shd w:val="clear" w:color="auto" w:fill="auto"/>
                <w:lang w:val="en-US" w:eastAsia="zh-CN"/>
              </w:rPr>
              <w:t>为透声面积，</w:t>
            </w:r>
            <w:r>
              <w:rPr>
                <w:rFonts w:hint="default" w:cs="Times New Roman"/>
                <w:color w:val="auto"/>
                <w:kern w:val="0"/>
                <w:sz w:val="21"/>
                <w:szCs w:val="21"/>
                <w:highlight w:val="none"/>
                <w:shd w:val="clear" w:color="auto" w:fill="auto"/>
                <w:lang w:val="en-US" w:eastAsia="zh-CN"/>
              </w:rPr>
              <w:t xml:space="preserve">m2 </w:t>
            </w:r>
            <w:r>
              <w:rPr>
                <w:rFonts w:hint="eastAsia" w:cs="Times New Roman"/>
                <w:color w:val="auto"/>
                <w:kern w:val="0"/>
                <w:sz w:val="21"/>
                <w:szCs w:val="21"/>
                <w:highlight w:val="none"/>
                <w:shd w:val="clear" w:color="auto" w:fill="auto"/>
                <w:lang w:val="en-US" w:eastAsia="zh-CN"/>
              </w:rPr>
              <w:t xml:space="preserve">。 </w:t>
            </w:r>
          </w:p>
          <w:p w14:paraId="152FE7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⑥等效室外声源的位置为围护结构的位置，其声功率级为 </w:t>
            </w:r>
            <w:r>
              <w:rPr>
                <w:rFonts w:hint="default" w:cs="Times New Roman"/>
                <w:color w:val="auto"/>
                <w:kern w:val="0"/>
                <w:sz w:val="21"/>
                <w:szCs w:val="21"/>
                <w:highlight w:val="none"/>
                <w:shd w:val="clear" w:color="auto" w:fill="auto"/>
                <w:lang w:val="en-US" w:eastAsia="zh-CN"/>
              </w:rPr>
              <w:t>Lw</w:t>
            </w:r>
            <w:r>
              <w:rPr>
                <w:rFonts w:hint="eastAsia" w:cs="Times New Roman"/>
                <w:color w:val="auto"/>
                <w:kern w:val="0"/>
                <w:sz w:val="21"/>
                <w:szCs w:val="21"/>
                <w:highlight w:val="none"/>
                <w:shd w:val="clear" w:color="auto" w:fill="auto"/>
                <w:lang w:val="en-US" w:eastAsia="zh-CN"/>
              </w:rPr>
              <w:t xml:space="preserve">，由此按室外声源方法计算等效室外声源在预测点产生的 </w:t>
            </w:r>
            <w:r>
              <w:rPr>
                <w:rFonts w:hint="default" w:cs="Times New Roman"/>
                <w:color w:val="auto"/>
                <w:kern w:val="0"/>
                <w:sz w:val="21"/>
                <w:szCs w:val="21"/>
                <w:highlight w:val="none"/>
                <w:shd w:val="clear" w:color="auto" w:fill="auto"/>
                <w:lang w:val="en-US" w:eastAsia="zh-CN"/>
              </w:rPr>
              <w:t xml:space="preserve">A </w:t>
            </w:r>
            <w:r>
              <w:rPr>
                <w:rFonts w:hint="eastAsia" w:cs="Times New Roman"/>
                <w:color w:val="auto"/>
                <w:kern w:val="0"/>
                <w:sz w:val="21"/>
                <w:szCs w:val="21"/>
                <w:highlight w:val="none"/>
                <w:shd w:val="clear" w:color="auto" w:fill="auto"/>
                <w:lang w:val="en-US" w:eastAsia="zh-CN"/>
              </w:rPr>
              <w:t xml:space="preserve">声级。 </w:t>
            </w:r>
          </w:p>
          <w:p w14:paraId="5D2E688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4）室外声源 </w:t>
            </w:r>
          </w:p>
          <w:p w14:paraId="12B9D8C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计算某个声源在预测点的声压级</w:t>
            </w:r>
          </w:p>
          <w:p w14:paraId="53C0A7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LA(r)=LA(r0)-Adiv-Abar</w:t>
            </w:r>
          </w:p>
          <w:p w14:paraId="198901B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式中：LA(r)——点声源在预测点产生的声压级，dB(A)； </w:t>
            </w:r>
          </w:p>
          <w:p w14:paraId="3A7FBF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LA(r0)——参考位置 r0 处的声压级，dB(A)； </w:t>
            </w:r>
          </w:p>
          <w:p w14:paraId="282CDB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r——预测点距声源的距离，m； </w:t>
            </w:r>
          </w:p>
          <w:p w14:paraId="6282DD9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r0——参考位置距声源的距离，m； </w:t>
            </w:r>
          </w:p>
          <w:p w14:paraId="5A8561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Adiv——几何发散引起的衰减，dB，Adiv=201g(r/r0)；</w:t>
            </w:r>
          </w:p>
          <w:p w14:paraId="54D7D1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Abar——障碍物屏蔽引起的衰减，dB。 </w:t>
            </w:r>
          </w:p>
          <w:p w14:paraId="2600B44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5）计算总声压级 </w:t>
            </w:r>
          </w:p>
          <w:p w14:paraId="79BDE4E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设第 i 个室外声源在预测点产生的 A 声级为 LAi，在 T 时间内该声源工作时间为 ti；第 j 个等效室外声源在预测点产生的 A 声级为 LAj，在 T 时间内该声源工作时间为 tj，则工程声源对预测点产生的贡献值（Leqg）为：</w:t>
            </w:r>
          </w:p>
          <w:p w14:paraId="6D0049E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drawing>
                <wp:inline distT="0" distB="0" distL="114300" distR="114300">
                  <wp:extent cx="3429000" cy="771525"/>
                  <wp:effectExtent l="0" t="0" r="0" b="9525"/>
                  <wp:docPr id="9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2"/>
                          <pic:cNvPicPr>
                            <a:picLocks noChangeAspect="1"/>
                          </pic:cNvPicPr>
                        </pic:nvPicPr>
                        <pic:blipFill>
                          <a:blip r:embed="rId24"/>
                          <a:stretch>
                            <a:fillRect/>
                          </a:stretch>
                        </pic:blipFill>
                        <pic:spPr>
                          <a:xfrm>
                            <a:off x="0" y="0"/>
                            <a:ext cx="3429000" cy="771525"/>
                          </a:xfrm>
                          <a:prstGeom prst="rect">
                            <a:avLst/>
                          </a:prstGeom>
                          <a:noFill/>
                          <a:ln>
                            <a:noFill/>
                          </a:ln>
                        </pic:spPr>
                      </pic:pic>
                    </a:graphicData>
                  </a:graphic>
                </wp:inline>
              </w:drawing>
            </w:r>
          </w:p>
          <w:p w14:paraId="47045FF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式中：Leqg——建设项目声源在预测点产生的噪声贡献值，dB； </w:t>
            </w:r>
          </w:p>
          <w:p w14:paraId="1A769D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T——用于计算等效声级的时间，s； </w:t>
            </w:r>
          </w:p>
          <w:p w14:paraId="35C3B9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N——室外声源个数； </w:t>
            </w:r>
          </w:p>
          <w:p w14:paraId="10F984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ti——在 T 时间内 i 声源工作时间，s； </w:t>
            </w:r>
          </w:p>
          <w:p w14:paraId="4E0CA7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M——等效室外声源个数； </w:t>
            </w:r>
          </w:p>
          <w:p w14:paraId="6BEB38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tj——在 T 时间内 j 声源工作时间，s。 </w:t>
            </w:r>
          </w:p>
          <w:p w14:paraId="56E5B22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 xml:space="preserve">（3）厂界预测结果 </w:t>
            </w:r>
          </w:p>
          <w:p w14:paraId="44A46F4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color w:val="auto"/>
                <w:kern w:val="0"/>
                <w:sz w:val="21"/>
                <w:szCs w:val="21"/>
                <w:highlight w:val="none"/>
                <w:shd w:val="clear" w:color="auto" w:fill="auto"/>
                <w:lang w:val="en-US" w:eastAsia="zh-CN"/>
              </w:rPr>
            </w:pPr>
            <w:r>
              <w:rPr>
                <w:rFonts w:hint="eastAsia" w:cs="Times New Roman"/>
                <w:color w:val="auto"/>
                <w:kern w:val="0"/>
                <w:sz w:val="21"/>
                <w:szCs w:val="21"/>
                <w:highlight w:val="none"/>
                <w:shd w:val="clear" w:color="auto" w:fill="auto"/>
                <w:lang w:val="en-US" w:eastAsia="zh-CN"/>
              </w:rPr>
              <w:t>根据预测模式，项目在采取各种隔声降噪措施后，得出项目建设完成投入运行后设备噪声对厂界声环境贡献值预测结果如下表所示，厂区噪声贡献等值线分布情况见下表。</w:t>
            </w:r>
          </w:p>
          <w:p w14:paraId="135DCD1E">
            <w:pPr>
              <w:keepNext w:val="0"/>
              <w:keepLines w:val="0"/>
              <w:suppressLineNumbers w:val="0"/>
              <w:adjustRightInd w:val="0"/>
              <w:snapToGrid w:val="0"/>
              <w:spacing w:before="0" w:beforeAutospacing="0" w:after="0" w:afterAutospacing="0"/>
              <w:ind w:left="0" w:right="0"/>
              <w:jc w:val="center"/>
              <w:rPr>
                <w:rFonts w:hint="default"/>
                <w:b/>
                <w:color w:val="auto"/>
                <w:szCs w:val="21"/>
                <w:highlight w:val="none"/>
              </w:rPr>
            </w:pPr>
            <w:r>
              <w:rPr>
                <w:rFonts w:hint="default"/>
                <w:b/>
                <w:color w:val="auto"/>
                <w:szCs w:val="21"/>
                <w:highlight w:val="none"/>
              </w:rPr>
              <w:t>表4-</w:t>
            </w:r>
            <w:r>
              <w:rPr>
                <w:rFonts w:hint="eastAsia"/>
                <w:b/>
                <w:color w:val="auto"/>
                <w:szCs w:val="21"/>
                <w:highlight w:val="none"/>
                <w:lang w:val="en-US" w:eastAsia="zh-CN"/>
              </w:rPr>
              <w:t>9</w:t>
            </w:r>
            <w:r>
              <w:rPr>
                <w:rFonts w:hint="default"/>
                <w:b/>
                <w:color w:val="auto"/>
                <w:szCs w:val="21"/>
                <w:highlight w:val="none"/>
              </w:rPr>
              <w:t xml:space="preserve"> 噪声贡献值预测结果表    单位：dB(A)</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469"/>
              <w:gridCol w:w="1547"/>
              <w:gridCol w:w="1547"/>
              <w:gridCol w:w="1547"/>
              <w:gridCol w:w="1548"/>
            </w:tblGrid>
            <w:tr w14:paraId="66F046B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9" w:type="dxa"/>
                  <w:vMerge w:val="restart"/>
                  <w:tcBorders>
                    <w:tl2br w:val="nil"/>
                    <w:tr2bl w:val="nil"/>
                  </w:tcBorders>
                  <w:noWrap w:val="0"/>
                  <w:vAlign w:val="center"/>
                </w:tcPr>
                <w:p w14:paraId="6B301E01">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预测位置</w:t>
                  </w:r>
                </w:p>
              </w:tc>
              <w:tc>
                <w:tcPr>
                  <w:tcW w:w="3094" w:type="dxa"/>
                  <w:gridSpan w:val="2"/>
                  <w:tcBorders>
                    <w:tl2br w:val="nil"/>
                    <w:tr2bl w:val="nil"/>
                  </w:tcBorders>
                  <w:noWrap w:val="0"/>
                  <w:vAlign w:val="center"/>
                </w:tcPr>
                <w:p w14:paraId="60AB169F">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eastAsia"/>
                      <w:bCs/>
                      <w:color w:val="auto"/>
                      <w:sz w:val="18"/>
                      <w:szCs w:val="18"/>
                      <w:highlight w:val="none"/>
                      <w:lang w:eastAsia="zh-CN"/>
                    </w:rPr>
                    <w:t>贡献</w:t>
                  </w:r>
                  <w:r>
                    <w:rPr>
                      <w:rFonts w:hint="default"/>
                      <w:bCs/>
                      <w:color w:val="auto"/>
                      <w:sz w:val="18"/>
                      <w:szCs w:val="18"/>
                      <w:highlight w:val="none"/>
                    </w:rPr>
                    <w:t>值</w:t>
                  </w:r>
                </w:p>
              </w:tc>
              <w:tc>
                <w:tcPr>
                  <w:tcW w:w="3095" w:type="dxa"/>
                  <w:gridSpan w:val="2"/>
                  <w:tcBorders>
                    <w:tl2br w:val="nil"/>
                    <w:tr2bl w:val="nil"/>
                  </w:tcBorders>
                  <w:noWrap w:val="0"/>
                  <w:vAlign w:val="center"/>
                </w:tcPr>
                <w:p w14:paraId="1311B3D3">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标准值</w:t>
                  </w:r>
                </w:p>
              </w:tc>
            </w:tr>
            <w:tr w14:paraId="287C9F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9" w:type="dxa"/>
                  <w:vMerge w:val="continue"/>
                  <w:tcBorders>
                    <w:tl2br w:val="nil"/>
                    <w:tr2bl w:val="nil"/>
                  </w:tcBorders>
                  <w:noWrap w:val="0"/>
                  <w:vAlign w:val="center"/>
                </w:tcPr>
                <w:p w14:paraId="468B8C6A">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p>
              </w:tc>
              <w:tc>
                <w:tcPr>
                  <w:tcW w:w="1547" w:type="dxa"/>
                  <w:tcBorders>
                    <w:tl2br w:val="nil"/>
                    <w:tr2bl w:val="nil"/>
                  </w:tcBorders>
                  <w:noWrap w:val="0"/>
                  <w:vAlign w:val="center"/>
                </w:tcPr>
                <w:p w14:paraId="18DEECA1">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昼间</w:t>
                  </w:r>
                </w:p>
              </w:tc>
              <w:tc>
                <w:tcPr>
                  <w:tcW w:w="1547" w:type="dxa"/>
                  <w:tcBorders>
                    <w:tl2br w:val="nil"/>
                    <w:tr2bl w:val="nil"/>
                  </w:tcBorders>
                  <w:noWrap w:val="0"/>
                  <w:vAlign w:val="center"/>
                </w:tcPr>
                <w:p w14:paraId="5579386B">
                  <w:pPr>
                    <w:keepNext w:val="0"/>
                    <w:keepLines w:val="0"/>
                    <w:suppressLineNumbers w:val="0"/>
                    <w:adjustRightInd w:val="0"/>
                    <w:snapToGrid w:val="0"/>
                    <w:spacing w:before="0" w:beforeAutospacing="0" w:after="0" w:afterAutospacing="0"/>
                    <w:ind w:left="0" w:right="0"/>
                    <w:jc w:val="center"/>
                    <w:rPr>
                      <w:rFonts w:hint="eastAsia" w:eastAsia="宋体"/>
                      <w:bCs/>
                      <w:color w:val="auto"/>
                      <w:sz w:val="18"/>
                      <w:szCs w:val="18"/>
                      <w:highlight w:val="none"/>
                      <w:lang w:val="en-US" w:eastAsia="zh-CN"/>
                    </w:rPr>
                  </w:pPr>
                  <w:r>
                    <w:rPr>
                      <w:rFonts w:hint="eastAsia"/>
                      <w:bCs/>
                      <w:color w:val="auto"/>
                      <w:sz w:val="18"/>
                      <w:szCs w:val="18"/>
                      <w:highlight w:val="none"/>
                      <w:lang w:val="en-US" w:eastAsia="zh-CN"/>
                    </w:rPr>
                    <w:t>夜间</w:t>
                  </w:r>
                </w:p>
              </w:tc>
              <w:tc>
                <w:tcPr>
                  <w:tcW w:w="1547" w:type="dxa"/>
                  <w:tcBorders>
                    <w:tl2br w:val="nil"/>
                    <w:tr2bl w:val="nil"/>
                  </w:tcBorders>
                  <w:noWrap w:val="0"/>
                  <w:vAlign w:val="center"/>
                </w:tcPr>
                <w:p w14:paraId="024AA935">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昼间</w:t>
                  </w:r>
                </w:p>
              </w:tc>
              <w:tc>
                <w:tcPr>
                  <w:tcW w:w="1548" w:type="dxa"/>
                  <w:tcBorders>
                    <w:tl2br w:val="nil"/>
                    <w:tr2bl w:val="nil"/>
                  </w:tcBorders>
                  <w:noWrap w:val="0"/>
                  <w:vAlign w:val="center"/>
                </w:tcPr>
                <w:p w14:paraId="7D73120C">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夜间</w:t>
                  </w:r>
                </w:p>
              </w:tc>
            </w:tr>
            <w:tr w14:paraId="41133B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9" w:type="dxa"/>
                  <w:tcBorders>
                    <w:tl2br w:val="nil"/>
                    <w:tr2bl w:val="nil"/>
                  </w:tcBorders>
                  <w:noWrap w:val="0"/>
                  <w:vAlign w:val="center"/>
                </w:tcPr>
                <w:p w14:paraId="1182BFB1">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厂界东侧</w:t>
                  </w:r>
                </w:p>
              </w:tc>
              <w:tc>
                <w:tcPr>
                  <w:tcW w:w="1547" w:type="dxa"/>
                  <w:tcBorders>
                    <w:tl2br w:val="nil"/>
                    <w:tr2bl w:val="nil"/>
                  </w:tcBorders>
                  <w:noWrap w:val="0"/>
                  <w:vAlign w:val="center"/>
                </w:tcPr>
                <w:p w14:paraId="2FF57787">
                  <w:pPr>
                    <w:keepNext w:val="0"/>
                    <w:keepLines w:val="0"/>
                    <w:suppressLineNumbers w:val="0"/>
                    <w:adjustRightInd w:val="0"/>
                    <w:snapToGrid w:val="0"/>
                    <w:spacing w:before="0" w:beforeAutospacing="0" w:after="0" w:afterAutospacing="0"/>
                    <w:ind w:left="0" w:right="0"/>
                    <w:jc w:val="center"/>
                    <w:rPr>
                      <w:rFonts w:hint="default"/>
                      <w:color w:val="auto"/>
                      <w:highlight w:val="none"/>
                      <w:lang w:val="en-US" w:eastAsia="zh-CN"/>
                    </w:rPr>
                  </w:pPr>
                  <w:r>
                    <w:rPr>
                      <w:rFonts w:hint="eastAsia"/>
                      <w:bCs/>
                      <w:color w:val="auto"/>
                      <w:sz w:val="18"/>
                      <w:szCs w:val="18"/>
                      <w:highlight w:val="none"/>
                      <w:lang w:val="en-US" w:eastAsia="zh-CN"/>
                    </w:rPr>
                    <w:t>48.61</w:t>
                  </w:r>
                </w:p>
              </w:tc>
              <w:tc>
                <w:tcPr>
                  <w:tcW w:w="1547" w:type="dxa"/>
                  <w:tcBorders>
                    <w:tl2br w:val="nil"/>
                    <w:tr2bl w:val="nil"/>
                  </w:tcBorders>
                  <w:shd w:val="clear" w:color="auto" w:fill="auto"/>
                  <w:noWrap w:val="0"/>
                  <w:vAlign w:val="center"/>
                </w:tcPr>
                <w:p w14:paraId="25799CA5">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lang w:val="en-US" w:eastAsia="zh-CN" w:bidi="ar-SA"/>
                    </w:rPr>
                  </w:pPr>
                  <w:r>
                    <w:rPr>
                      <w:rFonts w:hint="eastAsia"/>
                      <w:bCs/>
                      <w:color w:val="auto"/>
                      <w:sz w:val="18"/>
                      <w:szCs w:val="18"/>
                      <w:highlight w:val="none"/>
                      <w:lang w:val="en-US" w:eastAsia="zh-CN"/>
                    </w:rPr>
                    <w:t>38.84</w:t>
                  </w:r>
                </w:p>
              </w:tc>
              <w:tc>
                <w:tcPr>
                  <w:tcW w:w="1547" w:type="dxa"/>
                  <w:tcBorders>
                    <w:tl2br w:val="nil"/>
                    <w:tr2bl w:val="nil"/>
                  </w:tcBorders>
                  <w:noWrap w:val="0"/>
                  <w:vAlign w:val="center"/>
                </w:tcPr>
                <w:p w14:paraId="480F4DF4">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6</w:t>
                  </w:r>
                  <w:r>
                    <w:rPr>
                      <w:rFonts w:hint="eastAsia"/>
                      <w:bCs/>
                      <w:color w:val="auto"/>
                      <w:sz w:val="18"/>
                      <w:szCs w:val="18"/>
                      <w:highlight w:val="none"/>
                      <w:lang w:val="en-US" w:eastAsia="zh-CN"/>
                    </w:rPr>
                    <w:t>0</w:t>
                  </w:r>
                  <w:r>
                    <w:rPr>
                      <w:rFonts w:hint="default"/>
                      <w:bCs/>
                      <w:color w:val="auto"/>
                      <w:sz w:val="18"/>
                      <w:szCs w:val="18"/>
                      <w:highlight w:val="none"/>
                    </w:rPr>
                    <w:t>.00</w:t>
                  </w:r>
                </w:p>
              </w:tc>
              <w:tc>
                <w:tcPr>
                  <w:tcW w:w="1548" w:type="dxa"/>
                  <w:tcBorders>
                    <w:tl2br w:val="nil"/>
                    <w:tr2bl w:val="nil"/>
                  </w:tcBorders>
                  <w:noWrap w:val="0"/>
                  <w:vAlign w:val="center"/>
                </w:tcPr>
                <w:p w14:paraId="640FFFA0">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5</w:t>
                  </w:r>
                  <w:r>
                    <w:rPr>
                      <w:rFonts w:hint="eastAsia"/>
                      <w:bCs/>
                      <w:color w:val="auto"/>
                      <w:sz w:val="18"/>
                      <w:szCs w:val="18"/>
                      <w:highlight w:val="none"/>
                      <w:lang w:val="en-US" w:eastAsia="zh-CN"/>
                    </w:rPr>
                    <w:t>0</w:t>
                  </w:r>
                  <w:r>
                    <w:rPr>
                      <w:rFonts w:hint="default"/>
                      <w:bCs/>
                      <w:color w:val="auto"/>
                      <w:sz w:val="18"/>
                      <w:szCs w:val="18"/>
                      <w:highlight w:val="none"/>
                    </w:rPr>
                    <w:t>.00</w:t>
                  </w:r>
                </w:p>
              </w:tc>
            </w:tr>
            <w:tr w14:paraId="44BEC5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9" w:type="dxa"/>
                  <w:tcBorders>
                    <w:tl2br w:val="nil"/>
                    <w:tr2bl w:val="nil"/>
                  </w:tcBorders>
                  <w:noWrap w:val="0"/>
                  <w:vAlign w:val="center"/>
                </w:tcPr>
                <w:p w14:paraId="16135393">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厂界南侧</w:t>
                  </w:r>
                </w:p>
              </w:tc>
              <w:tc>
                <w:tcPr>
                  <w:tcW w:w="1547" w:type="dxa"/>
                  <w:tcBorders>
                    <w:tl2br w:val="nil"/>
                    <w:tr2bl w:val="nil"/>
                  </w:tcBorders>
                  <w:noWrap w:val="0"/>
                  <w:vAlign w:val="center"/>
                </w:tcPr>
                <w:p w14:paraId="773E2498">
                  <w:pPr>
                    <w:keepNext w:val="0"/>
                    <w:keepLines w:val="0"/>
                    <w:suppressLineNumbers w:val="0"/>
                    <w:adjustRightInd w:val="0"/>
                    <w:snapToGrid w:val="0"/>
                    <w:spacing w:before="0" w:beforeAutospacing="0" w:after="0" w:afterAutospacing="0"/>
                    <w:ind w:left="0" w:right="0"/>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54.11</w:t>
                  </w:r>
                </w:p>
              </w:tc>
              <w:tc>
                <w:tcPr>
                  <w:tcW w:w="1547" w:type="dxa"/>
                  <w:tcBorders>
                    <w:tl2br w:val="nil"/>
                    <w:tr2bl w:val="nil"/>
                  </w:tcBorders>
                  <w:shd w:val="clear" w:color="auto" w:fill="auto"/>
                  <w:noWrap w:val="0"/>
                  <w:vAlign w:val="center"/>
                </w:tcPr>
                <w:p w14:paraId="5D8FC979">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47.37</w:t>
                  </w:r>
                </w:p>
              </w:tc>
              <w:tc>
                <w:tcPr>
                  <w:tcW w:w="1547" w:type="dxa"/>
                  <w:tcBorders>
                    <w:tl2br w:val="nil"/>
                    <w:tr2bl w:val="nil"/>
                  </w:tcBorders>
                  <w:noWrap w:val="0"/>
                  <w:vAlign w:val="center"/>
                </w:tcPr>
                <w:p w14:paraId="727EB1EE">
                  <w:pPr>
                    <w:keepNext w:val="0"/>
                    <w:keepLines w:val="0"/>
                    <w:suppressLineNumbers w:val="0"/>
                    <w:adjustRightInd w:val="0"/>
                    <w:snapToGrid w:val="0"/>
                    <w:spacing w:before="0" w:beforeAutospacing="0" w:after="0" w:afterAutospacing="0"/>
                    <w:ind w:left="0" w:leftChars="0" w:right="0" w:rightChars="0"/>
                    <w:jc w:val="center"/>
                    <w:rPr>
                      <w:rFonts w:hint="default"/>
                      <w:bCs/>
                      <w:color w:val="auto"/>
                      <w:sz w:val="18"/>
                      <w:szCs w:val="18"/>
                      <w:highlight w:val="none"/>
                    </w:rPr>
                  </w:pPr>
                  <w:r>
                    <w:rPr>
                      <w:rFonts w:hint="default"/>
                      <w:bCs/>
                      <w:color w:val="auto"/>
                      <w:sz w:val="18"/>
                      <w:szCs w:val="18"/>
                      <w:highlight w:val="none"/>
                    </w:rPr>
                    <w:t>6</w:t>
                  </w:r>
                  <w:r>
                    <w:rPr>
                      <w:rFonts w:hint="eastAsia"/>
                      <w:bCs/>
                      <w:color w:val="auto"/>
                      <w:sz w:val="18"/>
                      <w:szCs w:val="18"/>
                      <w:highlight w:val="none"/>
                      <w:lang w:val="en-US" w:eastAsia="zh-CN"/>
                    </w:rPr>
                    <w:t>0</w:t>
                  </w:r>
                  <w:r>
                    <w:rPr>
                      <w:rFonts w:hint="default"/>
                      <w:bCs/>
                      <w:color w:val="auto"/>
                      <w:sz w:val="18"/>
                      <w:szCs w:val="18"/>
                      <w:highlight w:val="none"/>
                    </w:rPr>
                    <w:t>.00</w:t>
                  </w:r>
                </w:p>
              </w:tc>
              <w:tc>
                <w:tcPr>
                  <w:tcW w:w="1548" w:type="dxa"/>
                  <w:tcBorders>
                    <w:tl2br w:val="nil"/>
                    <w:tr2bl w:val="nil"/>
                  </w:tcBorders>
                  <w:noWrap w:val="0"/>
                  <w:vAlign w:val="center"/>
                </w:tcPr>
                <w:p w14:paraId="5E0CD15F">
                  <w:pPr>
                    <w:keepNext w:val="0"/>
                    <w:keepLines w:val="0"/>
                    <w:suppressLineNumbers w:val="0"/>
                    <w:adjustRightInd w:val="0"/>
                    <w:snapToGrid w:val="0"/>
                    <w:spacing w:before="0" w:beforeAutospacing="0" w:after="0" w:afterAutospacing="0"/>
                    <w:ind w:left="0" w:leftChars="0" w:right="0" w:rightChars="0"/>
                    <w:jc w:val="center"/>
                    <w:rPr>
                      <w:rFonts w:hint="default"/>
                      <w:bCs/>
                      <w:color w:val="auto"/>
                      <w:sz w:val="18"/>
                      <w:szCs w:val="18"/>
                      <w:highlight w:val="none"/>
                    </w:rPr>
                  </w:pPr>
                  <w:r>
                    <w:rPr>
                      <w:rFonts w:hint="default"/>
                      <w:bCs/>
                      <w:color w:val="auto"/>
                      <w:sz w:val="18"/>
                      <w:szCs w:val="18"/>
                      <w:highlight w:val="none"/>
                    </w:rPr>
                    <w:t>5</w:t>
                  </w:r>
                  <w:r>
                    <w:rPr>
                      <w:rFonts w:hint="eastAsia"/>
                      <w:bCs/>
                      <w:color w:val="auto"/>
                      <w:sz w:val="18"/>
                      <w:szCs w:val="18"/>
                      <w:highlight w:val="none"/>
                      <w:lang w:val="en-US" w:eastAsia="zh-CN"/>
                    </w:rPr>
                    <w:t>0</w:t>
                  </w:r>
                  <w:r>
                    <w:rPr>
                      <w:rFonts w:hint="default"/>
                      <w:bCs/>
                      <w:color w:val="auto"/>
                      <w:sz w:val="18"/>
                      <w:szCs w:val="18"/>
                      <w:highlight w:val="none"/>
                    </w:rPr>
                    <w:t>.00</w:t>
                  </w:r>
                </w:p>
              </w:tc>
            </w:tr>
            <w:tr w14:paraId="44B8938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9" w:type="dxa"/>
                  <w:tcBorders>
                    <w:tl2br w:val="nil"/>
                    <w:tr2bl w:val="nil"/>
                  </w:tcBorders>
                  <w:noWrap w:val="0"/>
                  <w:vAlign w:val="center"/>
                </w:tcPr>
                <w:p w14:paraId="24888C16">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厂界西侧</w:t>
                  </w:r>
                </w:p>
              </w:tc>
              <w:tc>
                <w:tcPr>
                  <w:tcW w:w="1547" w:type="dxa"/>
                  <w:tcBorders>
                    <w:tl2br w:val="nil"/>
                    <w:tr2bl w:val="nil"/>
                  </w:tcBorders>
                  <w:noWrap w:val="0"/>
                  <w:vAlign w:val="center"/>
                </w:tcPr>
                <w:p w14:paraId="4831E16A">
                  <w:pPr>
                    <w:keepNext w:val="0"/>
                    <w:keepLines w:val="0"/>
                    <w:suppressLineNumbers w:val="0"/>
                    <w:adjustRightInd w:val="0"/>
                    <w:snapToGrid w:val="0"/>
                    <w:spacing w:before="0" w:beforeAutospacing="0" w:after="0" w:afterAutospacing="0"/>
                    <w:ind w:left="0" w:right="0"/>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48.25</w:t>
                  </w:r>
                </w:p>
              </w:tc>
              <w:tc>
                <w:tcPr>
                  <w:tcW w:w="1547" w:type="dxa"/>
                  <w:tcBorders>
                    <w:tl2br w:val="nil"/>
                    <w:tr2bl w:val="nil"/>
                  </w:tcBorders>
                  <w:noWrap w:val="0"/>
                  <w:vAlign w:val="center"/>
                </w:tcPr>
                <w:p w14:paraId="44DB25DA">
                  <w:pPr>
                    <w:keepNext w:val="0"/>
                    <w:keepLines w:val="0"/>
                    <w:suppressLineNumbers w:val="0"/>
                    <w:adjustRightInd w:val="0"/>
                    <w:snapToGrid w:val="0"/>
                    <w:spacing w:before="0" w:beforeAutospacing="0" w:after="0" w:afterAutospacing="0"/>
                    <w:ind w:left="0" w:leftChars="0" w:right="0" w:rightChars="0"/>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17.1</w:t>
                  </w:r>
                </w:p>
              </w:tc>
              <w:tc>
                <w:tcPr>
                  <w:tcW w:w="1547" w:type="dxa"/>
                  <w:tcBorders>
                    <w:tl2br w:val="nil"/>
                    <w:tr2bl w:val="nil"/>
                  </w:tcBorders>
                  <w:noWrap w:val="0"/>
                  <w:vAlign w:val="center"/>
                </w:tcPr>
                <w:p w14:paraId="672E93A1">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6</w:t>
                  </w:r>
                  <w:r>
                    <w:rPr>
                      <w:rFonts w:hint="eastAsia"/>
                      <w:bCs/>
                      <w:color w:val="auto"/>
                      <w:sz w:val="18"/>
                      <w:szCs w:val="18"/>
                      <w:highlight w:val="none"/>
                      <w:lang w:val="en-US" w:eastAsia="zh-CN"/>
                    </w:rPr>
                    <w:t>0</w:t>
                  </w:r>
                  <w:r>
                    <w:rPr>
                      <w:rFonts w:hint="default"/>
                      <w:bCs/>
                      <w:color w:val="auto"/>
                      <w:sz w:val="18"/>
                      <w:szCs w:val="18"/>
                      <w:highlight w:val="none"/>
                    </w:rPr>
                    <w:t>.00</w:t>
                  </w:r>
                </w:p>
              </w:tc>
              <w:tc>
                <w:tcPr>
                  <w:tcW w:w="1548" w:type="dxa"/>
                  <w:tcBorders>
                    <w:tl2br w:val="nil"/>
                    <w:tr2bl w:val="nil"/>
                  </w:tcBorders>
                  <w:noWrap w:val="0"/>
                  <w:vAlign w:val="center"/>
                </w:tcPr>
                <w:p w14:paraId="11CF19F7">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5</w:t>
                  </w:r>
                  <w:r>
                    <w:rPr>
                      <w:rFonts w:hint="eastAsia"/>
                      <w:bCs/>
                      <w:color w:val="auto"/>
                      <w:sz w:val="18"/>
                      <w:szCs w:val="18"/>
                      <w:highlight w:val="none"/>
                      <w:lang w:val="en-US" w:eastAsia="zh-CN"/>
                    </w:rPr>
                    <w:t>0</w:t>
                  </w:r>
                  <w:r>
                    <w:rPr>
                      <w:rFonts w:hint="default"/>
                      <w:bCs/>
                      <w:color w:val="auto"/>
                      <w:sz w:val="18"/>
                      <w:szCs w:val="18"/>
                      <w:highlight w:val="none"/>
                    </w:rPr>
                    <w:t>.00</w:t>
                  </w:r>
                </w:p>
              </w:tc>
            </w:tr>
            <w:tr w14:paraId="1D76954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69" w:type="dxa"/>
                  <w:tcBorders>
                    <w:tl2br w:val="nil"/>
                    <w:tr2bl w:val="nil"/>
                  </w:tcBorders>
                  <w:noWrap w:val="0"/>
                  <w:vAlign w:val="center"/>
                </w:tcPr>
                <w:p w14:paraId="5E4448F0">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厂界北侧</w:t>
                  </w:r>
                </w:p>
              </w:tc>
              <w:tc>
                <w:tcPr>
                  <w:tcW w:w="1547" w:type="dxa"/>
                  <w:tcBorders>
                    <w:tl2br w:val="nil"/>
                    <w:tr2bl w:val="nil"/>
                  </w:tcBorders>
                  <w:noWrap w:val="0"/>
                  <w:vAlign w:val="center"/>
                </w:tcPr>
                <w:p w14:paraId="0947B100">
                  <w:pPr>
                    <w:keepNext w:val="0"/>
                    <w:keepLines w:val="0"/>
                    <w:suppressLineNumbers w:val="0"/>
                    <w:adjustRightInd w:val="0"/>
                    <w:snapToGrid w:val="0"/>
                    <w:spacing w:before="0" w:beforeAutospacing="0" w:after="0" w:afterAutospacing="0"/>
                    <w:ind w:left="0" w:leftChars="0" w:right="0" w:rightChars="0"/>
                    <w:jc w:val="center"/>
                    <w:rPr>
                      <w:rFonts w:hint="default" w:eastAsia="宋体"/>
                      <w:bCs/>
                      <w:color w:val="auto"/>
                      <w:sz w:val="18"/>
                      <w:szCs w:val="18"/>
                      <w:highlight w:val="none"/>
                      <w:lang w:val="en-US" w:eastAsia="zh-CN"/>
                    </w:rPr>
                  </w:pPr>
                  <w:r>
                    <w:rPr>
                      <w:rFonts w:hint="eastAsia"/>
                      <w:bCs/>
                      <w:color w:val="auto"/>
                      <w:sz w:val="18"/>
                      <w:szCs w:val="18"/>
                      <w:highlight w:val="none"/>
                      <w:lang w:val="en-US" w:eastAsia="zh-CN"/>
                    </w:rPr>
                    <w:t>50.84</w:t>
                  </w:r>
                </w:p>
              </w:tc>
              <w:tc>
                <w:tcPr>
                  <w:tcW w:w="1547" w:type="dxa"/>
                  <w:tcBorders>
                    <w:tl2br w:val="nil"/>
                    <w:tr2bl w:val="nil"/>
                  </w:tcBorders>
                  <w:shd w:val="clear" w:color="auto" w:fill="auto"/>
                  <w:noWrap w:val="0"/>
                  <w:vAlign w:val="center"/>
                </w:tcPr>
                <w:p w14:paraId="674FDDCB">
                  <w:pPr>
                    <w:keepNext w:val="0"/>
                    <w:keepLines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kern w:val="2"/>
                      <w:sz w:val="18"/>
                      <w:szCs w:val="18"/>
                      <w:highlight w:val="none"/>
                      <w:lang w:val="en-US" w:eastAsia="zh-CN" w:bidi="ar-SA"/>
                    </w:rPr>
                    <w:t>20.52</w:t>
                  </w:r>
                </w:p>
              </w:tc>
              <w:tc>
                <w:tcPr>
                  <w:tcW w:w="1547" w:type="dxa"/>
                  <w:tcBorders>
                    <w:tl2br w:val="nil"/>
                    <w:tr2bl w:val="nil"/>
                  </w:tcBorders>
                  <w:noWrap w:val="0"/>
                  <w:vAlign w:val="center"/>
                </w:tcPr>
                <w:p w14:paraId="70CD7FB8">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6</w:t>
                  </w:r>
                  <w:r>
                    <w:rPr>
                      <w:rFonts w:hint="eastAsia"/>
                      <w:bCs/>
                      <w:color w:val="auto"/>
                      <w:sz w:val="18"/>
                      <w:szCs w:val="18"/>
                      <w:highlight w:val="none"/>
                      <w:lang w:val="en-US" w:eastAsia="zh-CN"/>
                    </w:rPr>
                    <w:t>0</w:t>
                  </w:r>
                  <w:r>
                    <w:rPr>
                      <w:rFonts w:hint="default"/>
                      <w:bCs/>
                      <w:color w:val="auto"/>
                      <w:sz w:val="18"/>
                      <w:szCs w:val="18"/>
                      <w:highlight w:val="none"/>
                    </w:rPr>
                    <w:t>.00</w:t>
                  </w:r>
                </w:p>
              </w:tc>
              <w:tc>
                <w:tcPr>
                  <w:tcW w:w="1548" w:type="dxa"/>
                  <w:tcBorders>
                    <w:tl2br w:val="nil"/>
                    <w:tr2bl w:val="nil"/>
                  </w:tcBorders>
                  <w:noWrap w:val="0"/>
                  <w:vAlign w:val="center"/>
                </w:tcPr>
                <w:p w14:paraId="417033B1">
                  <w:pPr>
                    <w:keepNext w:val="0"/>
                    <w:keepLines w:val="0"/>
                    <w:suppressLineNumbers w:val="0"/>
                    <w:adjustRightInd w:val="0"/>
                    <w:snapToGrid w:val="0"/>
                    <w:spacing w:before="0" w:beforeAutospacing="0" w:after="0" w:afterAutospacing="0"/>
                    <w:ind w:left="0" w:right="0"/>
                    <w:jc w:val="center"/>
                    <w:rPr>
                      <w:rFonts w:hint="default"/>
                      <w:bCs/>
                      <w:color w:val="auto"/>
                      <w:sz w:val="18"/>
                      <w:szCs w:val="18"/>
                      <w:highlight w:val="none"/>
                    </w:rPr>
                  </w:pPr>
                  <w:r>
                    <w:rPr>
                      <w:rFonts w:hint="default"/>
                      <w:bCs/>
                      <w:color w:val="auto"/>
                      <w:sz w:val="18"/>
                      <w:szCs w:val="18"/>
                      <w:highlight w:val="none"/>
                    </w:rPr>
                    <w:t>5</w:t>
                  </w:r>
                  <w:r>
                    <w:rPr>
                      <w:rFonts w:hint="eastAsia"/>
                      <w:bCs/>
                      <w:color w:val="auto"/>
                      <w:sz w:val="18"/>
                      <w:szCs w:val="18"/>
                      <w:highlight w:val="none"/>
                      <w:lang w:val="en-US" w:eastAsia="zh-CN"/>
                    </w:rPr>
                    <w:t>0</w:t>
                  </w:r>
                  <w:r>
                    <w:rPr>
                      <w:rFonts w:hint="default"/>
                      <w:bCs/>
                      <w:color w:val="auto"/>
                      <w:sz w:val="18"/>
                      <w:szCs w:val="18"/>
                      <w:highlight w:val="none"/>
                    </w:rPr>
                    <w:t>.00</w:t>
                  </w:r>
                </w:p>
              </w:tc>
            </w:tr>
          </w:tbl>
          <w:p w14:paraId="2A3D3F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bCs/>
                <w:color w:val="auto"/>
                <w:szCs w:val="21"/>
                <w:highlight w:val="none"/>
              </w:rPr>
            </w:pPr>
            <w:r>
              <w:rPr>
                <w:rFonts w:hint="eastAsia"/>
                <w:bCs/>
                <w:color w:val="auto"/>
                <w:szCs w:val="21"/>
                <w:highlight w:val="none"/>
                <w:lang w:val="en-US" w:eastAsia="zh-CN"/>
              </w:rPr>
              <w:t>（4</w:t>
            </w:r>
            <w:r>
              <w:rPr>
                <w:rFonts w:hint="default"/>
                <w:bCs/>
                <w:color w:val="auto"/>
                <w:szCs w:val="21"/>
                <w:highlight w:val="none"/>
              </w:rPr>
              <w:t>）污染防治措施及环境影响分析</w:t>
            </w:r>
          </w:p>
          <w:p w14:paraId="3A7B7EC1">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color w:val="auto"/>
                <w:sz w:val="21"/>
                <w:szCs w:val="21"/>
                <w:highlight w:val="none"/>
              </w:rPr>
            </w:pPr>
            <w:r>
              <w:rPr>
                <w:rFonts w:hint="default"/>
                <w:color w:val="auto"/>
                <w:sz w:val="21"/>
                <w:szCs w:val="21"/>
                <w:highlight w:val="none"/>
              </w:rPr>
              <w:t>本项目运营期采取如下降噪措施：</w:t>
            </w:r>
          </w:p>
          <w:p w14:paraId="474E0A2E">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default"/>
                <w:color w:val="auto"/>
                <w:sz w:val="21"/>
                <w:szCs w:val="21"/>
                <w:highlight w:val="none"/>
              </w:rPr>
            </w:pPr>
            <w:r>
              <w:rPr>
                <w:rFonts w:hint="default"/>
                <w:color w:val="auto"/>
                <w:sz w:val="21"/>
                <w:szCs w:val="21"/>
                <w:highlight w:val="none"/>
              </w:rPr>
              <w:t>①在厂区总体布置中应注意防噪间距，以减少噪声的污染；</w:t>
            </w:r>
          </w:p>
          <w:p w14:paraId="7AA649F7">
            <w:pPr>
              <w:pStyle w:val="2"/>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eastAsia" w:eastAsia="宋体"/>
                <w:color w:val="auto"/>
                <w:sz w:val="21"/>
                <w:szCs w:val="21"/>
                <w:highlight w:val="none"/>
                <w:lang w:eastAsia="zh-CN"/>
              </w:rPr>
            </w:pPr>
            <w:r>
              <w:rPr>
                <w:rFonts w:hint="default"/>
                <w:color w:val="auto"/>
                <w:sz w:val="21"/>
                <w:szCs w:val="21"/>
                <w:highlight w:val="none"/>
              </w:rPr>
              <w:t>②</w:t>
            </w:r>
            <w:r>
              <w:rPr>
                <w:rFonts w:hint="eastAsia"/>
                <w:color w:val="auto"/>
                <w:sz w:val="21"/>
                <w:szCs w:val="21"/>
                <w:highlight w:val="none"/>
              </w:rPr>
              <w:t>选用低噪声设备，建筑采取降噪措施，设置减振器，风机进出口均设软管连接等措施</w:t>
            </w:r>
            <w:r>
              <w:rPr>
                <w:rFonts w:hint="eastAsia"/>
                <w:color w:val="auto"/>
                <w:sz w:val="21"/>
                <w:szCs w:val="21"/>
                <w:highlight w:val="none"/>
                <w:lang w:eastAsia="zh-CN"/>
              </w:rPr>
              <w:t>；</w:t>
            </w:r>
          </w:p>
          <w:p w14:paraId="3C478886">
            <w:pPr>
              <w:pStyle w:val="2"/>
              <w:keepNext w:val="0"/>
              <w:keepLines w:val="0"/>
              <w:widowControl w:val="0"/>
              <w:suppressLineNumbers w:val="0"/>
              <w:snapToGrid/>
              <w:spacing w:before="0" w:beforeAutospacing="0" w:after="0" w:afterAutospacing="0" w:line="360" w:lineRule="auto"/>
              <w:ind w:left="0" w:right="0" w:firstLineChars="200"/>
              <w:jc w:val="both"/>
              <w:rPr>
                <w:rFonts w:hint="default"/>
                <w:color w:val="auto"/>
                <w:sz w:val="21"/>
                <w:szCs w:val="21"/>
                <w:highlight w:val="none"/>
              </w:rPr>
            </w:pPr>
            <w:r>
              <w:rPr>
                <w:rFonts w:hint="default"/>
                <w:color w:val="auto"/>
                <w:sz w:val="21"/>
                <w:szCs w:val="21"/>
                <w:highlight w:val="none"/>
              </w:rPr>
              <w:t>③定期对设备进行检查、维修，保持设备最佳运行状态，减少噪声产生量；</w:t>
            </w:r>
          </w:p>
          <w:p w14:paraId="4C06236A">
            <w:pPr>
              <w:pStyle w:val="2"/>
              <w:keepNext w:val="0"/>
              <w:keepLines w:val="0"/>
              <w:widowControl w:val="0"/>
              <w:suppressLineNumbers w:val="0"/>
              <w:snapToGrid/>
              <w:spacing w:before="0" w:beforeAutospacing="0" w:after="0" w:afterAutospacing="0" w:line="360" w:lineRule="auto"/>
              <w:ind w:left="0" w:right="0" w:firstLineChars="200"/>
              <w:jc w:val="both"/>
              <w:rPr>
                <w:rFonts w:hint="eastAsia" w:eastAsia="宋体"/>
                <w:color w:val="auto"/>
                <w:sz w:val="21"/>
                <w:szCs w:val="21"/>
                <w:highlight w:val="none"/>
                <w:lang w:eastAsia="zh-CN"/>
              </w:rPr>
            </w:pPr>
            <w:r>
              <w:rPr>
                <w:rFonts w:hint="default"/>
                <w:color w:val="auto"/>
                <w:sz w:val="21"/>
                <w:szCs w:val="21"/>
                <w:highlight w:val="none"/>
              </w:rPr>
              <w:t>④</w:t>
            </w:r>
            <w:r>
              <w:rPr>
                <w:rFonts w:hint="default" w:ascii="Times New Roman" w:hAnsi="Times New Roman" w:cs="Times New Roman"/>
                <w:color w:val="auto"/>
                <w:sz w:val="21"/>
                <w:szCs w:val="21"/>
                <w:highlight w:val="none"/>
                <w:lang w:eastAsia="zh-CN"/>
              </w:rPr>
              <w:t>严格规范机器操作，防止因设备故障或操作不当带来的额外噪声</w:t>
            </w:r>
            <w:r>
              <w:rPr>
                <w:rFonts w:hint="eastAsia" w:ascii="Times New Roman" w:hAnsi="Times New Roman" w:cs="Times New Roman"/>
                <w:color w:val="auto"/>
                <w:sz w:val="21"/>
                <w:szCs w:val="21"/>
                <w:highlight w:val="none"/>
                <w:lang w:eastAsia="zh-CN"/>
              </w:rPr>
              <w:t>。</w:t>
            </w:r>
          </w:p>
          <w:p w14:paraId="52C1633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highlight w:val="none"/>
              </w:rPr>
            </w:pPr>
            <w:r>
              <w:rPr>
                <w:rFonts w:hint="default"/>
                <w:color w:val="auto"/>
                <w:sz w:val="21"/>
                <w:szCs w:val="21"/>
                <w:highlight w:val="none"/>
              </w:rPr>
              <w:t>本项目厂界外50m范围</w:t>
            </w:r>
            <w:r>
              <w:rPr>
                <w:rFonts w:hint="eastAsia"/>
                <w:color w:val="auto"/>
                <w:sz w:val="21"/>
                <w:szCs w:val="21"/>
                <w:highlight w:val="none"/>
                <w:lang w:val="en-US" w:eastAsia="zh-CN"/>
              </w:rPr>
              <w:t>内无声环境保护目标，在</w:t>
            </w:r>
            <w:r>
              <w:rPr>
                <w:rFonts w:hint="default"/>
                <w:color w:val="auto"/>
                <w:sz w:val="21"/>
                <w:szCs w:val="21"/>
                <w:highlight w:val="none"/>
              </w:rPr>
              <w:t>选用低噪声设备，基础减振</w:t>
            </w:r>
            <w:r>
              <w:rPr>
                <w:rFonts w:hint="eastAsia"/>
                <w:color w:val="auto"/>
                <w:sz w:val="21"/>
                <w:szCs w:val="21"/>
                <w:highlight w:val="none"/>
                <w:lang w:eastAsia="zh-CN"/>
              </w:rPr>
              <w:t>、</w:t>
            </w:r>
            <w:r>
              <w:rPr>
                <w:rFonts w:hint="default"/>
                <w:color w:val="auto"/>
                <w:sz w:val="21"/>
                <w:szCs w:val="21"/>
                <w:highlight w:val="none"/>
              </w:rPr>
              <w:t>隔声</w:t>
            </w:r>
            <w:r>
              <w:rPr>
                <w:rFonts w:hint="eastAsia"/>
                <w:color w:val="auto"/>
                <w:sz w:val="21"/>
                <w:szCs w:val="21"/>
                <w:highlight w:val="none"/>
              </w:rPr>
              <w:t>等</w:t>
            </w:r>
            <w:r>
              <w:rPr>
                <w:rFonts w:hint="default"/>
                <w:color w:val="auto"/>
                <w:sz w:val="21"/>
                <w:szCs w:val="21"/>
                <w:highlight w:val="none"/>
              </w:rPr>
              <w:t>措施，</w:t>
            </w:r>
            <w:r>
              <w:rPr>
                <w:rFonts w:hint="default" w:ascii="Times New Roman" w:hAnsi="Times New Roman" w:cs="Times New Roman"/>
                <w:color w:val="auto"/>
                <w:szCs w:val="21"/>
                <w:highlight w:val="none"/>
              </w:rPr>
              <w:t>厂界噪声</w:t>
            </w:r>
            <w:r>
              <w:rPr>
                <w:rFonts w:hint="eastAsia" w:cs="Times New Roman"/>
                <w:color w:val="auto"/>
                <w:szCs w:val="21"/>
                <w:highlight w:val="none"/>
                <w:lang w:val="en-US" w:eastAsia="zh-CN"/>
              </w:rPr>
              <w:t>满足</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szCs w:val="21"/>
                <w:highlight w:val="none"/>
              </w:rPr>
              <w:t>工业企业厂界环境噪声排放标准》</w:t>
            </w:r>
            <w:r>
              <w:rPr>
                <w:rFonts w:hint="default" w:ascii="Times New Roman" w:hAnsi="Times New Roman" w:cs="Times New Roman"/>
                <w:bCs/>
                <w:color w:val="auto"/>
                <w:szCs w:val="21"/>
                <w:highlight w:val="none"/>
              </w:rPr>
              <w:t>（</w:t>
            </w:r>
            <w:r>
              <w:rPr>
                <w:rFonts w:hint="default" w:ascii="Times New Roman" w:hAnsi="Times New Roman" w:cs="Times New Roman"/>
                <w:color w:val="auto"/>
                <w:szCs w:val="21"/>
                <w:highlight w:val="none"/>
              </w:rPr>
              <w:t>GB12348-2008</w:t>
            </w:r>
            <w:r>
              <w:rPr>
                <w:rFonts w:hint="default" w:ascii="Times New Roman" w:hAnsi="Times New Roman" w:cs="Times New Roman"/>
                <w:bCs/>
                <w:color w:val="auto"/>
                <w:szCs w:val="21"/>
                <w:highlight w:val="none"/>
              </w:rPr>
              <w:t>）</w:t>
            </w:r>
            <w:r>
              <w:rPr>
                <w:rFonts w:hint="default" w:ascii="Times New Roman" w:hAnsi="Times New Roman" w:cs="Times New Roman"/>
                <w:color w:val="auto"/>
                <w:szCs w:val="21"/>
                <w:highlight w:val="none"/>
              </w:rPr>
              <w:t>表1中</w:t>
            </w:r>
            <w:r>
              <w:rPr>
                <w:rFonts w:hint="default"/>
                <w:color w:val="auto"/>
                <w:sz w:val="21"/>
                <w:szCs w:val="21"/>
                <w:highlight w:val="none"/>
              </w:rPr>
              <w:t>2</w:t>
            </w:r>
            <w:r>
              <w:rPr>
                <w:rFonts w:hint="eastAsia"/>
                <w:color w:val="auto"/>
                <w:sz w:val="21"/>
                <w:szCs w:val="21"/>
                <w:highlight w:val="none"/>
                <w:lang w:val="en-US" w:eastAsia="zh-CN"/>
              </w:rPr>
              <w:t>类标准</w:t>
            </w:r>
            <w:r>
              <w:rPr>
                <w:rFonts w:hint="eastAsia"/>
                <w:color w:val="auto"/>
                <w:sz w:val="21"/>
                <w:szCs w:val="21"/>
                <w:highlight w:val="none"/>
                <w:lang w:eastAsia="zh-CN"/>
              </w:rPr>
              <w:t>。</w:t>
            </w:r>
            <w:r>
              <w:rPr>
                <w:rFonts w:hint="default"/>
                <w:color w:val="auto"/>
                <w:sz w:val="21"/>
                <w:szCs w:val="21"/>
                <w:highlight w:val="none"/>
              </w:rPr>
              <w:t>本项目对周围声环境影响较小。</w:t>
            </w:r>
          </w:p>
          <w:p w14:paraId="4A08017C">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w:t>
            </w:r>
            <w:r>
              <w:rPr>
                <w:rFonts w:hint="eastAsia" w:cs="Times New Roman"/>
                <w:bCs/>
                <w:color w:val="auto"/>
                <w:szCs w:val="21"/>
                <w:highlight w:val="none"/>
                <w:lang w:val="en-US" w:eastAsia="zh-CN"/>
              </w:rPr>
              <w:t>4</w:t>
            </w:r>
            <w:r>
              <w:rPr>
                <w:rFonts w:hint="default" w:ascii="Times New Roman" w:hAnsi="Times New Roman" w:cs="Times New Roman"/>
                <w:bCs/>
                <w:color w:val="auto"/>
                <w:szCs w:val="21"/>
                <w:highlight w:val="none"/>
              </w:rPr>
              <w:t>）监测要求</w:t>
            </w:r>
          </w:p>
          <w:p w14:paraId="58344BE9">
            <w:pPr>
              <w:keepNext w:val="0"/>
              <w:keepLines w:val="0"/>
              <w:suppressLineNumbers w:val="0"/>
              <w:adjustRightInd w:val="0"/>
              <w:snapToGrid w:val="0"/>
              <w:spacing w:before="0" w:beforeAutospacing="0" w:after="0" w:afterAutospacing="0" w:line="360" w:lineRule="auto"/>
              <w:ind w:left="0" w:right="0" w:firstLine="420" w:firstLineChars="200"/>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根据《排污单位自行监测技术指南 总则》（HJ819-2017），本项目噪声监测计划如下：</w:t>
            </w:r>
          </w:p>
          <w:p w14:paraId="1356BE24">
            <w:pPr>
              <w:keepNext w:val="0"/>
              <w:keepLines w:val="0"/>
              <w:suppressLineNumbers w:val="0"/>
              <w:spacing w:before="0" w:beforeAutospacing="0" w:after="0" w:afterAutospacing="0"/>
              <w:ind w:left="0" w:right="0"/>
              <w:jc w:val="center"/>
              <w:rPr>
                <w:rFonts w:hint="default"/>
                <w:b/>
                <w:color w:val="auto"/>
                <w:szCs w:val="21"/>
                <w:highlight w:val="none"/>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-10</w:t>
            </w:r>
            <w:r>
              <w:rPr>
                <w:rFonts w:hint="eastAsia" w:hAnsi="宋体"/>
                <w:b/>
                <w:color w:val="auto"/>
                <w:szCs w:val="21"/>
                <w:highlight w:val="none"/>
              </w:rPr>
              <w:t>项目噪声监测计划表</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4"/>
              <w:gridCol w:w="1695"/>
              <w:gridCol w:w="2357"/>
              <w:gridCol w:w="2982"/>
            </w:tblGrid>
            <w:tr w14:paraId="68E782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4" w:type="dxa"/>
                  <w:tcBorders>
                    <w:left w:val="nil"/>
                    <w:bottom w:val="single" w:color="auto" w:sz="4" w:space="0"/>
                    <w:right w:val="single" w:color="auto" w:sz="4" w:space="0"/>
                  </w:tcBorders>
                  <w:noWrap w:val="0"/>
                  <w:vAlign w:val="center"/>
                </w:tcPr>
                <w:p w14:paraId="11947CBB">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类别</w:t>
                  </w:r>
                </w:p>
              </w:tc>
              <w:tc>
                <w:tcPr>
                  <w:tcW w:w="1173" w:type="dxa"/>
                  <w:tcBorders>
                    <w:left w:val="single" w:color="auto" w:sz="4" w:space="0"/>
                    <w:bottom w:val="single" w:color="auto" w:sz="4" w:space="0"/>
                    <w:right w:val="single" w:color="auto" w:sz="4" w:space="0"/>
                  </w:tcBorders>
                  <w:noWrap w:val="0"/>
                  <w:vAlign w:val="center"/>
                </w:tcPr>
                <w:p w14:paraId="6CCE152E">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监测点位</w:t>
                  </w:r>
                </w:p>
              </w:tc>
              <w:tc>
                <w:tcPr>
                  <w:tcW w:w="1631" w:type="dxa"/>
                  <w:tcBorders>
                    <w:left w:val="single" w:color="auto" w:sz="4" w:space="0"/>
                    <w:bottom w:val="single" w:color="auto" w:sz="4" w:space="0"/>
                    <w:right w:val="single" w:color="auto" w:sz="4" w:space="0"/>
                  </w:tcBorders>
                  <w:noWrap w:val="0"/>
                  <w:vAlign w:val="center"/>
                </w:tcPr>
                <w:p w14:paraId="52B1BD10">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监测项目</w:t>
                  </w:r>
                </w:p>
              </w:tc>
              <w:tc>
                <w:tcPr>
                  <w:tcW w:w="2063" w:type="dxa"/>
                  <w:tcBorders>
                    <w:left w:val="single" w:color="auto" w:sz="4" w:space="0"/>
                    <w:bottom w:val="single" w:color="auto" w:sz="4" w:space="0"/>
                    <w:right w:val="nil"/>
                  </w:tcBorders>
                  <w:noWrap w:val="0"/>
                  <w:vAlign w:val="center"/>
                </w:tcPr>
                <w:p w14:paraId="1E0BAC86">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监测频次</w:t>
                  </w:r>
                </w:p>
              </w:tc>
            </w:tr>
            <w:tr w14:paraId="4213AC0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24" w:type="dxa"/>
                  <w:tcBorders>
                    <w:top w:val="single" w:color="auto" w:sz="4" w:space="0"/>
                    <w:left w:val="nil"/>
                    <w:right w:val="single" w:color="auto" w:sz="4" w:space="0"/>
                  </w:tcBorders>
                  <w:noWrap w:val="0"/>
                  <w:vAlign w:val="center"/>
                </w:tcPr>
                <w:p w14:paraId="1CBE1B86">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厂界噪声</w:t>
                  </w:r>
                </w:p>
              </w:tc>
              <w:tc>
                <w:tcPr>
                  <w:tcW w:w="1173" w:type="dxa"/>
                  <w:tcBorders>
                    <w:top w:val="single" w:color="auto" w:sz="4" w:space="0"/>
                    <w:left w:val="single" w:color="auto" w:sz="4" w:space="0"/>
                    <w:right w:val="single" w:color="auto" w:sz="4" w:space="0"/>
                  </w:tcBorders>
                  <w:noWrap w:val="0"/>
                  <w:vAlign w:val="center"/>
                </w:tcPr>
                <w:p w14:paraId="2589D7E6">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厂界四周</w:t>
                  </w:r>
                </w:p>
              </w:tc>
              <w:tc>
                <w:tcPr>
                  <w:tcW w:w="1631" w:type="dxa"/>
                  <w:tcBorders>
                    <w:top w:val="single" w:color="auto" w:sz="4" w:space="0"/>
                    <w:left w:val="single" w:color="auto" w:sz="4" w:space="0"/>
                    <w:right w:val="single" w:color="auto" w:sz="4" w:space="0"/>
                  </w:tcBorders>
                  <w:noWrap w:val="0"/>
                  <w:vAlign w:val="center"/>
                </w:tcPr>
                <w:p w14:paraId="49B61E76">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eastAsia" w:hAnsi="宋体"/>
                      <w:color w:val="auto"/>
                      <w:kern w:val="0"/>
                      <w:sz w:val="18"/>
                      <w:szCs w:val="18"/>
                      <w:highlight w:val="none"/>
                    </w:rPr>
                    <w:t>等效连续</w:t>
                  </w:r>
                  <w:r>
                    <w:rPr>
                      <w:rFonts w:hint="default" w:hAnsi="宋体"/>
                      <w:color w:val="auto"/>
                      <w:kern w:val="0"/>
                      <w:sz w:val="18"/>
                      <w:szCs w:val="18"/>
                      <w:highlight w:val="none"/>
                    </w:rPr>
                    <w:t>A</w:t>
                  </w:r>
                  <w:r>
                    <w:rPr>
                      <w:rFonts w:hint="eastAsia" w:hAnsi="宋体"/>
                      <w:color w:val="auto"/>
                      <w:kern w:val="0"/>
                      <w:sz w:val="18"/>
                      <w:szCs w:val="18"/>
                      <w:highlight w:val="none"/>
                    </w:rPr>
                    <w:t>声级</w:t>
                  </w:r>
                </w:p>
              </w:tc>
              <w:tc>
                <w:tcPr>
                  <w:tcW w:w="2063" w:type="dxa"/>
                  <w:tcBorders>
                    <w:top w:val="single" w:color="auto" w:sz="4" w:space="0"/>
                    <w:left w:val="single" w:color="auto" w:sz="4" w:space="0"/>
                    <w:right w:val="nil"/>
                  </w:tcBorders>
                  <w:noWrap w:val="0"/>
                  <w:vAlign w:val="center"/>
                </w:tcPr>
                <w:p w14:paraId="0D26F662">
                  <w:pPr>
                    <w:keepNext w:val="0"/>
                    <w:keepLines w:val="0"/>
                    <w:suppressLineNumbers w:val="0"/>
                    <w:spacing w:before="0" w:beforeAutospacing="0" w:after="0" w:afterAutospacing="0"/>
                    <w:ind w:left="0" w:right="0"/>
                    <w:jc w:val="center"/>
                    <w:rPr>
                      <w:rFonts w:hint="default" w:hAnsi="宋体"/>
                      <w:color w:val="auto"/>
                      <w:kern w:val="0"/>
                      <w:sz w:val="18"/>
                      <w:szCs w:val="18"/>
                      <w:highlight w:val="none"/>
                    </w:rPr>
                  </w:pPr>
                  <w:r>
                    <w:rPr>
                      <w:rFonts w:hint="default" w:hAnsi="宋体"/>
                      <w:color w:val="auto"/>
                      <w:kern w:val="0"/>
                      <w:sz w:val="18"/>
                      <w:szCs w:val="18"/>
                      <w:highlight w:val="none"/>
                    </w:rPr>
                    <w:t>1</w:t>
                  </w:r>
                  <w:r>
                    <w:rPr>
                      <w:rFonts w:hint="eastAsia" w:hAnsi="宋体"/>
                      <w:color w:val="auto"/>
                      <w:kern w:val="0"/>
                      <w:sz w:val="18"/>
                      <w:szCs w:val="18"/>
                      <w:highlight w:val="none"/>
                    </w:rPr>
                    <w:t>次</w:t>
                  </w:r>
                  <w:r>
                    <w:rPr>
                      <w:rFonts w:hint="default" w:hAnsi="宋体"/>
                      <w:color w:val="auto"/>
                      <w:kern w:val="0"/>
                      <w:sz w:val="18"/>
                      <w:szCs w:val="18"/>
                      <w:highlight w:val="none"/>
                    </w:rPr>
                    <w:t>/</w:t>
                  </w:r>
                  <w:r>
                    <w:rPr>
                      <w:rFonts w:hint="eastAsia" w:hAnsi="宋体"/>
                      <w:color w:val="auto"/>
                      <w:kern w:val="0"/>
                      <w:sz w:val="18"/>
                      <w:szCs w:val="18"/>
                      <w:highlight w:val="none"/>
                    </w:rPr>
                    <w:t>季度</w:t>
                  </w:r>
                  <w:r>
                    <w:rPr>
                      <w:rFonts w:hint="eastAsia" w:hAnsi="宋体"/>
                      <w:color w:val="auto"/>
                      <w:kern w:val="0"/>
                      <w:sz w:val="18"/>
                      <w:szCs w:val="18"/>
                      <w:highlight w:val="none"/>
                      <w:lang w:eastAsia="zh-CN"/>
                    </w:rPr>
                    <w:t>，</w:t>
                  </w:r>
                  <w:r>
                    <w:rPr>
                      <w:rFonts w:hint="eastAsia" w:hAnsi="宋体"/>
                      <w:color w:val="auto"/>
                      <w:kern w:val="0"/>
                      <w:sz w:val="18"/>
                      <w:szCs w:val="18"/>
                      <w:highlight w:val="none"/>
                      <w:lang w:val="en-US" w:eastAsia="zh-CN"/>
                    </w:rPr>
                    <w:t>昼夜各1次</w:t>
                  </w:r>
                </w:p>
              </w:tc>
            </w:tr>
          </w:tbl>
          <w:p w14:paraId="19AA577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color w:val="auto"/>
                <w:szCs w:val="21"/>
                <w:highlight w:val="none"/>
              </w:rPr>
            </w:pPr>
            <w:r>
              <w:rPr>
                <w:rFonts w:hint="default" w:ascii="Times New Roman" w:hAnsi="Times New Roman" w:cs="Times New Roman"/>
                <w:b/>
                <w:color w:val="auto"/>
                <w:szCs w:val="21"/>
                <w:highlight w:val="none"/>
              </w:rPr>
              <w:t>4、固体废物</w:t>
            </w:r>
          </w:p>
          <w:p w14:paraId="7EBC53B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Cs/>
                <w:color w:val="auto"/>
                <w:szCs w:val="21"/>
                <w:highlight w:val="none"/>
              </w:rPr>
            </w:pPr>
            <w:r>
              <w:rPr>
                <w:rFonts w:hint="default" w:ascii="Times New Roman" w:hAnsi="Times New Roman" w:cs="Times New Roman"/>
                <w:bCs/>
                <w:color w:val="auto"/>
                <w:szCs w:val="21"/>
                <w:highlight w:val="none"/>
              </w:rPr>
              <w:t>（1）固体废物排放信息</w:t>
            </w:r>
          </w:p>
          <w:p w14:paraId="053DF210">
            <w:pPr>
              <w:keepNext w:val="0"/>
              <w:keepLines w:val="0"/>
              <w:suppressLineNumbers w:val="0"/>
              <w:adjustRightInd w:val="0"/>
              <w:snapToGrid w:val="0"/>
              <w:spacing w:before="0" w:beforeAutospacing="0" w:after="0" w:afterAutospacing="0"/>
              <w:ind w:left="0" w:right="0"/>
              <w:jc w:val="center"/>
              <w:rPr>
                <w:rFonts w:hint="eastAsia" w:ascii="Times New Roman" w:hAnsi="Times New Roman" w:eastAsia="宋体" w:cs="Times New Roman"/>
                <w:b/>
                <w:color w:val="auto"/>
                <w:szCs w:val="21"/>
                <w:highlight w:val="none"/>
                <w:lang w:eastAsia="zh-CN"/>
              </w:rPr>
            </w:pPr>
            <w:r>
              <w:rPr>
                <w:rFonts w:hint="default" w:ascii="Times New Roman" w:hAnsi="Times New Roman" w:cs="Times New Roman"/>
                <w:b/>
                <w:color w:val="auto"/>
                <w:szCs w:val="21"/>
                <w:highlight w:val="none"/>
              </w:rPr>
              <w:t>表4-</w:t>
            </w:r>
            <w:r>
              <w:rPr>
                <w:rFonts w:hint="eastAsia" w:cs="Times New Roman"/>
                <w:b/>
                <w:color w:val="auto"/>
                <w:szCs w:val="21"/>
                <w:highlight w:val="none"/>
                <w:lang w:val="en-US" w:eastAsia="zh-CN"/>
              </w:rPr>
              <w:t>11</w:t>
            </w:r>
            <w:r>
              <w:rPr>
                <w:rFonts w:hint="default" w:ascii="Times New Roman" w:hAnsi="Times New Roman" w:cs="Times New Roman"/>
                <w:b/>
                <w:color w:val="auto"/>
                <w:szCs w:val="21"/>
                <w:highlight w:val="none"/>
              </w:rPr>
              <w:t>固体废物排放</w:t>
            </w:r>
            <w:r>
              <w:rPr>
                <w:rFonts w:hint="eastAsia" w:cs="Times New Roman"/>
                <w:b/>
                <w:color w:val="auto"/>
                <w:szCs w:val="21"/>
                <w:highlight w:val="none"/>
                <w:lang w:val="en-US" w:eastAsia="zh-CN"/>
              </w:rPr>
              <w:t>一览表</w:t>
            </w:r>
          </w:p>
          <w:tbl>
            <w:tblPr>
              <w:tblStyle w:val="34"/>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9"/>
              <w:gridCol w:w="1410"/>
              <w:gridCol w:w="1331"/>
              <w:gridCol w:w="806"/>
              <w:gridCol w:w="658"/>
              <w:gridCol w:w="1573"/>
              <w:gridCol w:w="846"/>
              <w:gridCol w:w="1085"/>
            </w:tblGrid>
            <w:tr w14:paraId="427C55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9" w:type="dxa"/>
                  <w:noWrap w:val="0"/>
                  <w:vAlign w:val="center"/>
                </w:tcPr>
                <w:p w14:paraId="2F3352B0">
                  <w:pPr>
                    <w:keepNext w:val="0"/>
                    <w:keepLines w:val="0"/>
                    <w:pageBreakBefore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产生环节</w:t>
                  </w:r>
                </w:p>
              </w:tc>
              <w:tc>
                <w:tcPr>
                  <w:tcW w:w="1410" w:type="dxa"/>
                  <w:noWrap w:val="0"/>
                  <w:vAlign w:val="center"/>
                </w:tcPr>
                <w:p w14:paraId="167FA835">
                  <w:pPr>
                    <w:keepNext w:val="0"/>
                    <w:keepLines w:val="0"/>
                    <w:pageBreakBefore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p>
                <w:p w14:paraId="3CEC8EBC">
                  <w:pPr>
                    <w:keepNext w:val="0"/>
                    <w:keepLines w:val="0"/>
                    <w:pageBreakBefore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名称</w:t>
                  </w:r>
                </w:p>
              </w:tc>
              <w:tc>
                <w:tcPr>
                  <w:tcW w:w="1331" w:type="dxa"/>
                  <w:noWrap w:val="0"/>
                  <w:vAlign w:val="center"/>
                </w:tcPr>
                <w:p w14:paraId="782978DD">
                  <w:pPr>
                    <w:keepNext w:val="0"/>
                    <w:keepLines w:val="0"/>
                    <w:pageBreakBefore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固体废物</w:t>
                  </w:r>
                </w:p>
                <w:p w14:paraId="668A5CA7">
                  <w:pPr>
                    <w:keepNext w:val="0"/>
                    <w:keepLines w:val="0"/>
                    <w:pageBreakBefore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属性</w:t>
                  </w:r>
                </w:p>
              </w:tc>
              <w:tc>
                <w:tcPr>
                  <w:tcW w:w="806" w:type="dxa"/>
                  <w:noWrap w:val="0"/>
                  <w:vAlign w:val="center"/>
                </w:tcPr>
                <w:p w14:paraId="62ACDC9E">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产生量t/a</w:t>
                  </w:r>
                </w:p>
              </w:tc>
              <w:tc>
                <w:tcPr>
                  <w:tcW w:w="658" w:type="dxa"/>
                  <w:noWrap w:val="0"/>
                  <w:vAlign w:val="center"/>
                </w:tcPr>
                <w:p w14:paraId="27593E32">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物理</w:t>
                  </w:r>
                </w:p>
                <w:p w14:paraId="08243C3C">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性状</w:t>
                  </w:r>
                </w:p>
              </w:tc>
              <w:tc>
                <w:tcPr>
                  <w:tcW w:w="1573" w:type="dxa"/>
                  <w:noWrap w:val="0"/>
                  <w:vAlign w:val="center"/>
                </w:tcPr>
                <w:p w14:paraId="7782B92F">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贮存方式</w:t>
                  </w:r>
                </w:p>
              </w:tc>
              <w:tc>
                <w:tcPr>
                  <w:tcW w:w="846" w:type="dxa"/>
                  <w:noWrap w:val="0"/>
                  <w:vAlign w:val="center"/>
                </w:tcPr>
                <w:p w14:paraId="5A5B0C38">
                  <w:pPr>
                    <w:keepNext w:val="0"/>
                    <w:keepLines w:val="0"/>
                    <w:pageBreakBefore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处置量t/a</w:t>
                  </w:r>
                </w:p>
              </w:tc>
              <w:tc>
                <w:tcPr>
                  <w:tcW w:w="1085" w:type="dxa"/>
                  <w:noWrap w:val="0"/>
                  <w:vAlign w:val="center"/>
                </w:tcPr>
                <w:p w14:paraId="40512129">
                  <w:pPr>
                    <w:keepNext w:val="0"/>
                    <w:keepLines w:val="0"/>
                    <w:pageBreakBefore w:val="0"/>
                    <w:suppressLineNumbers w:val="0"/>
                    <w:kinsoku/>
                    <w:wordWrap/>
                    <w:overflowPunct/>
                    <w:topLinePunct w:val="0"/>
                    <w:autoSpaceDE w:val="0"/>
                    <w:autoSpaceDN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最终去向</w:t>
                  </w:r>
                </w:p>
              </w:tc>
            </w:tr>
            <w:tr w14:paraId="48CB1701">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9" w:type="dxa"/>
                  <w:noWrap w:val="0"/>
                  <w:vAlign w:val="center"/>
                </w:tcPr>
                <w:p w14:paraId="31E46224">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color w:val="auto"/>
                      <w:sz w:val="18"/>
                      <w:szCs w:val="18"/>
                      <w:highlight w:val="none"/>
                      <w:lang w:val="en-US" w:eastAsia="zh-CN"/>
                    </w:rPr>
                    <w:t>烘干燃烧器</w:t>
                  </w:r>
                </w:p>
              </w:tc>
              <w:tc>
                <w:tcPr>
                  <w:tcW w:w="1410" w:type="dxa"/>
                  <w:noWrap w:val="0"/>
                  <w:vAlign w:val="center"/>
                </w:tcPr>
                <w:p w14:paraId="41AC64E1">
                  <w:pPr>
                    <w:pStyle w:val="132"/>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灰渣</w:t>
                  </w:r>
                </w:p>
              </w:tc>
              <w:tc>
                <w:tcPr>
                  <w:tcW w:w="1331" w:type="dxa"/>
                  <w:noWrap w:val="0"/>
                  <w:vAlign w:val="center"/>
                </w:tcPr>
                <w:p w14:paraId="1DFD835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rPr>
                    <w:t>工业固体废物900-099-S03</w:t>
                  </w:r>
                </w:p>
              </w:tc>
              <w:tc>
                <w:tcPr>
                  <w:tcW w:w="806" w:type="dxa"/>
                  <w:noWrap w:val="0"/>
                  <w:vAlign w:val="center"/>
                </w:tcPr>
                <w:p w14:paraId="359DE8F1">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876.697</w:t>
                  </w:r>
                </w:p>
              </w:tc>
              <w:tc>
                <w:tcPr>
                  <w:tcW w:w="658" w:type="dxa"/>
                  <w:noWrap w:val="0"/>
                  <w:vAlign w:val="center"/>
                </w:tcPr>
                <w:p w14:paraId="607FF2C5">
                  <w:pPr>
                    <w:keepNext w:val="0"/>
                    <w:keepLines w:val="0"/>
                    <w:pageBreakBefore w:val="0"/>
                    <w:suppressLineNumbers w:val="0"/>
                    <w:kinsoku/>
                    <w:wordWrap/>
                    <w:overflowPunct/>
                    <w:topLinePunct w:val="0"/>
                    <w:bidi w:val="0"/>
                    <w:adjustRightInd/>
                    <w:snapToGrid w:val="0"/>
                    <w:spacing w:before="0" w:beforeAutospacing="0" w:after="0" w:afterAutospacing="0"/>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rPr>
                    <w:t>固</w:t>
                  </w:r>
                </w:p>
              </w:tc>
              <w:tc>
                <w:tcPr>
                  <w:tcW w:w="1573" w:type="dxa"/>
                  <w:noWrap w:val="0"/>
                  <w:vAlign w:val="center"/>
                </w:tcPr>
                <w:p w14:paraId="49E40816">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袋装储存，暂存与灰渣间内，每5天清运1次，不在厂区长期储存</w:t>
                  </w:r>
                </w:p>
              </w:tc>
              <w:tc>
                <w:tcPr>
                  <w:tcW w:w="846" w:type="dxa"/>
                  <w:noWrap w:val="0"/>
                  <w:vAlign w:val="center"/>
                </w:tcPr>
                <w:p w14:paraId="543FFDEF">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876.697</w:t>
                  </w:r>
                </w:p>
              </w:tc>
              <w:tc>
                <w:tcPr>
                  <w:tcW w:w="1085" w:type="dxa"/>
                  <w:noWrap w:val="0"/>
                  <w:vAlign w:val="center"/>
                </w:tcPr>
                <w:p w14:paraId="529A64CD">
                  <w:pPr>
                    <w:pStyle w:val="132"/>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18"/>
                      <w:szCs w:val="18"/>
                      <w:highlight w:val="none"/>
                      <w:vertAlign w:val="baseline"/>
                      <w:lang w:eastAsia="zh-CN"/>
                    </w:rPr>
                  </w:pPr>
                  <w:r>
                    <w:rPr>
                      <w:rFonts w:hint="eastAsia" w:cs="Times New Roman"/>
                      <w:color w:val="auto"/>
                      <w:sz w:val="18"/>
                      <w:szCs w:val="18"/>
                      <w:highlight w:val="none"/>
                      <w:vertAlign w:val="baseline"/>
                      <w:lang w:eastAsia="zh-CN"/>
                    </w:rPr>
                    <w:t>由周边农户还田综合利用</w:t>
                  </w:r>
                </w:p>
              </w:tc>
            </w:tr>
            <w:tr w14:paraId="194D9F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9" w:type="dxa"/>
                  <w:vMerge w:val="restart"/>
                  <w:noWrap w:val="0"/>
                  <w:vAlign w:val="center"/>
                </w:tcPr>
                <w:p w14:paraId="250B1F8C">
                  <w:pPr>
                    <w:pStyle w:val="132"/>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textAlignment w:val="auto"/>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eastAsia="宋体" w:cs="Times New Roman"/>
                      <w:bCs/>
                      <w:color w:val="auto"/>
                      <w:sz w:val="18"/>
                      <w:szCs w:val="18"/>
                      <w:highlight w:val="none"/>
                      <w:lang w:val="en-US" w:eastAsia="zh-CN"/>
                    </w:rPr>
                    <w:t>生产</w:t>
                  </w:r>
                </w:p>
              </w:tc>
              <w:tc>
                <w:tcPr>
                  <w:tcW w:w="1410" w:type="dxa"/>
                  <w:noWrap w:val="0"/>
                  <w:vAlign w:val="center"/>
                </w:tcPr>
                <w:p w14:paraId="21C9E5E9">
                  <w:pPr>
                    <w:pStyle w:val="132"/>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textAlignment w:val="auto"/>
                    <w:rPr>
                      <w:rFonts w:hint="eastAsia" w:ascii="Times New Roman" w:hAnsi="Times New Roman" w:eastAsia="宋体" w:cs="Times New Roman"/>
                      <w:bCs/>
                      <w:color w:val="auto"/>
                      <w:sz w:val="18"/>
                      <w:szCs w:val="18"/>
                      <w:highlight w:val="none"/>
                      <w:lang w:val="en-US" w:eastAsia="zh-CN"/>
                    </w:rPr>
                  </w:pPr>
                  <w:r>
                    <w:rPr>
                      <w:rFonts w:hint="eastAsia" w:ascii="Times New Roman" w:hAnsi="Times New Roman" w:cs="Times New Roman"/>
                      <w:color w:val="auto"/>
                      <w:sz w:val="18"/>
                      <w:szCs w:val="18"/>
                      <w:highlight w:val="none"/>
                      <w:lang w:val="en-US" w:eastAsia="zh-CN"/>
                    </w:rPr>
                    <w:t>生产工序布袋除尘器收尘</w:t>
                  </w:r>
                </w:p>
              </w:tc>
              <w:tc>
                <w:tcPr>
                  <w:tcW w:w="1331" w:type="dxa"/>
                  <w:noWrap w:val="0"/>
                  <w:vAlign w:val="center"/>
                </w:tcPr>
                <w:p w14:paraId="22ECE034">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rPr>
                    <w:t>工业固体废物900-0</w:t>
                  </w:r>
                  <w:r>
                    <w:rPr>
                      <w:rFonts w:hint="eastAsia" w:ascii="Times New Roman" w:hAnsi="Times New Roman" w:cs="Times New Roman"/>
                      <w:color w:val="auto"/>
                      <w:sz w:val="18"/>
                      <w:szCs w:val="18"/>
                      <w:highlight w:val="none"/>
                      <w:lang w:val="en-US" w:eastAsia="zh-CN"/>
                    </w:rPr>
                    <w:t>0</w:t>
                  </w:r>
                  <w:r>
                    <w:rPr>
                      <w:rFonts w:hint="default" w:ascii="Times New Roman" w:hAnsi="Times New Roman" w:cs="Times New Roman"/>
                      <w:color w:val="auto"/>
                      <w:sz w:val="18"/>
                      <w:szCs w:val="18"/>
                      <w:highlight w:val="none"/>
                    </w:rPr>
                    <w:t>9-S</w:t>
                  </w:r>
                  <w:r>
                    <w:rPr>
                      <w:rFonts w:hint="eastAsia" w:ascii="Times New Roman" w:hAnsi="Times New Roman" w:cs="Times New Roman"/>
                      <w:color w:val="auto"/>
                      <w:sz w:val="18"/>
                      <w:szCs w:val="18"/>
                      <w:highlight w:val="none"/>
                      <w:lang w:val="en-US" w:eastAsia="zh-CN"/>
                    </w:rPr>
                    <w:t>59</w:t>
                  </w:r>
                </w:p>
              </w:tc>
              <w:tc>
                <w:tcPr>
                  <w:tcW w:w="806" w:type="dxa"/>
                  <w:noWrap w:val="0"/>
                  <w:vAlign w:val="center"/>
                </w:tcPr>
                <w:p w14:paraId="17E0FE55">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color w:val="auto"/>
                      <w:sz w:val="18"/>
                      <w:szCs w:val="18"/>
                      <w:highlight w:val="none"/>
                      <w:lang w:val="en-US" w:eastAsia="zh-CN"/>
                    </w:rPr>
                    <w:t>11.079</w:t>
                  </w:r>
                </w:p>
              </w:tc>
              <w:tc>
                <w:tcPr>
                  <w:tcW w:w="658" w:type="dxa"/>
                  <w:noWrap w:val="0"/>
                  <w:vAlign w:val="center"/>
                </w:tcPr>
                <w:p w14:paraId="3E44A6D0">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rPr>
                  </w:pPr>
                  <w:r>
                    <w:rPr>
                      <w:rFonts w:hint="default" w:ascii="Times New Roman" w:hAnsi="Times New Roman" w:eastAsia="宋体" w:cs="Times New Roman"/>
                      <w:color w:val="auto"/>
                      <w:sz w:val="18"/>
                      <w:szCs w:val="18"/>
                      <w:highlight w:val="none"/>
                    </w:rPr>
                    <w:t>固</w:t>
                  </w:r>
                </w:p>
              </w:tc>
              <w:tc>
                <w:tcPr>
                  <w:tcW w:w="1573" w:type="dxa"/>
                  <w:noWrap w:val="0"/>
                  <w:vAlign w:val="center"/>
                </w:tcPr>
                <w:p w14:paraId="48AA6918">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bCs/>
                      <w:color w:val="auto"/>
                      <w:sz w:val="18"/>
                      <w:szCs w:val="18"/>
                      <w:highlight w:val="none"/>
                      <w:lang w:val="en-US" w:eastAsia="zh-CN"/>
                    </w:rPr>
                  </w:pPr>
                  <w:r>
                    <w:rPr>
                      <w:rFonts w:hint="eastAsia" w:cs="Times New Roman"/>
                      <w:color w:val="auto"/>
                      <w:sz w:val="18"/>
                      <w:szCs w:val="18"/>
                      <w:highlight w:val="none"/>
                      <w:lang w:val="en-US" w:eastAsia="zh-CN"/>
                    </w:rPr>
                    <w:t>集中收集</w:t>
                  </w:r>
                </w:p>
              </w:tc>
              <w:tc>
                <w:tcPr>
                  <w:tcW w:w="846" w:type="dxa"/>
                  <w:noWrap w:val="0"/>
                  <w:vAlign w:val="center"/>
                </w:tcPr>
                <w:p w14:paraId="75DE0B2B">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kern w:val="2"/>
                      <w:sz w:val="18"/>
                      <w:szCs w:val="18"/>
                      <w:highlight w:val="none"/>
                      <w:lang w:val="en-US" w:eastAsia="zh-CN" w:bidi="ar-SA"/>
                    </w:rPr>
                  </w:pPr>
                  <w:r>
                    <w:rPr>
                      <w:rFonts w:hint="eastAsia" w:cs="Times New Roman"/>
                      <w:color w:val="auto"/>
                      <w:sz w:val="18"/>
                      <w:szCs w:val="18"/>
                      <w:highlight w:val="none"/>
                      <w:lang w:val="en-US" w:eastAsia="zh-CN"/>
                    </w:rPr>
                    <w:t>11.079</w:t>
                  </w:r>
                </w:p>
              </w:tc>
              <w:tc>
                <w:tcPr>
                  <w:tcW w:w="1085" w:type="dxa"/>
                  <w:noWrap w:val="0"/>
                  <w:vAlign w:val="center"/>
                </w:tcPr>
                <w:p w14:paraId="5B6A509C">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sz w:val="18"/>
                      <w:szCs w:val="18"/>
                      <w:highlight w:val="none"/>
                      <w:lang w:val="en-US" w:eastAsia="zh-CN"/>
                    </w:rPr>
                  </w:pPr>
                  <w:r>
                    <w:rPr>
                      <w:rFonts w:hint="eastAsia" w:cs="Times New Roman"/>
                      <w:bCs/>
                      <w:color w:val="auto"/>
                      <w:sz w:val="18"/>
                      <w:szCs w:val="18"/>
                      <w:highlight w:val="none"/>
                      <w:lang w:val="en-US" w:eastAsia="zh-CN"/>
                    </w:rPr>
                    <w:t>回用生产</w:t>
                  </w:r>
                </w:p>
              </w:tc>
            </w:tr>
            <w:tr w14:paraId="71B284E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9" w:type="dxa"/>
                  <w:vMerge w:val="continue"/>
                  <w:noWrap w:val="0"/>
                  <w:vAlign w:val="center"/>
                </w:tcPr>
                <w:p w14:paraId="6CF16DE2">
                  <w:pPr>
                    <w:pStyle w:val="132"/>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textAlignment w:val="auto"/>
                    <w:rPr>
                      <w:rFonts w:hint="eastAsia" w:ascii="Times New Roman" w:hAnsi="Times New Roman" w:eastAsia="宋体" w:cs="Times New Roman"/>
                      <w:bCs/>
                      <w:color w:val="auto"/>
                      <w:sz w:val="18"/>
                      <w:szCs w:val="18"/>
                      <w:highlight w:val="none"/>
                      <w:lang w:val="en-US" w:eastAsia="zh-CN"/>
                    </w:rPr>
                  </w:pPr>
                </w:p>
              </w:tc>
              <w:tc>
                <w:tcPr>
                  <w:tcW w:w="1410" w:type="dxa"/>
                  <w:noWrap w:val="0"/>
                  <w:vAlign w:val="center"/>
                </w:tcPr>
                <w:p w14:paraId="4BF2FD18">
                  <w:pPr>
                    <w:pStyle w:val="132"/>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textAlignment w:val="auto"/>
                    <w:rPr>
                      <w:rFonts w:hint="eastAsia"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车间地面收尘</w:t>
                  </w:r>
                </w:p>
              </w:tc>
              <w:tc>
                <w:tcPr>
                  <w:tcW w:w="1331" w:type="dxa"/>
                  <w:shd w:val="clear" w:color="auto" w:fill="auto"/>
                  <w:noWrap w:val="0"/>
                  <w:vAlign w:val="center"/>
                </w:tcPr>
                <w:p w14:paraId="631281D1">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工业固体废物900-0</w:t>
                  </w:r>
                  <w:r>
                    <w:rPr>
                      <w:rFonts w:hint="eastAsia" w:ascii="Times New Roman" w:hAnsi="Times New Roman" w:cs="Times New Roman"/>
                      <w:color w:val="auto"/>
                      <w:sz w:val="18"/>
                      <w:szCs w:val="18"/>
                      <w:highlight w:val="none"/>
                      <w:lang w:val="en-US" w:eastAsia="zh-CN"/>
                    </w:rPr>
                    <w:t>0</w:t>
                  </w:r>
                  <w:r>
                    <w:rPr>
                      <w:rFonts w:hint="default" w:ascii="Times New Roman" w:hAnsi="Times New Roman" w:cs="Times New Roman"/>
                      <w:color w:val="auto"/>
                      <w:sz w:val="18"/>
                      <w:szCs w:val="18"/>
                      <w:highlight w:val="none"/>
                    </w:rPr>
                    <w:t>9-S</w:t>
                  </w:r>
                  <w:r>
                    <w:rPr>
                      <w:rFonts w:hint="eastAsia" w:ascii="Times New Roman" w:hAnsi="Times New Roman" w:cs="Times New Roman"/>
                      <w:color w:val="auto"/>
                      <w:sz w:val="18"/>
                      <w:szCs w:val="18"/>
                      <w:highlight w:val="none"/>
                      <w:lang w:val="en-US" w:eastAsia="zh-CN"/>
                    </w:rPr>
                    <w:t>59</w:t>
                  </w:r>
                </w:p>
              </w:tc>
              <w:tc>
                <w:tcPr>
                  <w:tcW w:w="806" w:type="dxa"/>
                  <w:noWrap w:val="0"/>
                  <w:vAlign w:val="center"/>
                </w:tcPr>
                <w:p w14:paraId="5F1679D3">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1.07</w:t>
                  </w:r>
                </w:p>
              </w:tc>
              <w:tc>
                <w:tcPr>
                  <w:tcW w:w="658" w:type="dxa"/>
                  <w:noWrap w:val="0"/>
                  <w:vAlign w:val="center"/>
                </w:tcPr>
                <w:p w14:paraId="710D9DED">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固</w:t>
                  </w:r>
                </w:p>
              </w:tc>
              <w:tc>
                <w:tcPr>
                  <w:tcW w:w="1573" w:type="dxa"/>
                  <w:shd w:val="clear" w:color="auto" w:fill="auto"/>
                  <w:noWrap w:val="0"/>
                  <w:vAlign w:val="center"/>
                </w:tcPr>
                <w:p w14:paraId="724B7BA2">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color w:val="auto"/>
                      <w:sz w:val="18"/>
                      <w:szCs w:val="18"/>
                      <w:highlight w:val="none"/>
                      <w:lang w:val="en-US" w:eastAsia="zh-CN"/>
                    </w:rPr>
                    <w:t>集中收集</w:t>
                  </w:r>
                </w:p>
              </w:tc>
              <w:tc>
                <w:tcPr>
                  <w:tcW w:w="846" w:type="dxa"/>
                  <w:shd w:val="clear" w:color="auto" w:fill="auto"/>
                  <w:noWrap w:val="0"/>
                  <w:vAlign w:val="center"/>
                </w:tcPr>
                <w:p w14:paraId="576D392C">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color w:val="auto"/>
                      <w:sz w:val="18"/>
                      <w:szCs w:val="18"/>
                      <w:highlight w:val="none"/>
                      <w:lang w:val="en-US" w:eastAsia="zh-CN"/>
                    </w:rPr>
                    <w:t>1.07</w:t>
                  </w:r>
                </w:p>
              </w:tc>
              <w:tc>
                <w:tcPr>
                  <w:tcW w:w="1085" w:type="dxa"/>
                  <w:shd w:val="clear" w:color="auto" w:fill="auto"/>
                  <w:noWrap w:val="0"/>
                  <w:vAlign w:val="center"/>
                </w:tcPr>
                <w:p w14:paraId="58B32181">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bCs/>
                      <w:color w:val="auto"/>
                      <w:kern w:val="2"/>
                      <w:sz w:val="18"/>
                      <w:szCs w:val="18"/>
                      <w:highlight w:val="none"/>
                      <w:lang w:val="en-US" w:eastAsia="zh-CN" w:bidi="ar-SA"/>
                    </w:rPr>
                  </w:pPr>
                  <w:r>
                    <w:rPr>
                      <w:rFonts w:hint="eastAsia" w:cs="Times New Roman"/>
                      <w:bCs/>
                      <w:color w:val="auto"/>
                      <w:sz w:val="18"/>
                      <w:szCs w:val="18"/>
                      <w:highlight w:val="none"/>
                      <w:lang w:val="en-US" w:eastAsia="zh-CN"/>
                    </w:rPr>
                    <w:t>回用生产</w:t>
                  </w:r>
                </w:p>
              </w:tc>
            </w:tr>
            <w:tr w14:paraId="18E8230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9" w:type="dxa"/>
                  <w:vMerge w:val="continue"/>
                  <w:noWrap w:val="0"/>
                  <w:vAlign w:val="center"/>
                </w:tcPr>
                <w:p w14:paraId="5FE64D2A">
                  <w:pPr>
                    <w:pStyle w:val="132"/>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textAlignment w:val="auto"/>
                    <w:rPr>
                      <w:rFonts w:hint="eastAsia" w:cs="Times New Roman"/>
                      <w:color w:val="auto"/>
                      <w:sz w:val="18"/>
                      <w:szCs w:val="18"/>
                      <w:highlight w:val="none"/>
                      <w:lang w:val="en-US" w:eastAsia="zh-CN"/>
                    </w:rPr>
                  </w:pPr>
                </w:p>
              </w:tc>
              <w:tc>
                <w:tcPr>
                  <w:tcW w:w="1410" w:type="dxa"/>
                  <w:noWrap w:val="0"/>
                  <w:vAlign w:val="center"/>
                </w:tcPr>
                <w:p w14:paraId="12325DC4">
                  <w:pPr>
                    <w:pStyle w:val="132"/>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textAlignment w:val="auto"/>
                    <w:rPr>
                      <w:rFonts w:hint="default" w:ascii="Times New Roman" w:hAnsi="Times New Roman" w:cs="Times New Roman"/>
                      <w:color w:val="auto"/>
                      <w:sz w:val="18"/>
                      <w:szCs w:val="18"/>
                      <w:highlight w:val="none"/>
                      <w:lang w:eastAsia="zh-CN"/>
                    </w:rPr>
                  </w:pPr>
                  <w:r>
                    <w:rPr>
                      <w:rFonts w:hint="eastAsia"/>
                      <w:color w:val="auto"/>
                      <w:sz w:val="18"/>
                      <w:szCs w:val="18"/>
                      <w:highlight w:val="none"/>
                      <w:lang w:val="en-US" w:eastAsia="zh-CN"/>
                    </w:rPr>
                    <w:t>杂质砂石</w:t>
                  </w:r>
                </w:p>
              </w:tc>
              <w:tc>
                <w:tcPr>
                  <w:tcW w:w="1331" w:type="dxa"/>
                  <w:noWrap w:val="0"/>
                  <w:vAlign w:val="center"/>
                </w:tcPr>
                <w:p w14:paraId="0A313D1E">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工业固体废物900-0</w:t>
                  </w:r>
                  <w:r>
                    <w:rPr>
                      <w:rFonts w:hint="eastAsia" w:ascii="Times New Roman" w:hAnsi="Times New Roman" w:cs="Times New Roman"/>
                      <w:color w:val="auto"/>
                      <w:sz w:val="18"/>
                      <w:szCs w:val="18"/>
                      <w:highlight w:val="none"/>
                      <w:lang w:val="en-US" w:eastAsia="zh-CN"/>
                    </w:rPr>
                    <w:t>9</w:t>
                  </w:r>
                  <w:r>
                    <w:rPr>
                      <w:rFonts w:hint="default" w:ascii="Times New Roman" w:hAnsi="Times New Roman" w:cs="Times New Roman"/>
                      <w:color w:val="auto"/>
                      <w:sz w:val="18"/>
                      <w:szCs w:val="18"/>
                      <w:highlight w:val="none"/>
                    </w:rPr>
                    <w:t>9-S</w:t>
                  </w:r>
                  <w:r>
                    <w:rPr>
                      <w:rFonts w:hint="eastAsia" w:ascii="Times New Roman" w:hAnsi="Times New Roman" w:cs="Times New Roman"/>
                      <w:color w:val="auto"/>
                      <w:sz w:val="18"/>
                      <w:szCs w:val="18"/>
                      <w:highlight w:val="none"/>
                      <w:lang w:val="en-US" w:eastAsia="zh-CN"/>
                    </w:rPr>
                    <w:t>59</w:t>
                  </w:r>
                </w:p>
              </w:tc>
              <w:tc>
                <w:tcPr>
                  <w:tcW w:w="806" w:type="dxa"/>
                  <w:noWrap w:val="0"/>
                  <w:vAlign w:val="center"/>
                </w:tcPr>
                <w:p w14:paraId="1DB6DF26">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cs="Times New Roman"/>
                      <w:color w:val="auto"/>
                      <w:sz w:val="18"/>
                      <w:szCs w:val="18"/>
                      <w:highlight w:val="none"/>
                      <w:lang w:val="en-US" w:eastAsia="zh-CN"/>
                    </w:rPr>
                  </w:pPr>
                  <w:r>
                    <w:rPr>
                      <w:rFonts w:hint="eastAsia"/>
                      <w:color w:val="auto"/>
                      <w:sz w:val="18"/>
                      <w:szCs w:val="18"/>
                      <w:highlight w:val="none"/>
                      <w:lang w:val="en-US" w:eastAsia="zh-CN"/>
                    </w:rPr>
                    <w:t>42.626</w:t>
                  </w:r>
                </w:p>
              </w:tc>
              <w:tc>
                <w:tcPr>
                  <w:tcW w:w="658" w:type="dxa"/>
                  <w:noWrap w:val="0"/>
                  <w:vAlign w:val="center"/>
                </w:tcPr>
                <w:p w14:paraId="514C1DDE">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1573" w:type="dxa"/>
                  <w:noWrap w:val="0"/>
                  <w:vAlign w:val="center"/>
                </w:tcPr>
                <w:p w14:paraId="3CA9AA8C">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集中收集</w:t>
                  </w:r>
                </w:p>
              </w:tc>
              <w:tc>
                <w:tcPr>
                  <w:tcW w:w="846" w:type="dxa"/>
                  <w:noWrap w:val="0"/>
                  <w:vAlign w:val="center"/>
                </w:tcPr>
                <w:p w14:paraId="2D1BAEC3">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olor w:val="auto"/>
                      <w:sz w:val="18"/>
                      <w:szCs w:val="18"/>
                      <w:highlight w:val="none"/>
                      <w:lang w:val="en-US" w:eastAsia="zh-CN"/>
                    </w:rPr>
                    <w:t>42.626</w:t>
                  </w:r>
                </w:p>
              </w:tc>
              <w:tc>
                <w:tcPr>
                  <w:tcW w:w="1085" w:type="dxa"/>
                  <w:noWrap w:val="0"/>
                  <w:vAlign w:val="center"/>
                </w:tcPr>
                <w:p w14:paraId="1F681380">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外送建材企业综合利用</w:t>
                  </w:r>
                </w:p>
              </w:tc>
            </w:tr>
            <w:tr w14:paraId="6E63CFE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9" w:type="dxa"/>
                  <w:vMerge w:val="continue"/>
                  <w:noWrap w:val="0"/>
                  <w:vAlign w:val="center"/>
                </w:tcPr>
                <w:p w14:paraId="29C530B3">
                  <w:pPr>
                    <w:pStyle w:val="132"/>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textAlignment w:val="auto"/>
                    <w:rPr>
                      <w:rFonts w:hint="eastAsia" w:cs="Times New Roman"/>
                      <w:color w:val="auto"/>
                      <w:sz w:val="18"/>
                      <w:szCs w:val="18"/>
                      <w:highlight w:val="none"/>
                      <w:lang w:val="en-US" w:eastAsia="zh-CN"/>
                    </w:rPr>
                  </w:pPr>
                </w:p>
              </w:tc>
              <w:tc>
                <w:tcPr>
                  <w:tcW w:w="1410" w:type="dxa"/>
                  <w:noWrap w:val="0"/>
                  <w:vAlign w:val="center"/>
                </w:tcPr>
                <w:p w14:paraId="313DFF02">
                  <w:pPr>
                    <w:pStyle w:val="132"/>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textAlignment w:val="auto"/>
                    <w:rPr>
                      <w:rFonts w:hint="default" w:ascii="Times New Roman" w:hAnsi="Times New Roman" w:cs="Times New Roman"/>
                      <w:color w:val="auto"/>
                      <w:sz w:val="18"/>
                      <w:szCs w:val="18"/>
                      <w:highlight w:val="none"/>
                      <w:lang w:eastAsia="zh-CN"/>
                    </w:rPr>
                  </w:pPr>
                  <w:r>
                    <w:rPr>
                      <w:rFonts w:hint="eastAsia"/>
                      <w:color w:val="auto"/>
                      <w:sz w:val="18"/>
                      <w:szCs w:val="18"/>
                      <w:highlight w:val="none"/>
                      <w:lang w:val="en-US" w:eastAsia="zh-CN"/>
                    </w:rPr>
                    <w:t>不合格产品</w:t>
                  </w:r>
                </w:p>
              </w:tc>
              <w:tc>
                <w:tcPr>
                  <w:tcW w:w="1331" w:type="dxa"/>
                  <w:noWrap w:val="0"/>
                  <w:vAlign w:val="center"/>
                </w:tcPr>
                <w:p w14:paraId="2CDB0C9D">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工业固体废物900-0</w:t>
                  </w:r>
                  <w:r>
                    <w:rPr>
                      <w:rFonts w:hint="eastAsia" w:ascii="Times New Roman" w:hAnsi="Times New Roman" w:cs="Times New Roman"/>
                      <w:color w:val="auto"/>
                      <w:sz w:val="18"/>
                      <w:szCs w:val="18"/>
                      <w:highlight w:val="none"/>
                      <w:lang w:val="en-US" w:eastAsia="zh-CN"/>
                    </w:rPr>
                    <w:t>9</w:t>
                  </w:r>
                  <w:r>
                    <w:rPr>
                      <w:rFonts w:hint="default" w:ascii="Times New Roman" w:hAnsi="Times New Roman" w:cs="Times New Roman"/>
                      <w:color w:val="auto"/>
                      <w:sz w:val="18"/>
                      <w:szCs w:val="18"/>
                      <w:highlight w:val="none"/>
                    </w:rPr>
                    <w:t>9-S</w:t>
                  </w:r>
                  <w:r>
                    <w:rPr>
                      <w:rFonts w:hint="eastAsia" w:ascii="Times New Roman" w:hAnsi="Times New Roman" w:cs="Times New Roman"/>
                      <w:color w:val="auto"/>
                      <w:sz w:val="18"/>
                      <w:szCs w:val="18"/>
                      <w:highlight w:val="none"/>
                      <w:lang w:val="en-US" w:eastAsia="zh-CN"/>
                    </w:rPr>
                    <w:t>59</w:t>
                  </w:r>
                </w:p>
              </w:tc>
              <w:tc>
                <w:tcPr>
                  <w:tcW w:w="806" w:type="dxa"/>
                  <w:noWrap w:val="0"/>
                  <w:vAlign w:val="center"/>
                </w:tcPr>
                <w:p w14:paraId="18203A84">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cs="Times New Roman"/>
                      <w:color w:val="auto"/>
                      <w:sz w:val="18"/>
                      <w:szCs w:val="18"/>
                      <w:highlight w:val="none"/>
                      <w:lang w:val="en-US" w:eastAsia="zh-CN"/>
                    </w:rPr>
                  </w:pPr>
                  <w:r>
                    <w:rPr>
                      <w:rFonts w:hint="eastAsia"/>
                      <w:color w:val="auto"/>
                      <w:sz w:val="18"/>
                      <w:szCs w:val="18"/>
                      <w:highlight w:val="none"/>
                      <w:lang w:val="en-US" w:eastAsia="zh-CN"/>
                    </w:rPr>
                    <w:t>10</w:t>
                  </w:r>
                </w:p>
              </w:tc>
              <w:tc>
                <w:tcPr>
                  <w:tcW w:w="658" w:type="dxa"/>
                  <w:noWrap w:val="0"/>
                  <w:vAlign w:val="center"/>
                </w:tcPr>
                <w:p w14:paraId="284321FC">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1573" w:type="dxa"/>
                  <w:noWrap w:val="0"/>
                  <w:vAlign w:val="center"/>
                </w:tcPr>
                <w:p w14:paraId="1183F74E">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集中收集</w:t>
                  </w:r>
                </w:p>
              </w:tc>
              <w:tc>
                <w:tcPr>
                  <w:tcW w:w="846" w:type="dxa"/>
                  <w:noWrap w:val="0"/>
                  <w:vAlign w:val="center"/>
                </w:tcPr>
                <w:p w14:paraId="51ED11FE">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jc w:val="center"/>
                    <w:textAlignment w:val="auto"/>
                    <w:rPr>
                      <w:rFonts w:hint="eastAsia" w:cs="Times New Roman"/>
                      <w:color w:val="auto"/>
                      <w:sz w:val="18"/>
                      <w:szCs w:val="18"/>
                      <w:highlight w:val="none"/>
                      <w:lang w:val="en-US" w:eastAsia="zh-CN"/>
                    </w:rPr>
                  </w:pPr>
                  <w:r>
                    <w:rPr>
                      <w:rFonts w:hint="eastAsia"/>
                      <w:color w:val="auto"/>
                      <w:sz w:val="18"/>
                      <w:szCs w:val="18"/>
                      <w:highlight w:val="none"/>
                      <w:lang w:val="en-US" w:eastAsia="zh-CN"/>
                    </w:rPr>
                    <w:t>10</w:t>
                  </w:r>
                </w:p>
              </w:tc>
              <w:tc>
                <w:tcPr>
                  <w:tcW w:w="1085" w:type="dxa"/>
                  <w:noWrap w:val="0"/>
                  <w:vAlign w:val="center"/>
                </w:tcPr>
                <w:p w14:paraId="2F2ED1BA">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color w:val="auto"/>
                      <w:kern w:val="2"/>
                      <w:sz w:val="18"/>
                      <w:szCs w:val="18"/>
                      <w:highlight w:val="none"/>
                      <w:lang w:val="en-US" w:eastAsia="zh-CN" w:bidi="ar-SA"/>
                    </w:rPr>
                  </w:pPr>
                  <w:r>
                    <w:rPr>
                      <w:rFonts w:hint="eastAsia" w:cs="Times New Roman"/>
                      <w:bCs/>
                      <w:color w:val="auto"/>
                      <w:sz w:val="18"/>
                      <w:szCs w:val="18"/>
                      <w:highlight w:val="none"/>
                      <w:lang w:val="en-US" w:eastAsia="zh-CN"/>
                    </w:rPr>
                    <w:t>回用生产</w:t>
                  </w:r>
                </w:p>
              </w:tc>
            </w:tr>
            <w:tr w14:paraId="5133035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9" w:type="dxa"/>
                  <w:noWrap w:val="0"/>
                  <w:vAlign w:val="center"/>
                </w:tcPr>
                <w:p w14:paraId="2E8C0507">
                  <w:pPr>
                    <w:pStyle w:val="132"/>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废气处理设施</w:t>
                  </w:r>
                </w:p>
              </w:tc>
              <w:tc>
                <w:tcPr>
                  <w:tcW w:w="1410" w:type="dxa"/>
                  <w:noWrap w:val="0"/>
                  <w:vAlign w:val="center"/>
                </w:tcPr>
                <w:p w14:paraId="6B68692D">
                  <w:pPr>
                    <w:pStyle w:val="132"/>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textAlignment w:val="auto"/>
                    <w:rPr>
                      <w:rFonts w:hint="default"/>
                      <w:color w:val="auto"/>
                      <w:sz w:val="18"/>
                      <w:szCs w:val="18"/>
                      <w:highlight w:val="none"/>
                      <w:lang w:val="en-US" w:eastAsia="zh-CN"/>
                    </w:rPr>
                  </w:pPr>
                  <w:r>
                    <w:rPr>
                      <w:rFonts w:hint="eastAsia"/>
                      <w:color w:val="auto"/>
                      <w:sz w:val="18"/>
                      <w:szCs w:val="18"/>
                      <w:highlight w:val="none"/>
                      <w:lang w:val="en-US" w:eastAsia="zh-CN"/>
                    </w:rPr>
                    <w:t>废布袋</w:t>
                  </w:r>
                </w:p>
              </w:tc>
              <w:tc>
                <w:tcPr>
                  <w:tcW w:w="1331" w:type="dxa"/>
                  <w:noWrap w:val="0"/>
                  <w:vAlign w:val="center"/>
                </w:tcPr>
                <w:p w14:paraId="52483749">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工业固体废物</w:t>
                  </w:r>
                  <w:r>
                    <w:rPr>
                      <w:rFonts w:hint="eastAsia" w:cs="Times New Roman"/>
                      <w:color w:val="auto"/>
                      <w:sz w:val="18"/>
                      <w:szCs w:val="18"/>
                      <w:highlight w:val="none"/>
                      <w:lang w:val="en-US" w:eastAsia="zh-CN"/>
                    </w:rPr>
                    <w:t>900</w:t>
                  </w:r>
                  <w:r>
                    <w:rPr>
                      <w:rFonts w:hint="default" w:ascii="Times New Roman" w:hAnsi="Times New Roman" w:cs="Times New Roman"/>
                      <w:color w:val="auto"/>
                      <w:sz w:val="18"/>
                      <w:szCs w:val="18"/>
                      <w:highlight w:val="none"/>
                    </w:rPr>
                    <w:t>-00</w:t>
                  </w:r>
                  <w:r>
                    <w:rPr>
                      <w:rFonts w:hint="eastAsia" w:cs="Times New Roman"/>
                      <w:color w:val="auto"/>
                      <w:sz w:val="18"/>
                      <w:szCs w:val="18"/>
                      <w:highlight w:val="none"/>
                      <w:lang w:val="en-US" w:eastAsia="zh-CN"/>
                    </w:rPr>
                    <w:t>9</w:t>
                  </w:r>
                  <w:r>
                    <w:rPr>
                      <w:rFonts w:hint="default" w:ascii="Times New Roman" w:hAnsi="Times New Roman" w:cs="Times New Roman"/>
                      <w:color w:val="auto"/>
                      <w:sz w:val="18"/>
                      <w:szCs w:val="18"/>
                      <w:highlight w:val="none"/>
                    </w:rPr>
                    <w:t>-S</w:t>
                  </w:r>
                  <w:r>
                    <w:rPr>
                      <w:rFonts w:hint="eastAsia" w:cs="Times New Roman"/>
                      <w:color w:val="auto"/>
                      <w:sz w:val="18"/>
                      <w:szCs w:val="18"/>
                      <w:highlight w:val="none"/>
                      <w:lang w:val="en-US" w:eastAsia="zh-CN"/>
                    </w:rPr>
                    <w:t>59</w:t>
                  </w:r>
                </w:p>
              </w:tc>
              <w:tc>
                <w:tcPr>
                  <w:tcW w:w="806" w:type="dxa"/>
                  <w:noWrap w:val="0"/>
                  <w:vAlign w:val="center"/>
                </w:tcPr>
                <w:p w14:paraId="3B706ABC">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eastAsia"/>
                      <w:color w:val="auto"/>
                      <w:sz w:val="18"/>
                      <w:szCs w:val="18"/>
                      <w:highlight w:val="none"/>
                      <w:lang w:val="en-US" w:eastAsia="zh-CN"/>
                    </w:rPr>
                  </w:pPr>
                  <w:r>
                    <w:rPr>
                      <w:rFonts w:hint="default" w:ascii="Times New Roman" w:hAnsi="Times New Roman" w:cs="Times New Roman"/>
                      <w:color w:val="auto"/>
                      <w:sz w:val="18"/>
                      <w:szCs w:val="18"/>
                      <w:highlight w:val="none"/>
                    </w:rPr>
                    <w:t>0.0</w:t>
                  </w:r>
                  <w:r>
                    <w:rPr>
                      <w:rFonts w:hint="default" w:ascii="Times New Roman" w:hAnsi="Times New Roman" w:cs="Times New Roman"/>
                      <w:color w:val="auto"/>
                      <w:sz w:val="18"/>
                      <w:szCs w:val="18"/>
                      <w:highlight w:val="none"/>
                      <w:lang w:val="en-US" w:eastAsia="zh-CN"/>
                    </w:rPr>
                    <w:t>5</w:t>
                  </w:r>
                </w:p>
              </w:tc>
              <w:tc>
                <w:tcPr>
                  <w:tcW w:w="658" w:type="dxa"/>
                  <w:noWrap w:val="0"/>
                  <w:vAlign w:val="center"/>
                </w:tcPr>
                <w:p w14:paraId="2640B9C2">
                  <w:pPr>
                    <w:keepNext w:val="0"/>
                    <w:keepLines w:val="0"/>
                    <w:pageBreakBefore w:val="0"/>
                    <w:suppressLineNumbers w:val="0"/>
                    <w:kinsoku/>
                    <w:wordWrap/>
                    <w:overflowPunct/>
                    <w:topLinePunct w:val="0"/>
                    <w:autoSpaceDE w:val="0"/>
                    <w:autoSpaceDN w:val="0"/>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1573" w:type="dxa"/>
                  <w:noWrap w:val="0"/>
                  <w:vAlign w:val="center"/>
                </w:tcPr>
                <w:p w14:paraId="3C73BC54">
                  <w:pPr>
                    <w:keepNext w:val="0"/>
                    <w:keepLines w:val="0"/>
                    <w:pageBreakBefore w:val="0"/>
                    <w:suppressLineNumbers w:val="0"/>
                    <w:kinsoku/>
                    <w:wordWrap/>
                    <w:overflowPunct/>
                    <w:topLinePunct w:val="0"/>
                    <w:autoSpaceDE w:val="0"/>
                    <w:autoSpaceDN w:val="0"/>
                    <w:bidi w:val="0"/>
                    <w:adjustRightInd/>
                    <w:snapToGrid w:val="0"/>
                    <w:spacing w:before="0" w:beforeAutospacing="0" w:after="0" w:afterAutospacing="0"/>
                    <w:ind w:left="0" w:leftChars="0" w:right="0" w:rightChars="0"/>
                    <w:jc w:val="center"/>
                    <w:textAlignment w:val="auto"/>
                    <w:rPr>
                      <w:rFonts w:hint="eastAsia" w:cs="Times New Roman"/>
                      <w:color w:val="auto"/>
                      <w:sz w:val="18"/>
                      <w:szCs w:val="18"/>
                      <w:highlight w:val="none"/>
                      <w:lang w:val="en-US" w:eastAsia="zh-CN"/>
                    </w:rPr>
                  </w:pPr>
                  <w:r>
                    <w:rPr>
                      <w:rFonts w:hint="default" w:ascii="Times New Roman" w:hAnsi="Times New Roman" w:cs="Times New Roman"/>
                      <w:color w:val="auto"/>
                      <w:sz w:val="18"/>
                      <w:szCs w:val="18"/>
                      <w:highlight w:val="none"/>
                    </w:rPr>
                    <w:t>袋装</w:t>
                  </w:r>
                </w:p>
              </w:tc>
              <w:tc>
                <w:tcPr>
                  <w:tcW w:w="846" w:type="dxa"/>
                  <w:noWrap w:val="0"/>
                  <w:vAlign w:val="center"/>
                </w:tcPr>
                <w:p w14:paraId="6B91AA35">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jc w:val="center"/>
                    <w:textAlignment w:val="auto"/>
                    <w:rPr>
                      <w:rFonts w:hint="eastAsia"/>
                      <w:color w:val="auto"/>
                      <w:sz w:val="18"/>
                      <w:szCs w:val="18"/>
                      <w:highlight w:val="none"/>
                      <w:lang w:val="en-US" w:eastAsia="zh-CN"/>
                    </w:rPr>
                  </w:pPr>
                  <w:r>
                    <w:rPr>
                      <w:rFonts w:hint="default" w:ascii="Times New Roman" w:hAnsi="Times New Roman" w:cs="Times New Roman"/>
                      <w:color w:val="auto"/>
                      <w:sz w:val="18"/>
                      <w:szCs w:val="18"/>
                      <w:highlight w:val="none"/>
                    </w:rPr>
                    <w:t>0.0</w:t>
                  </w:r>
                  <w:r>
                    <w:rPr>
                      <w:rFonts w:hint="default" w:ascii="Times New Roman" w:hAnsi="Times New Roman" w:cs="Times New Roman"/>
                      <w:color w:val="auto"/>
                      <w:sz w:val="18"/>
                      <w:szCs w:val="18"/>
                      <w:highlight w:val="none"/>
                      <w:lang w:val="en-US" w:eastAsia="zh-CN"/>
                    </w:rPr>
                    <w:t>5</w:t>
                  </w:r>
                </w:p>
              </w:tc>
              <w:tc>
                <w:tcPr>
                  <w:tcW w:w="1085" w:type="dxa"/>
                  <w:noWrap w:val="0"/>
                  <w:vAlign w:val="center"/>
                </w:tcPr>
                <w:p w14:paraId="3EA33AEB">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cs="Times New Roman"/>
                      <w:color w:val="auto"/>
                      <w:kern w:val="2"/>
                      <w:sz w:val="18"/>
                      <w:szCs w:val="18"/>
                      <w:highlight w:val="none"/>
                      <w:lang w:val="en-US" w:eastAsia="zh-CN" w:bidi="ar-SA"/>
                    </w:rPr>
                  </w:pPr>
                  <w:r>
                    <w:rPr>
                      <w:rFonts w:hint="default" w:ascii="Times New Roman" w:hAnsi="Times New Roman" w:cs="Times New Roman"/>
                      <w:color w:val="auto"/>
                      <w:sz w:val="18"/>
                      <w:szCs w:val="18"/>
                      <w:highlight w:val="none"/>
                    </w:rPr>
                    <w:t>除尘器厂家更换后直接带走</w:t>
                  </w:r>
                </w:p>
              </w:tc>
            </w:tr>
            <w:tr w14:paraId="1E91B23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49" w:type="dxa"/>
                  <w:noWrap w:val="0"/>
                  <w:vAlign w:val="center"/>
                </w:tcPr>
                <w:p w14:paraId="0C2F116D">
                  <w:pPr>
                    <w:pStyle w:val="132"/>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员工生活</w:t>
                  </w:r>
                </w:p>
              </w:tc>
              <w:tc>
                <w:tcPr>
                  <w:tcW w:w="1410" w:type="dxa"/>
                  <w:noWrap w:val="0"/>
                  <w:vAlign w:val="center"/>
                </w:tcPr>
                <w:p w14:paraId="67DBACC6">
                  <w:pPr>
                    <w:pStyle w:val="132"/>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textAlignment w:val="auto"/>
                    <w:rPr>
                      <w:rFonts w:hint="eastAsia"/>
                      <w:color w:val="auto"/>
                      <w:sz w:val="18"/>
                      <w:szCs w:val="18"/>
                      <w:highlight w:val="none"/>
                      <w:lang w:val="en-US" w:eastAsia="zh-CN"/>
                    </w:rPr>
                  </w:pPr>
                  <w:r>
                    <w:rPr>
                      <w:rFonts w:hint="eastAsia"/>
                      <w:color w:val="auto"/>
                      <w:sz w:val="18"/>
                      <w:szCs w:val="18"/>
                      <w:highlight w:val="none"/>
                      <w:lang w:val="en-US" w:eastAsia="zh-CN"/>
                    </w:rPr>
                    <w:t>生活垃圾</w:t>
                  </w:r>
                </w:p>
              </w:tc>
              <w:tc>
                <w:tcPr>
                  <w:tcW w:w="1331" w:type="dxa"/>
                  <w:shd w:val="clear" w:color="auto" w:fill="auto"/>
                  <w:noWrap w:val="0"/>
                  <w:vAlign w:val="center"/>
                </w:tcPr>
                <w:p w14:paraId="4A8BEF6F">
                  <w:pPr>
                    <w:pStyle w:val="149"/>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2"/>
                      <w:sz w:val="18"/>
                      <w:szCs w:val="18"/>
                      <w:highlight w:val="none"/>
                      <w:lang w:val="en-US" w:eastAsia="zh-CN" w:bidi="ar-SA"/>
                    </w:rPr>
                    <w:t>其他垃圾</w:t>
                  </w:r>
                </w:p>
                <w:p w14:paraId="1DD57586">
                  <w:pPr>
                    <w:pStyle w:val="149"/>
                    <w:keepNext w:val="0"/>
                    <w:keepLines w:val="0"/>
                    <w:pageBreakBefore w:val="0"/>
                    <w:suppressLineNumbers w:val="0"/>
                    <w:kinsoku/>
                    <w:wordWrap/>
                    <w:overflowPunct/>
                    <w:topLinePunct w:val="0"/>
                    <w:autoSpaceDE/>
                    <w:autoSpaceDN/>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lang w:val="en-US" w:eastAsia="zh-CN" w:bidi="ar-SA"/>
                    </w:rPr>
                  </w:pPr>
                  <w:r>
                    <w:rPr>
                      <w:rFonts w:hint="eastAsia" w:ascii="Times New Roman" w:hAnsi="Times New Roman" w:eastAsia="宋体" w:cs="Times New Roman"/>
                      <w:color w:val="auto"/>
                      <w:kern w:val="2"/>
                      <w:sz w:val="18"/>
                      <w:szCs w:val="18"/>
                      <w:highlight w:val="none"/>
                      <w:lang w:val="en-US" w:eastAsia="zh-CN" w:bidi="ar-SA"/>
                    </w:rPr>
                    <w:t>900-099-S64</w:t>
                  </w:r>
                </w:p>
              </w:tc>
              <w:tc>
                <w:tcPr>
                  <w:tcW w:w="806" w:type="dxa"/>
                  <w:noWrap w:val="0"/>
                  <w:vAlign w:val="center"/>
                </w:tcPr>
                <w:p w14:paraId="52C36D76">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658" w:type="dxa"/>
                  <w:noWrap w:val="0"/>
                  <w:vAlign w:val="center"/>
                </w:tcPr>
                <w:p w14:paraId="49C6A6BC">
                  <w:pPr>
                    <w:keepNext w:val="0"/>
                    <w:keepLines w:val="0"/>
                    <w:pageBreakBefore w:val="0"/>
                    <w:suppressLineNumbers w:val="0"/>
                    <w:kinsoku/>
                    <w:wordWrap/>
                    <w:overflowPunct/>
                    <w:topLinePunct w:val="0"/>
                    <w:autoSpaceDE w:val="0"/>
                    <w:autoSpaceDN w:val="0"/>
                    <w:bidi w:val="0"/>
                    <w:adjustRightInd/>
                    <w:snapToGrid w:val="0"/>
                    <w:spacing w:before="0" w:beforeAutospacing="0" w:after="0" w:afterAutospacing="0"/>
                    <w:ind w:left="0" w:leftChars="0" w:right="0" w:righ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固</w:t>
                  </w:r>
                </w:p>
              </w:tc>
              <w:tc>
                <w:tcPr>
                  <w:tcW w:w="1573" w:type="dxa"/>
                  <w:shd w:val="clear" w:color="auto" w:fill="auto"/>
                  <w:noWrap w:val="0"/>
                  <w:vAlign w:val="center"/>
                </w:tcPr>
                <w:p w14:paraId="3D3F553C">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集中收集</w:t>
                  </w:r>
                </w:p>
              </w:tc>
              <w:tc>
                <w:tcPr>
                  <w:tcW w:w="846" w:type="dxa"/>
                  <w:shd w:val="clear" w:color="auto" w:fill="auto"/>
                  <w:noWrap w:val="0"/>
                  <w:vAlign w:val="center"/>
                </w:tcPr>
                <w:p w14:paraId="692B8B9E">
                  <w:pPr>
                    <w:keepNext w:val="0"/>
                    <w:keepLines w:val="0"/>
                    <w:pageBreakBefore w:val="0"/>
                    <w:suppressLineNumbers w:val="0"/>
                    <w:kinsoku/>
                    <w:wordWrap/>
                    <w:overflowPunct/>
                    <w:topLinePunct w:val="0"/>
                    <w:bidi w:val="0"/>
                    <w:adjustRightInd/>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1085" w:type="dxa"/>
                  <w:noWrap w:val="0"/>
                  <w:vAlign w:val="center"/>
                </w:tcPr>
                <w:p w14:paraId="05D7730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委托环卫部门处理</w:t>
                  </w:r>
                </w:p>
              </w:tc>
            </w:tr>
          </w:tbl>
          <w:p w14:paraId="5941AF6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经核实，</w:t>
            </w:r>
            <w:r>
              <w:rPr>
                <w:rFonts w:hint="default" w:ascii="Times New Roman" w:hAnsi="Times New Roman" w:eastAsia="宋体" w:cs="Times New Roman"/>
                <w:color w:val="auto"/>
                <w:kern w:val="21"/>
                <w:sz w:val="21"/>
                <w:szCs w:val="21"/>
                <w:highlight w:val="none"/>
              </w:rPr>
              <w:t>本项目</w:t>
            </w:r>
            <w:r>
              <w:rPr>
                <w:rFonts w:hint="eastAsia" w:cs="Times New Roman"/>
                <w:color w:val="auto"/>
                <w:kern w:val="21"/>
                <w:sz w:val="21"/>
                <w:szCs w:val="21"/>
                <w:highlight w:val="none"/>
                <w:lang w:val="en-US" w:eastAsia="zh-CN"/>
              </w:rPr>
              <w:t>改扩建后全厂</w:t>
            </w:r>
            <w:r>
              <w:rPr>
                <w:rFonts w:hint="default" w:ascii="Times New Roman" w:hAnsi="Times New Roman" w:eastAsia="宋体" w:cs="Times New Roman"/>
                <w:color w:val="auto"/>
                <w:kern w:val="21"/>
                <w:sz w:val="21"/>
                <w:szCs w:val="21"/>
                <w:highlight w:val="none"/>
              </w:rPr>
              <w:t>产生的固体废物主要为</w:t>
            </w:r>
            <w:r>
              <w:rPr>
                <w:rFonts w:hint="eastAsia"/>
                <w:color w:val="auto"/>
                <w:highlight w:val="none"/>
                <w:lang w:val="en-US" w:eastAsia="zh-CN"/>
              </w:rPr>
              <w:t>生物质燃烧器灰渣</w:t>
            </w:r>
            <w:r>
              <w:rPr>
                <w:rFonts w:hint="eastAsia"/>
                <w:color w:val="auto"/>
                <w:highlight w:val="none"/>
                <w:lang w:eastAsia="zh-CN"/>
              </w:rPr>
              <w:t>、</w:t>
            </w:r>
            <w:r>
              <w:rPr>
                <w:rFonts w:hint="eastAsia" w:ascii="Times New Roman" w:hAnsi="Times New Roman" w:cs="Times New Roman"/>
                <w:color w:val="auto"/>
                <w:sz w:val="21"/>
                <w:szCs w:val="21"/>
                <w:highlight w:val="none"/>
                <w:lang w:val="en-US" w:eastAsia="zh-CN"/>
              </w:rPr>
              <w:t>生产工序布袋除尘器收尘</w:t>
            </w:r>
            <w:r>
              <w:rPr>
                <w:rFonts w:hint="default" w:ascii="Times New Roman" w:hAnsi="Times New Roman" w:cs="Times New Roman"/>
                <w:color w:val="auto"/>
                <w:sz w:val="21"/>
                <w:szCs w:val="21"/>
                <w:highlight w:val="none"/>
                <w:lang w:val="en-US" w:eastAsia="zh-CN"/>
              </w:rPr>
              <w:t>、</w:t>
            </w:r>
            <w:r>
              <w:rPr>
                <w:rFonts w:hint="eastAsia"/>
                <w:color w:val="auto"/>
                <w:sz w:val="21"/>
                <w:szCs w:val="21"/>
                <w:highlight w:val="none"/>
                <w:lang w:val="en-US" w:eastAsia="zh-CN"/>
              </w:rPr>
              <w:t>不合格产品</w:t>
            </w:r>
            <w:r>
              <w:rPr>
                <w:rFonts w:hint="default" w:ascii="Times New Roman" w:hAnsi="Times New Roman" w:cs="Times New Roman"/>
                <w:color w:val="auto"/>
                <w:sz w:val="21"/>
                <w:szCs w:val="21"/>
                <w:highlight w:val="none"/>
                <w:lang w:val="en-US" w:eastAsia="zh-CN"/>
              </w:rPr>
              <w:t>、</w:t>
            </w:r>
            <w:r>
              <w:rPr>
                <w:rFonts w:hint="eastAsia"/>
                <w:color w:val="auto"/>
                <w:sz w:val="21"/>
                <w:szCs w:val="21"/>
                <w:highlight w:val="none"/>
                <w:lang w:val="en-US" w:eastAsia="zh-CN"/>
              </w:rPr>
              <w:t>杂质砂石、废布袋</w:t>
            </w:r>
            <w:r>
              <w:rPr>
                <w:rFonts w:hint="eastAsia"/>
                <w:color w:val="auto"/>
                <w:highlight w:val="none"/>
              </w:rPr>
              <w:t>。</w:t>
            </w:r>
          </w:p>
          <w:p w14:paraId="33D6B3F1">
            <w:pPr>
              <w:pStyle w:val="156"/>
              <w:keepNext w:val="0"/>
              <w:keepLines w:val="0"/>
              <w:suppressLineNumbers w:val="0"/>
              <w:spacing w:before="0" w:beforeAutospacing="0" w:after="0" w:afterAutospacing="0" w:line="500" w:lineRule="exact"/>
              <w:ind w:left="0" w:right="0" w:firstLine="480"/>
              <w:rPr>
                <w:rFonts w:hint="default" w:cs="Times New Roman"/>
                <w:color w:val="auto"/>
                <w:sz w:val="24"/>
              </w:rPr>
            </w:pPr>
            <w:r>
              <w:rPr>
                <w:rFonts w:hint="default" w:ascii="Times New Roman" w:hAnsi="Times New Roman" w:eastAsia="宋体" w:cs="Times New Roman"/>
                <w:color w:val="auto"/>
                <w:sz w:val="21"/>
                <w:szCs w:val="21"/>
                <w:highlight w:val="none"/>
              </w:rPr>
              <w:t>①生活垃圾：</w:t>
            </w:r>
            <w:r>
              <w:rPr>
                <w:rFonts w:hint="default"/>
                <w:color w:val="auto"/>
                <w:sz w:val="21"/>
                <w:szCs w:val="21"/>
                <w:highlight w:val="none"/>
              </w:rPr>
              <w:t>本项</w:t>
            </w:r>
            <w:r>
              <w:rPr>
                <w:rFonts w:hint="default" w:ascii="Times New Roman" w:hAnsi="Times New Roman" w:eastAsia="宋体" w:cs="Times New Roman"/>
                <w:color w:val="auto"/>
                <w:kern w:val="2"/>
                <w:sz w:val="21"/>
                <w:szCs w:val="21"/>
                <w:highlight w:val="none"/>
                <w:lang w:val="en-US" w:eastAsia="zh-CN" w:bidi="ar-SA"/>
              </w:rPr>
              <w:t>目</w:t>
            </w:r>
            <w:r>
              <w:rPr>
                <w:rFonts w:hint="eastAsia" w:ascii="Times New Roman" w:hAnsi="Times New Roman" w:eastAsia="宋体" w:cs="Times New Roman"/>
                <w:color w:val="auto"/>
                <w:kern w:val="2"/>
                <w:sz w:val="21"/>
                <w:szCs w:val="21"/>
                <w:highlight w:val="none"/>
                <w:lang w:val="en-US" w:eastAsia="zh-CN" w:bidi="ar-SA"/>
              </w:rPr>
              <w:t>劳动定员10人</w:t>
            </w:r>
            <w:r>
              <w:rPr>
                <w:rFonts w:hint="default" w:ascii="Times New Roman" w:hAnsi="Times New Roman" w:eastAsia="宋体" w:cs="Times New Roman"/>
                <w:color w:val="auto"/>
                <w:kern w:val="2"/>
                <w:sz w:val="21"/>
                <w:szCs w:val="21"/>
                <w:highlight w:val="none"/>
                <w:lang w:val="en-US" w:eastAsia="zh-CN" w:bidi="ar-SA"/>
              </w:rPr>
              <w:t>生活垃圾按0.5kg/人天计算，产生量为</w:t>
            </w:r>
            <w:r>
              <w:rPr>
                <w:rFonts w:hint="eastAsia" w:ascii="Times New Roman" w:hAnsi="Times New Roman" w:eastAsia="宋体" w:cs="Times New Roman"/>
                <w:color w:val="auto"/>
                <w:kern w:val="2"/>
                <w:sz w:val="21"/>
                <w:szCs w:val="21"/>
                <w:highlight w:val="none"/>
                <w:lang w:val="en-US" w:eastAsia="zh-CN" w:bidi="ar-SA"/>
              </w:rPr>
              <w:t>1.5</w:t>
            </w:r>
            <w:r>
              <w:rPr>
                <w:rFonts w:hint="default" w:ascii="Times New Roman" w:hAnsi="Times New Roman" w:eastAsia="宋体" w:cs="Times New Roman"/>
                <w:color w:val="auto"/>
                <w:kern w:val="2"/>
                <w:sz w:val="21"/>
                <w:szCs w:val="21"/>
                <w:highlight w:val="none"/>
                <w:lang w:val="en-US" w:eastAsia="zh-CN" w:bidi="ar-SA"/>
              </w:rPr>
              <w:t>t/a。生活垃圾</w:t>
            </w:r>
            <w:r>
              <w:rPr>
                <w:rFonts w:hint="eastAsia" w:ascii="Times New Roman" w:hAnsi="Times New Roman" w:eastAsia="宋体" w:cs="Times New Roman"/>
                <w:color w:val="auto"/>
                <w:kern w:val="2"/>
                <w:sz w:val="21"/>
                <w:szCs w:val="21"/>
                <w:highlight w:val="none"/>
                <w:lang w:val="en-US" w:eastAsia="zh-CN" w:bidi="ar-SA"/>
              </w:rPr>
              <w:t>集中收集，由环卫部门统一处理</w:t>
            </w:r>
            <w:r>
              <w:rPr>
                <w:rFonts w:hint="default" w:ascii="Times New Roman" w:hAnsi="Times New Roman" w:eastAsia="宋体" w:cs="Times New Roman"/>
                <w:color w:val="auto"/>
                <w:kern w:val="2"/>
                <w:sz w:val="21"/>
                <w:szCs w:val="21"/>
                <w:highlight w:val="none"/>
                <w:lang w:val="en-US" w:eastAsia="zh-CN" w:bidi="ar-SA"/>
              </w:rPr>
              <w:t>。</w:t>
            </w:r>
          </w:p>
          <w:p w14:paraId="6DE31A5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②烘干燃烧器灰渣</w:t>
            </w:r>
          </w:p>
          <w:p w14:paraId="38D0325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烘干燃烧器灰渣</w:t>
            </w:r>
            <w:r>
              <w:rPr>
                <w:rFonts w:hint="default" w:ascii="Times New Roman" w:hAnsi="Times New Roman" w:cs="Times New Roman"/>
                <w:color w:val="auto"/>
                <w:sz w:val="21"/>
                <w:szCs w:val="21"/>
                <w:highlight w:val="none"/>
              </w:rPr>
              <w:t>产生量参考《污染源源强核算技术指南 锅炉》（HJ 991-2018）中8.1生物质锅炉灰渣产生量计算方法进行核算。</w:t>
            </w:r>
          </w:p>
          <w:p w14:paraId="5E7C491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color w:val="auto"/>
                <w:sz w:val="21"/>
                <w:szCs w:val="21"/>
                <w:highlight w:val="none"/>
              </w:rPr>
            </w:pPr>
            <w:r>
              <w:rPr>
                <w:rFonts w:hint="default"/>
                <w:color w:val="auto"/>
                <w:position w:val="-30"/>
                <w:sz w:val="21"/>
                <w:szCs w:val="21"/>
                <w:highlight w:val="none"/>
              </w:rPr>
              <w:object>
                <v:shape id="_x0000_i1029" o:spt="75" type="#_x0000_t75" style="height:36pt;width:147pt;" o:ole="t" filled="f" o:preferrelative="t" stroked="f" coordsize="21600,21600">
                  <v:path/>
                  <v:fill on="f" focussize="0,0"/>
                  <v:stroke on="f"/>
                  <v:imagedata r:id="rId26" o:title=""/>
                  <o:lock v:ext="edit" aspectratio="t"/>
                  <w10:wrap type="none"/>
                  <w10:anchorlock/>
                </v:shape>
                <o:OLEObject Type="Embed" ProgID="Equation.KSEE3" ShapeID="_x0000_i1029" DrawAspect="Content" ObjectID="_1468075729" r:id="rId25">
                  <o:LockedField>false</o:LockedField>
                </o:OLEObject>
              </w:object>
            </w:r>
          </w:p>
          <w:p w14:paraId="6ABC6367">
            <w:pPr>
              <w:pStyle w:val="2"/>
              <w:keepNext w:val="0"/>
              <w:keepLines w:val="0"/>
              <w:suppressLineNumbers w:val="0"/>
              <w:spacing w:before="0" w:beforeAutospacing="0" w:after="0" w:afterAutospacing="0" w:line="360" w:lineRule="auto"/>
              <w:ind w:left="0" w:right="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式中：E</w:t>
            </w:r>
            <w:r>
              <w:rPr>
                <w:rFonts w:hint="default" w:ascii="Times New Roman" w:hAnsi="Times New Roman" w:cs="Times New Roman"/>
                <w:color w:val="auto"/>
                <w:sz w:val="21"/>
                <w:szCs w:val="21"/>
                <w:highlight w:val="none"/>
                <w:vertAlign w:val="subscript"/>
              </w:rPr>
              <w:t>hc</w:t>
            </w:r>
            <w:r>
              <w:rPr>
                <w:rFonts w:hint="default" w:ascii="Times New Roman" w:hAnsi="Times New Roman" w:cs="Times New Roman"/>
                <w:color w:val="auto"/>
                <w:sz w:val="21"/>
                <w:szCs w:val="21"/>
                <w:highlight w:val="none"/>
              </w:rPr>
              <w:t>----核算时段内灰渣产生量，t；</w:t>
            </w:r>
          </w:p>
          <w:p w14:paraId="7D11985B">
            <w:pPr>
              <w:pStyle w:val="2"/>
              <w:keepNext w:val="0"/>
              <w:keepLines w:val="0"/>
              <w:suppressLineNumbers w:val="0"/>
              <w:spacing w:before="0" w:beforeAutospacing="0" w:after="0" w:afterAutospacing="0" w:line="360" w:lineRule="auto"/>
              <w:ind w:left="0" w:right="0" w:firstLine="1050" w:firstLineChars="5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R----核算时段内锅炉燃料耗量，</w:t>
            </w:r>
            <w:r>
              <w:rPr>
                <w:rFonts w:hint="eastAsia" w:cs="Times New Roman"/>
                <w:color w:val="auto"/>
                <w:sz w:val="21"/>
                <w:szCs w:val="21"/>
                <w:highlight w:val="none"/>
                <w:lang w:eastAsia="zh-CN"/>
              </w:rPr>
              <w:t>本项目</w:t>
            </w:r>
            <w:r>
              <w:rPr>
                <w:rFonts w:hint="eastAsia" w:cs="Times New Roman"/>
                <w:color w:val="auto"/>
                <w:sz w:val="21"/>
                <w:szCs w:val="21"/>
                <w:highlight w:val="none"/>
                <w:lang w:val="en-US" w:eastAsia="zh-CN"/>
              </w:rPr>
              <w:t>2台烘干燃烧器年燃生物质颗粒8082</w:t>
            </w:r>
            <w:r>
              <w:rPr>
                <w:rFonts w:hint="default" w:ascii="Times New Roman" w:hAnsi="Times New Roman" w:cs="Times New Roman"/>
                <w:color w:val="auto"/>
                <w:sz w:val="21"/>
                <w:szCs w:val="21"/>
                <w:highlight w:val="none"/>
              </w:rPr>
              <w:t>t；</w:t>
            </w:r>
          </w:p>
          <w:p w14:paraId="1CE42D4E">
            <w:pPr>
              <w:pStyle w:val="2"/>
              <w:keepNext w:val="0"/>
              <w:keepLines w:val="0"/>
              <w:suppressLineNumbers w:val="0"/>
              <w:spacing w:before="0" w:beforeAutospacing="0" w:after="0" w:afterAutospacing="0" w:line="360" w:lineRule="auto"/>
              <w:ind w:left="0" w:right="0" w:firstLine="1050" w:firstLineChars="500"/>
              <w:jc w:val="both"/>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t>A</w:t>
            </w:r>
            <w:r>
              <w:rPr>
                <w:rFonts w:hint="default" w:ascii="Times New Roman" w:hAnsi="Times New Roman" w:cs="Times New Roman"/>
                <w:color w:val="auto"/>
                <w:sz w:val="21"/>
                <w:szCs w:val="21"/>
                <w:highlight w:val="none"/>
                <w:vertAlign w:val="subscript"/>
              </w:rPr>
              <w:t>ar</w:t>
            </w:r>
            <w:r>
              <w:rPr>
                <w:rFonts w:hint="default" w:ascii="Times New Roman" w:hAnsi="Times New Roman" w:cs="Times New Roman"/>
                <w:color w:val="auto"/>
                <w:sz w:val="21"/>
                <w:szCs w:val="21"/>
                <w:highlight w:val="none"/>
              </w:rPr>
              <w:t>----收到基灰分的质量分数，%；取</w:t>
            </w:r>
            <w:r>
              <w:rPr>
                <w:rFonts w:hint="eastAsia"/>
                <w:bCs w:val="0"/>
                <w:color w:val="auto"/>
                <w:sz w:val="21"/>
                <w:szCs w:val="21"/>
                <w:highlight w:val="none"/>
                <w:lang w:val="en-US" w:eastAsia="zh-CN"/>
              </w:rPr>
              <w:t>3.71%</w:t>
            </w:r>
            <w:r>
              <w:rPr>
                <w:rFonts w:hint="default" w:ascii="Times New Roman" w:hAnsi="Times New Roman" w:cs="Times New Roman"/>
                <w:color w:val="auto"/>
                <w:sz w:val="21"/>
                <w:szCs w:val="21"/>
                <w:highlight w:val="none"/>
              </w:rPr>
              <w:t>；</w:t>
            </w:r>
          </w:p>
          <w:p w14:paraId="76B78936">
            <w:pPr>
              <w:pStyle w:val="2"/>
              <w:keepNext w:val="0"/>
              <w:keepLines w:val="0"/>
              <w:suppressLineNumbers w:val="0"/>
              <w:spacing w:before="0" w:beforeAutospacing="0" w:after="0" w:afterAutospacing="0" w:line="360" w:lineRule="auto"/>
              <w:ind w:left="0" w:right="0" w:firstLine="1050" w:firstLineChars="500"/>
              <w:jc w:val="both"/>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t>q</w:t>
            </w:r>
            <w:r>
              <w:rPr>
                <w:rFonts w:hint="default" w:ascii="Times New Roman" w:hAnsi="Times New Roman" w:cs="Times New Roman"/>
                <w:color w:val="auto"/>
                <w:sz w:val="21"/>
                <w:szCs w:val="21"/>
                <w:highlight w:val="none"/>
                <w:vertAlign w:val="subscript"/>
              </w:rPr>
              <w:t>4</w:t>
            </w:r>
            <w:r>
              <w:rPr>
                <w:rFonts w:hint="default" w:ascii="Times New Roman" w:hAnsi="Times New Roman" w:cs="Times New Roman"/>
                <w:color w:val="auto"/>
                <w:sz w:val="21"/>
                <w:szCs w:val="21"/>
                <w:highlight w:val="none"/>
              </w:rPr>
              <w:t>----锅炉机械不完全燃烧热损失，%；取</w:t>
            </w:r>
            <w:r>
              <w:rPr>
                <w:rFonts w:hint="eastAsia"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w:t>
            </w:r>
          </w:p>
          <w:p w14:paraId="6562769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Q</w:t>
            </w:r>
            <w:r>
              <w:rPr>
                <w:rFonts w:hint="default" w:ascii="Times New Roman" w:hAnsi="Times New Roman" w:cs="Times New Roman"/>
                <w:color w:val="auto"/>
                <w:sz w:val="21"/>
                <w:szCs w:val="21"/>
                <w:highlight w:val="none"/>
                <w:vertAlign w:val="subscript"/>
              </w:rPr>
              <w:t>net，ar</w:t>
            </w:r>
            <w:r>
              <w:rPr>
                <w:rFonts w:hint="default" w:ascii="Times New Roman" w:hAnsi="Times New Roman" w:cs="Times New Roman"/>
                <w:color w:val="auto"/>
                <w:sz w:val="21"/>
                <w:szCs w:val="21"/>
                <w:highlight w:val="none"/>
              </w:rPr>
              <w:t>----收到基低位发热量，kJ/kg。</w:t>
            </w:r>
            <w:r>
              <w:rPr>
                <w:rFonts w:hint="default"/>
                <w:bCs w:val="0"/>
                <w:color w:val="auto"/>
                <w:highlight w:val="none"/>
                <w:lang w:val="en-US" w:eastAsia="zh-CN"/>
              </w:rPr>
              <w:t>取</w:t>
            </w:r>
            <w:r>
              <w:rPr>
                <w:rFonts w:hint="eastAsia"/>
                <w:bCs w:val="0"/>
                <w:color w:val="auto"/>
                <w:highlight w:val="none"/>
                <w:lang w:val="en-US" w:eastAsia="zh-CN"/>
              </w:rPr>
              <w:t>17.52</w:t>
            </w:r>
            <w:r>
              <w:rPr>
                <w:rFonts w:hint="default" w:ascii="Arial" w:hAnsi="Arial" w:cs="Arial"/>
                <w:color w:val="auto"/>
                <w:highlight w:val="none"/>
              </w:rPr>
              <w:t>×</w:t>
            </w:r>
            <w:r>
              <w:rPr>
                <w:rFonts w:hint="eastAsia"/>
                <w:color w:val="auto"/>
                <w:highlight w:val="none"/>
                <w:lang w:val="en-US" w:eastAsia="zh-CN"/>
              </w:rPr>
              <w:t>10</w:t>
            </w:r>
            <w:r>
              <w:rPr>
                <w:rFonts w:hint="eastAsia"/>
                <w:color w:val="auto"/>
                <w:highlight w:val="none"/>
                <w:vertAlign w:val="superscript"/>
                <w:lang w:val="en-US" w:eastAsia="zh-CN"/>
              </w:rPr>
              <w:t>3</w:t>
            </w:r>
            <w:r>
              <w:rPr>
                <w:rFonts w:hint="default" w:ascii="Times New Roman" w:hAnsi="Times New Roman" w:cs="Times New Roman"/>
                <w:color w:val="auto"/>
                <w:sz w:val="21"/>
                <w:szCs w:val="21"/>
                <w:highlight w:val="none"/>
              </w:rPr>
              <w:t>；；</w:t>
            </w:r>
          </w:p>
          <w:p w14:paraId="3E208397">
            <w:pPr>
              <w:keepNext w:val="0"/>
              <w:keepLines w:val="0"/>
              <w:suppressLineNumbers w:val="0"/>
              <w:spacing w:before="0" w:beforeAutospacing="0" w:after="0" w:afterAutospacing="0" w:line="360" w:lineRule="auto"/>
              <w:ind w:left="0" w:right="0" w:firstLine="420" w:firstLineChars="200"/>
              <w:jc w:val="both"/>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Ehc=</w:t>
            </w:r>
            <w:r>
              <w:rPr>
                <w:rFonts w:hint="eastAsia" w:cs="Times New Roman"/>
                <w:color w:val="auto"/>
                <w:sz w:val="21"/>
                <w:szCs w:val="21"/>
                <w:highlight w:val="none"/>
                <w:lang w:val="en-US" w:eastAsia="zh-CN"/>
              </w:rPr>
              <w:t>8082</w:t>
            </w:r>
            <w:r>
              <w:rPr>
                <w:rFonts w:hint="default" w:ascii="Times New Roman" w:hAnsi="Times New Roman" w:cs="Times New Roman"/>
                <w:color w:val="auto"/>
                <w:sz w:val="21"/>
                <w:szCs w:val="21"/>
                <w:highlight w:val="none"/>
              </w:rPr>
              <w:t>t×（</w:t>
            </w:r>
            <w:r>
              <w:rPr>
                <w:rFonts w:hint="eastAsia"/>
                <w:bCs w:val="0"/>
                <w:color w:val="auto"/>
                <w:highlight w:val="none"/>
                <w:lang w:val="en-US" w:eastAsia="zh-CN"/>
              </w:rPr>
              <w:t>3.71%</w:t>
            </w:r>
            <w:r>
              <w:rPr>
                <w:rFonts w:hint="default" w:ascii="Times New Roman" w:hAnsi="Times New Roman" w:cs="Times New Roman"/>
                <w:color w:val="auto"/>
                <w:sz w:val="21"/>
                <w:szCs w:val="21"/>
                <w:highlight w:val="none"/>
              </w:rPr>
              <w:t>+</w:t>
            </w:r>
            <w:r>
              <w:rPr>
                <w:rFonts w:hint="eastAsia" w:ascii="Times New Roman" w:hAnsi="Times New Roman" w:cs="Times New Roman"/>
                <w:color w:val="auto"/>
                <w:sz w:val="21"/>
                <w:szCs w:val="21"/>
                <w:highlight w:val="none"/>
                <w:lang w:val="en-US" w:eastAsia="zh-CN"/>
              </w:rPr>
              <w:t>1</w:t>
            </w:r>
            <w:r>
              <w:rPr>
                <w:rFonts w:hint="eastAsia" w:cs="Times New Roman"/>
                <w:color w:val="auto"/>
                <w:sz w:val="21"/>
                <w:szCs w:val="21"/>
                <w:highlight w:val="none"/>
                <w:lang w:val="en-US" w:eastAsia="zh-CN"/>
              </w:rPr>
              <w:t>0</w:t>
            </w:r>
            <w:r>
              <w:rPr>
                <w:rFonts w:hint="default" w:ascii="Times New Roman" w:hAnsi="Times New Roman" w:cs="Times New Roman"/>
                <w:color w:val="auto"/>
                <w:sz w:val="21"/>
                <w:szCs w:val="21"/>
                <w:highlight w:val="none"/>
              </w:rPr>
              <w:t>%×</w:t>
            </w:r>
            <w:r>
              <w:rPr>
                <w:rFonts w:hint="default" w:ascii="Times New Roman" w:hAnsi="Times New Roman" w:cs="Times New Roman"/>
                <w:color w:val="auto"/>
                <w:kern w:val="24"/>
                <w:sz w:val="21"/>
                <w:szCs w:val="21"/>
                <w:highlight w:val="none"/>
              </w:rPr>
              <w:t>1</w:t>
            </w:r>
            <w:r>
              <w:rPr>
                <w:rFonts w:hint="eastAsia" w:cs="Times New Roman"/>
                <w:color w:val="auto"/>
                <w:kern w:val="24"/>
                <w:sz w:val="21"/>
                <w:szCs w:val="21"/>
                <w:highlight w:val="none"/>
                <w:lang w:val="en-US" w:eastAsia="zh-CN"/>
              </w:rPr>
              <w:t>7520</w:t>
            </w:r>
            <w:r>
              <w:rPr>
                <w:rFonts w:hint="default" w:ascii="Times New Roman" w:hAnsi="Times New Roman" w:cs="Times New Roman"/>
                <w:color w:val="auto"/>
                <w:sz w:val="21"/>
                <w:szCs w:val="21"/>
                <w:highlight w:val="none"/>
              </w:rPr>
              <w:t>/33870）=</w:t>
            </w:r>
            <w:r>
              <w:rPr>
                <w:rFonts w:hint="eastAsia" w:cs="Times New Roman"/>
                <w:color w:val="auto"/>
                <w:sz w:val="21"/>
                <w:szCs w:val="21"/>
                <w:highlight w:val="none"/>
                <w:lang w:val="en-US" w:eastAsia="zh-CN"/>
              </w:rPr>
              <w:t>797.299</w:t>
            </w:r>
            <w:r>
              <w:rPr>
                <w:rFonts w:hint="default" w:ascii="Times New Roman" w:hAnsi="Times New Roman" w:cs="Times New Roman"/>
                <w:color w:val="auto"/>
                <w:sz w:val="21"/>
                <w:szCs w:val="21"/>
                <w:highlight w:val="none"/>
              </w:rPr>
              <w:t>t/a</w:t>
            </w:r>
          </w:p>
          <w:p w14:paraId="1FD30DCD">
            <w:pPr>
              <w:keepNext w:val="0"/>
              <w:keepLines w:val="0"/>
              <w:suppressLineNumbers w:val="0"/>
              <w:spacing w:before="0" w:beforeAutospacing="0" w:after="0" w:afterAutospacing="0" w:line="360" w:lineRule="auto"/>
              <w:ind w:left="0" w:right="0" w:firstLine="420" w:firstLineChars="200"/>
              <w:jc w:val="both"/>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烘干工序收尘根据工程分析为79.398t/a。</w:t>
            </w:r>
          </w:p>
          <w:p w14:paraId="50DA67B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lang w:val="en-US"/>
              </w:rPr>
            </w:pPr>
            <w:r>
              <w:rPr>
                <w:rFonts w:hint="default" w:ascii="Times New Roman" w:hAnsi="Times New Roman" w:cs="Times New Roman"/>
                <w:color w:val="auto"/>
                <w:sz w:val="21"/>
                <w:szCs w:val="21"/>
                <w:highlight w:val="none"/>
              </w:rPr>
              <w:t>经计算，本项目</w:t>
            </w:r>
            <w:r>
              <w:rPr>
                <w:rFonts w:hint="eastAsia" w:cs="Times New Roman"/>
                <w:bCs/>
                <w:color w:val="auto"/>
                <w:sz w:val="21"/>
                <w:szCs w:val="21"/>
                <w:highlight w:val="none"/>
                <w:lang w:val="en-US" w:eastAsia="zh-CN"/>
              </w:rPr>
              <w:t>灰渣及烘干工序除尘器收尘</w:t>
            </w:r>
            <w:r>
              <w:rPr>
                <w:rFonts w:hint="default" w:ascii="Times New Roman" w:hAnsi="Times New Roman" w:cs="Times New Roman"/>
                <w:bCs/>
                <w:color w:val="auto"/>
                <w:sz w:val="21"/>
                <w:szCs w:val="21"/>
                <w:highlight w:val="none"/>
              </w:rPr>
              <w:t>的产生量为</w:t>
            </w:r>
            <w:r>
              <w:rPr>
                <w:rFonts w:hint="eastAsia" w:cs="Times New Roman"/>
                <w:color w:val="auto"/>
                <w:sz w:val="21"/>
                <w:szCs w:val="21"/>
                <w:highlight w:val="none"/>
                <w:lang w:val="en-US" w:eastAsia="zh-CN"/>
              </w:rPr>
              <w:t>876.697</w:t>
            </w:r>
            <w:r>
              <w:rPr>
                <w:rFonts w:hint="default" w:ascii="Times New Roman" w:hAnsi="Times New Roman" w:cs="Times New Roman"/>
                <w:bCs/>
                <w:color w:val="auto"/>
                <w:sz w:val="21"/>
                <w:szCs w:val="21"/>
                <w:highlight w:val="none"/>
              </w:rPr>
              <w:t>t/a，</w:t>
            </w:r>
            <w:r>
              <w:rPr>
                <w:rFonts w:hint="eastAsia" w:cs="Times New Roman"/>
                <w:bCs/>
                <w:color w:val="auto"/>
                <w:sz w:val="21"/>
                <w:szCs w:val="21"/>
                <w:highlight w:val="none"/>
                <w:lang w:val="en-US" w:eastAsia="zh-CN"/>
              </w:rPr>
              <w:t>集中收集</w:t>
            </w:r>
            <w:r>
              <w:rPr>
                <w:rFonts w:hint="eastAsia" w:cs="Times New Roman"/>
                <w:color w:val="auto"/>
                <w:sz w:val="21"/>
                <w:szCs w:val="21"/>
                <w:highlight w:val="none"/>
                <w:lang w:val="en-US" w:eastAsia="zh-CN"/>
              </w:rPr>
              <w:t>存储于灰渣间，</w:t>
            </w:r>
            <w:r>
              <w:rPr>
                <w:rFonts w:hint="default" w:ascii="Times New Roman" w:hAnsi="Times New Roman" w:cs="Times New Roman"/>
                <w:color w:val="auto"/>
                <w:sz w:val="21"/>
                <w:szCs w:val="21"/>
                <w:highlight w:val="none"/>
                <w:lang w:val="en-US" w:eastAsia="zh-CN"/>
              </w:rPr>
              <w:t>每</w:t>
            </w:r>
            <w:r>
              <w:rPr>
                <w:rFonts w:hint="eastAsia"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天清运1</w:t>
            </w:r>
            <w:r>
              <w:rPr>
                <w:rFonts w:hint="eastAsia" w:cs="Times New Roman"/>
                <w:color w:val="auto"/>
                <w:sz w:val="21"/>
                <w:szCs w:val="21"/>
                <w:highlight w:val="none"/>
                <w:lang w:val="en-US" w:eastAsia="zh-CN"/>
              </w:rPr>
              <w:t>次，由周边农户还田综合利用，不在厂区长期储存。</w:t>
            </w:r>
            <w:r>
              <w:rPr>
                <w:rFonts w:hint="eastAsia" w:cs="Times New Roman"/>
                <w:bCs/>
                <w:color w:val="auto"/>
                <w:sz w:val="21"/>
                <w:szCs w:val="21"/>
                <w:highlight w:val="none"/>
                <w:lang w:val="en-US" w:eastAsia="zh-CN"/>
              </w:rPr>
              <w:t>生物质灰渣的成分与天然有机肥相似，灰含有丰富的钙、镁等碱性物质，可中和酸性土壤，调节土壤pH值；同时，其含有的钾、磷、硫等元素能为土壤补充养分，提升土壤肥力。故本项目灰渣处理方式可行。</w:t>
            </w:r>
          </w:p>
          <w:p w14:paraId="347108C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rPr>
            </w:pPr>
            <w:r>
              <w:rPr>
                <w:rFonts w:hint="eastAsia" w:cs="Times New Roman"/>
                <w:color w:val="auto"/>
                <w:sz w:val="21"/>
                <w:szCs w:val="21"/>
                <w:highlight w:val="none"/>
                <w:lang w:eastAsia="zh-CN"/>
              </w:rPr>
              <w:t>③</w:t>
            </w:r>
            <w:r>
              <w:rPr>
                <w:rFonts w:hint="eastAsia" w:ascii="Times New Roman" w:hAnsi="Times New Roman" w:cs="Times New Roman"/>
                <w:color w:val="auto"/>
                <w:sz w:val="21"/>
                <w:szCs w:val="21"/>
                <w:highlight w:val="none"/>
                <w:lang w:val="en-US" w:eastAsia="zh-CN"/>
              </w:rPr>
              <w:t>生产工序布袋除尘器收尘</w:t>
            </w:r>
          </w:p>
          <w:p w14:paraId="5A4BBF7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rPr>
              <w:t>本项目</w:t>
            </w:r>
            <w:r>
              <w:rPr>
                <w:rFonts w:hint="eastAsia" w:cs="Times New Roman"/>
                <w:color w:val="auto"/>
                <w:sz w:val="21"/>
                <w:szCs w:val="21"/>
                <w:highlight w:val="none"/>
                <w:lang w:val="en-US" w:eastAsia="zh-CN"/>
              </w:rPr>
              <w:t>建成后全厂</w:t>
            </w:r>
            <w:r>
              <w:rPr>
                <w:rFonts w:hint="eastAsia" w:ascii="Times New Roman" w:hAnsi="Times New Roman" w:cs="Times New Roman"/>
                <w:color w:val="auto"/>
                <w:sz w:val="21"/>
                <w:szCs w:val="21"/>
                <w:highlight w:val="none"/>
                <w:lang w:val="en-US" w:eastAsia="zh-CN"/>
              </w:rPr>
              <w:t>生产工序布袋除尘器收尘为</w:t>
            </w:r>
            <w:r>
              <w:rPr>
                <w:rFonts w:hint="eastAsia" w:cs="Times New Roman"/>
                <w:color w:val="auto"/>
                <w:sz w:val="21"/>
                <w:szCs w:val="21"/>
                <w:highlight w:val="none"/>
                <w:lang w:val="en-US" w:eastAsia="zh-CN"/>
              </w:rPr>
              <w:t>11.079</w:t>
            </w:r>
            <w:r>
              <w:rPr>
                <w:rFonts w:hint="eastAsia" w:ascii="Times New Roman" w:hAnsi="Times New Roman" w:cs="Times New Roman"/>
                <w:color w:val="auto"/>
                <w:sz w:val="21"/>
                <w:szCs w:val="21"/>
                <w:highlight w:val="none"/>
                <w:lang w:val="en-US" w:eastAsia="zh-CN"/>
              </w:rPr>
              <w:t>t/a</w:t>
            </w:r>
            <w:r>
              <w:rPr>
                <w:rFonts w:hint="default" w:ascii="Times New Roman" w:hAnsi="Times New Roman" w:cs="Times New Roman"/>
                <w:color w:val="auto"/>
                <w:sz w:val="21"/>
                <w:szCs w:val="21"/>
                <w:highlight w:val="none"/>
              </w:rPr>
              <w:t>，</w:t>
            </w:r>
            <w:r>
              <w:rPr>
                <w:rFonts w:hint="eastAsia" w:cs="Times New Roman"/>
                <w:color w:val="auto"/>
                <w:kern w:val="2"/>
                <w:sz w:val="21"/>
                <w:szCs w:val="21"/>
                <w:highlight w:val="none"/>
                <w:lang w:val="en-US" w:eastAsia="zh-CN" w:bidi="ar-SA"/>
              </w:rPr>
              <w:t>集中收集，回用于生产</w:t>
            </w:r>
            <w:r>
              <w:rPr>
                <w:rFonts w:hint="default" w:ascii="Times New Roman" w:hAnsi="Times New Roman" w:eastAsia="宋体" w:cs="Times New Roman"/>
                <w:color w:val="auto"/>
                <w:sz w:val="21"/>
                <w:szCs w:val="21"/>
                <w:highlight w:val="none"/>
              </w:rPr>
              <w:t>。</w:t>
            </w:r>
          </w:p>
          <w:p w14:paraId="1360E678">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lang w:val="en-US" w:eastAsia="zh-CN"/>
              </w:rPr>
            </w:pPr>
            <w:r>
              <w:rPr>
                <w:rFonts w:hint="eastAsia"/>
                <w:color w:val="auto"/>
                <w:sz w:val="21"/>
                <w:szCs w:val="21"/>
                <w:highlight w:val="none"/>
                <w:lang w:val="en-US" w:eastAsia="zh-CN"/>
              </w:rPr>
              <w:t>④不合格产品：</w:t>
            </w:r>
            <w:r>
              <w:rPr>
                <w:rFonts w:hint="default" w:ascii="Times New Roman" w:hAnsi="Times New Roman" w:cs="Times New Roman"/>
                <w:color w:val="auto"/>
                <w:sz w:val="21"/>
                <w:szCs w:val="21"/>
                <w:highlight w:val="none"/>
              </w:rPr>
              <w:t>本项目</w:t>
            </w:r>
            <w:r>
              <w:rPr>
                <w:rFonts w:hint="eastAsia" w:cs="Times New Roman"/>
                <w:color w:val="auto"/>
                <w:sz w:val="21"/>
                <w:szCs w:val="21"/>
                <w:highlight w:val="none"/>
                <w:lang w:val="en-US" w:eastAsia="zh-CN"/>
              </w:rPr>
              <w:t>建成后</w:t>
            </w:r>
            <w:r>
              <w:rPr>
                <w:rFonts w:hint="eastAsia"/>
                <w:color w:val="auto"/>
                <w:sz w:val="21"/>
                <w:szCs w:val="21"/>
                <w:highlight w:val="none"/>
                <w:lang w:val="en-US" w:eastAsia="zh-CN"/>
              </w:rPr>
              <w:t>全厂不合格产品量约为10t/a。回用于生产。</w:t>
            </w:r>
          </w:p>
          <w:p w14:paraId="036F1A95">
            <w:pPr>
              <w:pStyle w:val="15"/>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lang w:val="en-US" w:eastAsia="zh-CN"/>
              </w:rPr>
            </w:pPr>
            <w:r>
              <w:rPr>
                <w:rFonts w:hint="eastAsia"/>
                <w:color w:val="auto"/>
                <w:sz w:val="21"/>
                <w:szCs w:val="21"/>
                <w:highlight w:val="none"/>
                <w:lang w:val="en-US" w:eastAsia="zh-CN"/>
              </w:rPr>
              <w:t>⑤杂质砂石：</w:t>
            </w:r>
            <w:r>
              <w:rPr>
                <w:rFonts w:hint="default" w:ascii="Times New Roman" w:hAnsi="Times New Roman" w:cs="Times New Roman"/>
                <w:color w:val="auto"/>
                <w:sz w:val="21"/>
                <w:szCs w:val="21"/>
                <w:highlight w:val="none"/>
              </w:rPr>
              <w:t>本项目</w:t>
            </w:r>
            <w:r>
              <w:rPr>
                <w:rFonts w:hint="eastAsia" w:cs="Times New Roman"/>
                <w:color w:val="auto"/>
                <w:sz w:val="21"/>
                <w:szCs w:val="21"/>
                <w:highlight w:val="none"/>
                <w:lang w:val="en-US" w:eastAsia="zh-CN"/>
              </w:rPr>
              <w:t>建成后全厂</w:t>
            </w:r>
            <w:r>
              <w:rPr>
                <w:rFonts w:hint="eastAsia"/>
                <w:color w:val="auto"/>
                <w:sz w:val="21"/>
                <w:szCs w:val="21"/>
                <w:highlight w:val="none"/>
                <w:lang w:val="en-US" w:eastAsia="zh-CN"/>
              </w:rPr>
              <w:t>杂质砂石产生量约为42.626t/a，</w:t>
            </w:r>
            <w:r>
              <w:rPr>
                <w:rFonts w:hint="eastAsia" w:cs="Times New Roman"/>
                <w:color w:val="auto"/>
                <w:kern w:val="2"/>
                <w:sz w:val="21"/>
                <w:szCs w:val="21"/>
                <w:highlight w:val="none"/>
                <w:lang w:val="en-US" w:eastAsia="zh-CN" w:bidi="ar-SA"/>
              </w:rPr>
              <w:t>集中收集，外送建材企业综合利用</w:t>
            </w:r>
            <w:r>
              <w:rPr>
                <w:rFonts w:hint="default" w:ascii="Times New Roman" w:hAnsi="Times New Roman" w:eastAsia="宋体" w:cs="Times New Roman"/>
                <w:color w:val="auto"/>
                <w:sz w:val="21"/>
                <w:szCs w:val="21"/>
                <w:highlight w:val="none"/>
              </w:rPr>
              <w:t>。</w:t>
            </w:r>
          </w:p>
          <w:p w14:paraId="533F82C3">
            <w:pPr>
              <w:pStyle w:val="43"/>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val="en-US" w:eastAsia="zh-CN"/>
              </w:rPr>
            </w:pPr>
            <w:r>
              <w:rPr>
                <w:rFonts w:hint="eastAsia" w:ascii="Times New Roman" w:cs="Times New Roman"/>
                <w:color w:val="auto"/>
                <w:sz w:val="21"/>
                <w:szCs w:val="21"/>
                <w:highlight w:val="none"/>
                <w:lang w:val="en-US" w:eastAsia="zh-CN"/>
              </w:rPr>
              <w:t>⑥</w:t>
            </w:r>
            <w:r>
              <w:rPr>
                <w:rFonts w:hint="default" w:ascii="Times New Roman" w:hAnsi="Times New Roman" w:cs="Times New Roman"/>
                <w:color w:val="auto"/>
                <w:sz w:val="21"/>
                <w:szCs w:val="21"/>
                <w:highlight w:val="none"/>
                <w:lang w:val="en-US" w:eastAsia="zh-CN"/>
              </w:rPr>
              <w:t>废布袋：</w:t>
            </w:r>
            <w:r>
              <w:rPr>
                <w:rFonts w:hint="default" w:ascii="Times New Roman" w:hAnsi="Times New Roman" w:cs="Times New Roman"/>
                <w:color w:val="auto"/>
                <w:sz w:val="21"/>
                <w:szCs w:val="21"/>
                <w:highlight w:val="none"/>
              </w:rPr>
              <w:t>本项目除尘器为保证除尘效率，定期更换布袋，</w:t>
            </w:r>
            <w:r>
              <w:rPr>
                <w:rFonts w:hint="default" w:ascii="Times New Roman" w:hAnsi="Times New Roman" w:cs="Times New Roman"/>
                <w:color w:val="auto"/>
                <w:sz w:val="21"/>
                <w:szCs w:val="21"/>
                <w:highlight w:val="none"/>
                <w:lang w:eastAsia="zh-CN" w:bidi="ar"/>
              </w:rPr>
              <w:t>每年</w:t>
            </w:r>
            <w:r>
              <w:rPr>
                <w:rFonts w:hint="default" w:ascii="Times New Roman" w:hAnsi="Times New Roman" w:cs="Times New Roman"/>
                <w:color w:val="auto"/>
                <w:sz w:val="21"/>
                <w:szCs w:val="21"/>
                <w:highlight w:val="none"/>
              </w:rPr>
              <w:t>更换一次，本项目</w:t>
            </w:r>
            <w:r>
              <w:rPr>
                <w:rFonts w:hint="eastAsia" w:cs="Times New Roman"/>
                <w:color w:val="auto"/>
                <w:sz w:val="21"/>
                <w:szCs w:val="21"/>
                <w:highlight w:val="none"/>
                <w:lang w:val="en-US" w:eastAsia="zh-CN"/>
              </w:rPr>
              <w:t>建成后全厂</w:t>
            </w:r>
            <w:r>
              <w:rPr>
                <w:rFonts w:hint="default" w:ascii="Times New Roman" w:hAnsi="Times New Roman" w:cs="Times New Roman"/>
                <w:color w:val="auto"/>
                <w:sz w:val="21"/>
                <w:szCs w:val="21"/>
                <w:highlight w:val="none"/>
              </w:rPr>
              <w:t>废弃布袋产生量</w:t>
            </w:r>
            <w:r>
              <w:rPr>
                <w:rFonts w:hint="default" w:ascii="Times New Roman" w:hAnsi="Times New Roman" w:cs="Times New Roman"/>
                <w:color w:val="auto"/>
                <w:sz w:val="21"/>
                <w:szCs w:val="21"/>
                <w:highlight w:val="none"/>
                <w:lang w:val="en-US" w:eastAsia="zh-CN"/>
              </w:rPr>
              <w:t>约</w:t>
            </w:r>
            <w:r>
              <w:rPr>
                <w:rFonts w:hint="default" w:ascii="Times New Roman" w:hAnsi="Times New Roman" w:cs="Times New Roman"/>
                <w:color w:val="auto"/>
                <w:sz w:val="21"/>
                <w:szCs w:val="21"/>
                <w:highlight w:val="none"/>
              </w:rPr>
              <w:t>0.0</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t/a，更换后由厂家直接带走。</w:t>
            </w:r>
          </w:p>
          <w:p w14:paraId="4BF897F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Cs/>
                <w:color w:val="auto"/>
                <w:sz w:val="21"/>
                <w:szCs w:val="21"/>
                <w:highlight w:val="none"/>
              </w:rPr>
            </w:pPr>
            <w:r>
              <w:rPr>
                <w:rFonts w:hint="eastAsia" w:cs="Times New Roman"/>
                <w:color w:val="auto"/>
                <w:kern w:val="21"/>
                <w:sz w:val="21"/>
                <w:szCs w:val="21"/>
                <w:highlight w:val="none"/>
                <w:lang w:eastAsia="zh-CN"/>
              </w:rPr>
              <w:t>（</w:t>
            </w:r>
            <w:r>
              <w:rPr>
                <w:rFonts w:hint="default" w:ascii="Times New Roman" w:hAnsi="Times New Roman" w:eastAsia="宋体" w:cs="Times New Roman"/>
                <w:color w:val="auto"/>
                <w:kern w:val="21"/>
                <w:sz w:val="21"/>
                <w:szCs w:val="21"/>
                <w:highlight w:val="none"/>
              </w:rPr>
              <w:t>2）环境管理</w:t>
            </w:r>
            <w:r>
              <w:rPr>
                <w:rFonts w:hint="default" w:ascii="Times New Roman" w:hAnsi="Times New Roman" w:cs="Times New Roman"/>
                <w:bCs/>
                <w:color w:val="auto"/>
                <w:sz w:val="21"/>
                <w:szCs w:val="21"/>
                <w:highlight w:val="none"/>
              </w:rPr>
              <w:t>要求</w:t>
            </w:r>
          </w:p>
          <w:p w14:paraId="282B9143">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olor w:val="auto"/>
                <w:sz w:val="21"/>
                <w:szCs w:val="21"/>
                <w:highlight w:val="none"/>
              </w:rPr>
            </w:pPr>
            <w:r>
              <w:rPr>
                <w:rFonts w:hint="default"/>
                <w:color w:val="auto"/>
                <w:sz w:val="21"/>
                <w:szCs w:val="21"/>
                <w:highlight w:val="none"/>
              </w:rPr>
              <w:t>本项目</w:t>
            </w:r>
            <w:r>
              <w:rPr>
                <w:rFonts w:hint="eastAsia"/>
                <w:color w:val="auto"/>
                <w:sz w:val="21"/>
                <w:szCs w:val="21"/>
                <w:highlight w:val="none"/>
                <w:lang w:eastAsia="zh-CN"/>
              </w:rPr>
              <w:t>生活</w:t>
            </w:r>
            <w:r>
              <w:rPr>
                <w:rFonts w:hint="eastAsia"/>
                <w:color w:val="auto"/>
                <w:sz w:val="21"/>
                <w:szCs w:val="21"/>
                <w:highlight w:val="none"/>
                <w:lang w:val="en-US" w:eastAsia="zh-CN"/>
              </w:rPr>
              <w:t>垃圾委托环卫部门统一处理</w:t>
            </w:r>
            <w:r>
              <w:rPr>
                <w:rFonts w:hint="eastAsia"/>
                <w:color w:val="auto"/>
                <w:sz w:val="18"/>
                <w:szCs w:val="18"/>
                <w:highlight w:val="none"/>
                <w:lang w:val="en-US" w:eastAsia="zh-CN"/>
              </w:rPr>
              <w:t>；</w:t>
            </w:r>
            <w:r>
              <w:rPr>
                <w:rFonts w:hint="eastAsia"/>
                <w:color w:val="auto"/>
                <w:highlight w:val="none"/>
                <w:lang w:val="en-US" w:eastAsia="zh-CN"/>
              </w:rPr>
              <w:t>烘干燃烧器</w:t>
            </w:r>
            <w:r>
              <w:rPr>
                <w:rFonts w:hint="eastAsia" w:cs="Times New Roman"/>
                <w:bCs/>
                <w:color w:val="auto"/>
                <w:sz w:val="21"/>
                <w:szCs w:val="21"/>
                <w:highlight w:val="none"/>
                <w:lang w:val="en-US" w:eastAsia="zh-CN"/>
              </w:rPr>
              <w:t>灰渣及烘干工序除尘器收尘</w:t>
            </w:r>
            <w:r>
              <w:rPr>
                <w:rFonts w:hint="default" w:ascii="Times New Roman" w:hAnsi="Times New Roman" w:cs="Times New Roman"/>
                <w:color w:val="auto"/>
                <w:sz w:val="21"/>
                <w:szCs w:val="21"/>
                <w:highlight w:val="none"/>
              </w:rPr>
              <w:t>集中收集</w:t>
            </w:r>
            <w:r>
              <w:rPr>
                <w:rFonts w:hint="eastAsia" w:cs="Times New Roman"/>
                <w:color w:val="auto"/>
                <w:sz w:val="21"/>
                <w:szCs w:val="21"/>
                <w:highlight w:val="none"/>
                <w:lang w:val="en-US" w:eastAsia="zh-CN"/>
              </w:rPr>
              <w:t>存储于灰渣间，</w:t>
            </w:r>
            <w:r>
              <w:rPr>
                <w:rFonts w:hint="default" w:ascii="Times New Roman" w:hAnsi="Times New Roman" w:cs="Times New Roman"/>
                <w:color w:val="auto"/>
                <w:sz w:val="21"/>
                <w:szCs w:val="21"/>
                <w:highlight w:val="none"/>
                <w:lang w:val="en-US" w:eastAsia="zh-CN"/>
              </w:rPr>
              <w:t>每</w:t>
            </w:r>
            <w:r>
              <w:rPr>
                <w:rFonts w:hint="eastAsia" w:cs="Times New Roman"/>
                <w:color w:val="auto"/>
                <w:sz w:val="21"/>
                <w:szCs w:val="21"/>
                <w:highlight w:val="none"/>
                <w:lang w:val="en-US" w:eastAsia="zh-CN"/>
              </w:rPr>
              <w:t>5</w:t>
            </w:r>
            <w:r>
              <w:rPr>
                <w:rFonts w:hint="default" w:ascii="Times New Roman" w:hAnsi="Times New Roman" w:cs="Times New Roman"/>
                <w:color w:val="auto"/>
                <w:sz w:val="21"/>
                <w:szCs w:val="21"/>
                <w:highlight w:val="none"/>
                <w:lang w:val="en-US" w:eastAsia="zh-CN"/>
              </w:rPr>
              <w:t>天清运1</w:t>
            </w:r>
            <w:r>
              <w:rPr>
                <w:rFonts w:hint="eastAsia" w:cs="Times New Roman"/>
                <w:color w:val="auto"/>
                <w:sz w:val="21"/>
                <w:szCs w:val="21"/>
                <w:highlight w:val="none"/>
                <w:lang w:val="en-US" w:eastAsia="zh-CN"/>
              </w:rPr>
              <w:t>次，不在厂区长期储存，由周边农户作为肥料还田综合利用；</w:t>
            </w:r>
            <w:r>
              <w:rPr>
                <w:rFonts w:hint="eastAsia" w:ascii="Times New Roman" w:hAnsi="Times New Roman" w:cs="Times New Roman"/>
                <w:color w:val="auto"/>
                <w:sz w:val="21"/>
                <w:szCs w:val="21"/>
                <w:highlight w:val="none"/>
                <w:lang w:val="en-US" w:eastAsia="zh-CN"/>
              </w:rPr>
              <w:t>生产工序布袋除尘器收尘</w:t>
            </w:r>
            <w:r>
              <w:rPr>
                <w:rFonts w:hint="eastAsia" w:cs="Times New Roman"/>
                <w:color w:val="auto"/>
                <w:sz w:val="21"/>
                <w:szCs w:val="21"/>
                <w:highlight w:val="none"/>
                <w:lang w:val="en-US" w:eastAsia="zh-CN"/>
              </w:rPr>
              <w:t>回用于生产线，杂质砂石等杂质外送建材企业综合利用</w:t>
            </w:r>
            <w:r>
              <w:rPr>
                <w:rFonts w:hint="eastAsia" w:ascii="Times New Roman" w:hAnsi="Times New Roman" w:cs="Times New Roman"/>
                <w:color w:val="auto"/>
                <w:sz w:val="21"/>
                <w:szCs w:val="21"/>
                <w:highlight w:val="none"/>
                <w:lang w:val="en-US" w:eastAsia="zh-CN"/>
              </w:rPr>
              <w:t>，</w:t>
            </w:r>
            <w:r>
              <w:rPr>
                <w:rFonts w:hint="eastAsia"/>
                <w:color w:val="auto"/>
                <w:sz w:val="21"/>
                <w:szCs w:val="21"/>
                <w:highlight w:val="none"/>
                <w:lang w:val="en-US" w:eastAsia="zh-CN"/>
              </w:rPr>
              <w:t>不合格产品，回用于生产；废布袋，</w:t>
            </w:r>
            <w:r>
              <w:rPr>
                <w:rFonts w:hint="eastAsia" w:ascii="宋体" w:hAnsi="宋体" w:cs="宋体"/>
                <w:color w:val="auto"/>
                <w:sz w:val="21"/>
                <w:szCs w:val="21"/>
                <w:highlight w:val="none"/>
              </w:rPr>
              <w:t>由除尘器厂家更换后直接带走</w:t>
            </w:r>
            <w:r>
              <w:rPr>
                <w:rFonts w:hint="default" w:ascii="Times New Roman" w:hAnsi="Times New Roman" w:eastAsia="宋体" w:cs="Times New Roman"/>
                <w:color w:val="auto"/>
                <w:sz w:val="21"/>
                <w:szCs w:val="21"/>
                <w:highlight w:val="none"/>
              </w:rPr>
              <w:t>。</w:t>
            </w:r>
          </w:p>
          <w:p w14:paraId="42725226">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一般固体废物环境管理要求</w:t>
            </w:r>
            <w:r>
              <w:rPr>
                <w:rFonts w:hint="eastAsia" w:cs="Times New Roman"/>
                <w:color w:val="auto"/>
                <w:kern w:val="2"/>
                <w:sz w:val="21"/>
                <w:szCs w:val="21"/>
                <w:highlight w:val="none"/>
                <w:lang w:val="en-US" w:eastAsia="zh-CN" w:bidi="ar-SA"/>
              </w:rPr>
              <w:t>：</w:t>
            </w:r>
          </w:p>
          <w:p w14:paraId="069D335F">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fldChar w:fldCharType="begin"/>
            </w:r>
            <w:r>
              <w:rPr>
                <w:rFonts w:hint="eastAsia" w:ascii="Times New Roman" w:hAnsi="Times New Roman" w:eastAsia="宋体" w:cs="Times New Roman"/>
                <w:color w:val="auto"/>
                <w:kern w:val="2"/>
                <w:sz w:val="21"/>
                <w:szCs w:val="21"/>
                <w:highlight w:val="none"/>
                <w:lang w:val="en-US" w:eastAsia="zh-CN" w:bidi="ar-SA"/>
              </w:rPr>
              <w:instrText xml:space="preserve"> = 1 \* GB3 </w:instrText>
            </w:r>
            <w:r>
              <w:rPr>
                <w:rFonts w:hint="eastAsia" w:ascii="Times New Roman" w:hAnsi="Times New Roman" w:eastAsia="宋体" w:cs="Times New Roman"/>
                <w:color w:val="auto"/>
                <w:kern w:val="2"/>
                <w:sz w:val="21"/>
                <w:szCs w:val="21"/>
                <w:highlight w:val="none"/>
                <w:lang w:val="en-US" w:eastAsia="zh-CN" w:bidi="ar-SA"/>
              </w:rPr>
              <w:fldChar w:fldCharType="separate"/>
            </w:r>
            <w:r>
              <w:rPr>
                <w:rFonts w:hint="eastAsia" w:ascii="Times New Roman" w:hAnsi="Times New Roman" w:eastAsia="宋体" w:cs="Times New Roman"/>
                <w:color w:val="auto"/>
                <w:kern w:val="2"/>
                <w:sz w:val="21"/>
                <w:szCs w:val="21"/>
                <w:highlight w:val="none"/>
                <w:lang w:val="en-US" w:eastAsia="zh-CN" w:bidi="ar-SA"/>
              </w:rPr>
              <w:t>①</w:t>
            </w:r>
            <w:r>
              <w:rPr>
                <w:rFonts w:hint="eastAsia" w:ascii="Times New Roman" w:hAnsi="Times New Roman" w:eastAsia="宋体" w:cs="Times New Roman"/>
                <w:color w:val="auto"/>
                <w:kern w:val="2"/>
                <w:sz w:val="21"/>
                <w:szCs w:val="21"/>
                <w:highlight w:val="none"/>
                <w:lang w:val="en-US" w:eastAsia="zh-CN" w:bidi="ar-SA"/>
              </w:rPr>
              <w:fldChar w:fldCharType="end"/>
            </w:r>
            <w:r>
              <w:rPr>
                <w:rFonts w:hint="eastAsia" w:ascii="Times New Roman" w:hAnsi="Times New Roman" w:eastAsia="宋体" w:cs="Times New Roman"/>
                <w:color w:val="auto"/>
                <w:kern w:val="2"/>
                <w:sz w:val="21"/>
                <w:szCs w:val="21"/>
                <w:highlight w:val="none"/>
                <w:lang w:val="en-US" w:eastAsia="zh-CN" w:bidi="ar-SA"/>
              </w:rPr>
              <w:t>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0795C2E7">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fldChar w:fldCharType="begin"/>
            </w:r>
            <w:r>
              <w:rPr>
                <w:rFonts w:hint="eastAsia" w:ascii="Times New Roman" w:hAnsi="Times New Roman" w:eastAsia="宋体" w:cs="Times New Roman"/>
                <w:color w:val="auto"/>
                <w:kern w:val="2"/>
                <w:sz w:val="21"/>
                <w:szCs w:val="21"/>
                <w:highlight w:val="none"/>
                <w:lang w:val="en-US" w:eastAsia="zh-CN" w:bidi="ar-SA"/>
              </w:rPr>
              <w:instrText xml:space="preserve"> = 2 \* GB3 </w:instrText>
            </w:r>
            <w:r>
              <w:rPr>
                <w:rFonts w:hint="eastAsia" w:ascii="Times New Roman" w:hAnsi="Times New Roman" w:eastAsia="宋体" w:cs="Times New Roman"/>
                <w:color w:val="auto"/>
                <w:kern w:val="2"/>
                <w:sz w:val="21"/>
                <w:szCs w:val="21"/>
                <w:highlight w:val="none"/>
                <w:lang w:val="en-US" w:eastAsia="zh-CN" w:bidi="ar-SA"/>
              </w:rPr>
              <w:fldChar w:fldCharType="separate"/>
            </w:r>
            <w:r>
              <w:rPr>
                <w:rFonts w:hint="eastAsia" w:ascii="Times New Roman" w:hAnsi="Times New Roman" w:eastAsia="宋体" w:cs="Times New Roman"/>
                <w:color w:val="auto"/>
                <w:kern w:val="2"/>
                <w:sz w:val="21"/>
                <w:szCs w:val="21"/>
                <w:highlight w:val="none"/>
                <w:lang w:val="en-US" w:eastAsia="zh-CN" w:bidi="ar-SA"/>
              </w:rPr>
              <w:t>②</w:t>
            </w:r>
            <w:r>
              <w:rPr>
                <w:rFonts w:hint="eastAsia" w:ascii="Times New Roman" w:hAnsi="Times New Roman" w:eastAsia="宋体" w:cs="Times New Roman"/>
                <w:color w:val="auto"/>
                <w:kern w:val="2"/>
                <w:sz w:val="21"/>
                <w:szCs w:val="21"/>
                <w:highlight w:val="none"/>
                <w:lang w:val="en-US" w:eastAsia="zh-CN" w:bidi="ar-SA"/>
              </w:rPr>
              <w:fldChar w:fldCharType="end"/>
            </w:r>
            <w:r>
              <w:rPr>
                <w:rFonts w:hint="eastAsia" w:ascii="Times New Roman" w:hAnsi="Times New Roman" w:eastAsia="宋体" w:cs="Times New Roman"/>
                <w:color w:val="auto"/>
                <w:kern w:val="2"/>
                <w:sz w:val="21"/>
                <w:szCs w:val="21"/>
                <w:highlight w:val="none"/>
                <w:lang w:val="en-US" w:eastAsia="zh-CN" w:bidi="ar-SA"/>
              </w:rPr>
              <w:t>禁止向生活垃圾收集设施中投放工业固体废物。</w:t>
            </w:r>
          </w:p>
          <w:p w14:paraId="6825B003">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fldChar w:fldCharType="begin"/>
            </w:r>
            <w:r>
              <w:rPr>
                <w:rFonts w:hint="eastAsia" w:ascii="Times New Roman" w:hAnsi="Times New Roman" w:eastAsia="宋体" w:cs="Times New Roman"/>
                <w:color w:val="auto"/>
                <w:kern w:val="2"/>
                <w:sz w:val="21"/>
                <w:szCs w:val="21"/>
                <w:highlight w:val="none"/>
                <w:lang w:val="en-US" w:eastAsia="zh-CN" w:bidi="ar-SA"/>
              </w:rPr>
              <w:instrText xml:space="preserve"> = 3 \* GB3 </w:instrText>
            </w:r>
            <w:r>
              <w:rPr>
                <w:rFonts w:hint="eastAsia" w:ascii="Times New Roman" w:hAnsi="Times New Roman" w:eastAsia="宋体" w:cs="Times New Roman"/>
                <w:color w:val="auto"/>
                <w:kern w:val="2"/>
                <w:sz w:val="21"/>
                <w:szCs w:val="21"/>
                <w:highlight w:val="none"/>
                <w:lang w:val="en-US" w:eastAsia="zh-CN" w:bidi="ar-SA"/>
              </w:rPr>
              <w:fldChar w:fldCharType="separate"/>
            </w:r>
            <w:r>
              <w:rPr>
                <w:rFonts w:hint="eastAsia" w:ascii="Times New Roman" w:hAnsi="Times New Roman" w:eastAsia="宋体" w:cs="Times New Roman"/>
                <w:color w:val="auto"/>
                <w:kern w:val="2"/>
                <w:sz w:val="21"/>
                <w:szCs w:val="21"/>
                <w:highlight w:val="none"/>
                <w:lang w:val="en-US" w:eastAsia="zh-CN" w:bidi="ar-SA"/>
              </w:rPr>
              <w:t>③</w:t>
            </w:r>
            <w:r>
              <w:rPr>
                <w:rFonts w:hint="eastAsia" w:ascii="Times New Roman" w:hAnsi="Times New Roman" w:eastAsia="宋体" w:cs="Times New Roman"/>
                <w:color w:val="auto"/>
                <w:kern w:val="2"/>
                <w:sz w:val="21"/>
                <w:szCs w:val="21"/>
                <w:highlight w:val="none"/>
                <w:lang w:val="en-US" w:eastAsia="zh-CN" w:bidi="ar-SA"/>
              </w:rPr>
              <w:fldChar w:fldCharType="end"/>
            </w:r>
            <w:r>
              <w:rPr>
                <w:rFonts w:hint="eastAsia" w:ascii="Times New Roman" w:hAnsi="Times New Roman" w:eastAsia="宋体" w:cs="Times New Roman"/>
                <w:color w:val="auto"/>
                <w:kern w:val="2"/>
                <w:sz w:val="21"/>
                <w:szCs w:val="21"/>
                <w:highlight w:val="none"/>
                <w:lang w:val="en-US" w:eastAsia="zh-CN" w:bidi="ar-SA"/>
              </w:rPr>
              <w:t>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6476B7C8">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360" w:lineRule="auto"/>
              <w:ind w:left="0" w:leftChars="0" w:right="0"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（3）环境影响分析</w:t>
            </w:r>
          </w:p>
          <w:p w14:paraId="07A0F53B">
            <w:pPr>
              <w:pStyle w:val="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both"/>
              <w:textAlignment w:val="auto"/>
              <w:rPr>
                <w:rFonts w:hint="eastAsia"/>
                <w:color w:val="auto"/>
                <w:sz w:val="21"/>
                <w:szCs w:val="21"/>
                <w:highlight w:val="none"/>
                <w:lang w:val="en-US" w:eastAsia="zh-CN"/>
              </w:rPr>
            </w:pPr>
            <w:r>
              <w:rPr>
                <w:rFonts w:hint="default" w:ascii="Times New Roman" w:hAnsi="Times New Roman" w:cs="Times New Roman"/>
                <w:color w:val="auto"/>
                <w:sz w:val="21"/>
                <w:szCs w:val="21"/>
                <w:highlight w:val="none"/>
              </w:rPr>
              <w:t>本项目所产生的固体废物做到及时收集，妥善处置，本项目一般固体废物满足《一般工业固体废物贮存和填埋污染控制标准》（GB18599-2020）</w:t>
            </w:r>
            <w:r>
              <w:rPr>
                <w:rFonts w:hint="eastAsia" w:cs="Times New Roman"/>
                <w:color w:val="auto"/>
                <w:sz w:val="21"/>
                <w:szCs w:val="21"/>
                <w:highlight w:val="none"/>
                <w:lang w:eastAsia="zh-CN"/>
              </w:rPr>
              <w:t>、</w:t>
            </w:r>
            <w:r>
              <w:rPr>
                <w:rFonts w:hint="eastAsia"/>
                <w:bCs/>
                <w:color w:val="auto"/>
                <w:szCs w:val="21"/>
                <w:highlight w:val="none"/>
              </w:rPr>
              <w:t>《固体废物分类与代码</w:t>
            </w:r>
            <w:r>
              <w:rPr>
                <w:rFonts w:hint="eastAsia"/>
                <w:bCs/>
                <w:color w:val="auto"/>
                <w:szCs w:val="21"/>
                <w:highlight w:val="none"/>
                <w:lang w:eastAsia="zh-CN"/>
              </w:rPr>
              <w:t>目录</w:t>
            </w:r>
            <w:r>
              <w:rPr>
                <w:rFonts w:hint="eastAsia"/>
                <w:bCs/>
                <w:color w:val="auto"/>
                <w:szCs w:val="21"/>
                <w:highlight w:val="none"/>
              </w:rPr>
              <w:t>》（</w:t>
            </w:r>
            <w:r>
              <w:rPr>
                <w:rFonts w:hint="eastAsia"/>
                <w:bCs/>
                <w:color w:val="auto"/>
                <w:szCs w:val="21"/>
                <w:highlight w:val="none"/>
                <w:lang w:eastAsia="zh-CN"/>
              </w:rPr>
              <w:t>公告</w:t>
            </w:r>
            <w:r>
              <w:rPr>
                <w:rFonts w:hint="eastAsia"/>
                <w:bCs/>
                <w:color w:val="auto"/>
                <w:szCs w:val="21"/>
                <w:highlight w:val="none"/>
                <w:lang w:val="en-US" w:eastAsia="zh-CN"/>
              </w:rPr>
              <w:t>2024年第4号</w:t>
            </w:r>
            <w:r>
              <w:rPr>
                <w:rFonts w:hint="eastAsia"/>
                <w:bCs/>
                <w:color w:val="auto"/>
                <w:szCs w:val="21"/>
                <w:highlight w:val="none"/>
              </w:rPr>
              <w:t>）</w:t>
            </w:r>
            <w:r>
              <w:rPr>
                <w:rFonts w:hint="eastAsia"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本项目产生的固体废物经过妥善处理后，处置率达到100%不会影响周边环境。</w:t>
            </w:r>
          </w:p>
          <w:p w14:paraId="42F62F8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2" w:firstLineChars="200"/>
              <w:textAlignment w:val="auto"/>
              <w:rPr>
                <w:rFonts w:hint="default" w:ascii="Times New Roman" w:hAnsi="Times New Roman" w:eastAsia="宋体" w:cs="Times New Roman"/>
                <w:b/>
                <w:color w:val="auto"/>
                <w:szCs w:val="21"/>
                <w:highlight w:val="none"/>
              </w:rPr>
            </w:pPr>
            <w:r>
              <w:rPr>
                <w:rFonts w:hint="default" w:ascii="Times New Roman" w:hAnsi="Times New Roman" w:eastAsia="宋体" w:cs="Times New Roman"/>
                <w:b/>
                <w:color w:val="auto"/>
                <w:szCs w:val="21"/>
                <w:highlight w:val="none"/>
              </w:rPr>
              <w:t>5、土壤和地下水</w:t>
            </w:r>
          </w:p>
          <w:p w14:paraId="28126138">
            <w:pPr>
              <w:pStyle w:val="9"/>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both"/>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根据《建设项目环境影响报告表编制技术（污染影响类）（试行）》，</w:t>
            </w:r>
            <w:r>
              <w:rPr>
                <w:rFonts w:hint="default" w:ascii="Times New Roman" w:hAnsi="Times New Roman" w:eastAsia="宋体" w:cs="Times New Roman"/>
                <w:color w:val="auto"/>
                <w:sz w:val="21"/>
                <w:szCs w:val="21"/>
                <w:highlight w:val="none"/>
                <w:lang w:val="en-US" w:eastAsia="zh-CN"/>
              </w:rPr>
              <w:t>地下水、土壤环境原则上不开展环境质量现状调查，建设项目存在土壤、地下水环境污染途径的，应结合污染源、保护目标分布情况开展现状调查以留作背景值，本项目</w:t>
            </w:r>
            <w:r>
              <w:rPr>
                <w:rFonts w:hint="eastAsia" w:ascii="Times New Roman" w:hAnsi="Times New Roman" w:eastAsia="宋体" w:cs="Times New Roman"/>
                <w:color w:val="auto"/>
                <w:sz w:val="21"/>
                <w:szCs w:val="21"/>
                <w:highlight w:val="none"/>
                <w:lang w:val="en-US" w:eastAsia="zh-CN"/>
              </w:rPr>
              <w:t>生活污水排入防渗旱厕</w:t>
            </w:r>
            <w:r>
              <w:rPr>
                <w:rFonts w:hint="default" w:ascii="Times New Roman" w:hAnsi="Times New Roman" w:eastAsia="宋体"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生产车间、热风炉房内均为水泥硬化地面，洒水降尘用水自然蒸发，无废水外排，原料堆场地面采取简单硬化，原料上方采取苫布遮盖，无地下水、土壤污染途径，因此不开展现状调查。</w:t>
            </w:r>
          </w:p>
          <w:p w14:paraId="4C9F118D">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firstLine="422" w:firstLineChars="200"/>
              <w:textAlignment w:val="auto"/>
              <w:rPr>
                <w:rFonts w:hint="eastAsia" w:ascii="Times New Roman" w:hAnsi="Times New Roman" w:eastAsia="宋体" w:cs="Times New Roman"/>
                <w:b/>
                <w:color w:val="auto"/>
                <w:szCs w:val="21"/>
                <w:highlight w:val="none"/>
                <w:lang w:eastAsia="zh-CN"/>
              </w:rPr>
            </w:pPr>
            <w:r>
              <w:rPr>
                <w:rFonts w:hint="default" w:ascii="Times New Roman" w:hAnsi="Times New Roman" w:cs="Times New Roman"/>
                <w:b/>
                <w:color w:val="auto"/>
                <w:szCs w:val="21"/>
                <w:highlight w:val="none"/>
              </w:rPr>
              <w:t>6、环境风险</w:t>
            </w:r>
          </w:p>
          <w:p w14:paraId="67AD676A">
            <w:pPr>
              <w:keepNext w:val="0"/>
              <w:keepLines w:val="0"/>
              <w:pageBreakBefore w:val="0"/>
              <w:widowControl w:val="0"/>
              <w:suppressLineNumbers w:val="0"/>
              <w:kinsoku/>
              <w:wordWrap/>
              <w:overflowPunct/>
              <w:topLinePunct w:val="0"/>
              <w:autoSpaceDE/>
              <w:autoSpaceDN/>
              <w:bidi w:val="0"/>
              <w:adjustRightInd/>
              <w:snapToGrid w:val="0"/>
              <w:spacing w:before="0" w:beforeAutospacing="0" w:after="0" w:afterAutospacing="0" w:line="360" w:lineRule="auto"/>
              <w:ind w:left="0" w:leftChars="0" w:right="0" w:firstLine="420" w:firstLineChars="200"/>
              <w:textAlignment w:val="auto"/>
              <w:rPr>
                <w:rFonts w:hint="eastAsia"/>
                <w:bCs/>
                <w:color w:val="auto"/>
                <w:szCs w:val="21"/>
                <w:highlight w:val="none"/>
                <w:lang w:eastAsia="zh-CN"/>
              </w:rPr>
            </w:pPr>
            <w:r>
              <w:rPr>
                <w:rFonts w:hint="eastAsia"/>
                <w:bCs/>
                <w:color w:val="auto"/>
                <w:szCs w:val="21"/>
                <w:highlight w:val="none"/>
              </w:rPr>
              <w:t>本项目不涉及环境风险物质，</w:t>
            </w:r>
            <w:r>
              <w:rPr>
                <w:rFonts w:hint="eastAsia"/>
                <w:bCs/>
                <w:color w:val="auto"/>
                <w:szCs w:val="21"/>
                <w:highlight w:val="none"/>
                <w:lang w:eastAsia="zh-CN"/>
              </w:rPr>
              <w:t>本次评价仅考虑生物质燃料易燃可能产生的火灾事故风险。</w:t>
            </w:r>
          </w:p>
          <w:p w14:paraId="35510DC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420" w:firstLineChars="200"/>
              <w:jc w:val="left"/>
              <w:textAlignment w:val="auto"/>
              <w:rPr>
                <w:rFonts w:hint="eastAsia" w:ascii="Times New Roman" w:hAnsi="Times New Roman" w:eastAsia="宋体" w:cs="Times New Roman"/>
                <w:bCs/>
                <w:color w:val="auto"/>
                <w:szCs w:val="21"/>
                <w:highlight w:val="none"/>
                <w:lang w:val="en-US" w:eastAsia="zh-CN"/>
              </w:rPr>
            </w:pPr>
            <w:r>
              <w:rPr>
                <w:rFonts w:hint="eastAsia"/>
                <w:bCs/>
                <w:color w:val="auto"/>
                <w:szCs w:val="21"/>
                <w:highlight w:val="none"/>
              </w:rPr>
              <w:t>火灾爆炸风险防范措施</w:t>
            </w:r>
            <w:r>
              <w:rPr>
                <w:rFonts w:hint="eastAsia"/>
                <w:bCs/>
                <w:color w:val="auto"/>
                <w:szCs w:val="21"/>
                <w:highlight w:val="none"/>
                <w:lang w:eastAsia="zh-CN"/>
              </w:rPr>
              <w:t>：</w:t>
            </w:r>
            <w:r>
              <w:rPr>
                <w:rFonts w:hint="eastAsia" w:ascii="Times New Roman" w:hAnsi="Times New Roman" w:eastAsia="宋体" w:cs="Times New Roman"/>
                <w:bCs/>
                <w:color w:val="auto"/>
                <w:szCs w:val="21"/>
                <w:highlight w:val="none"/>
                <w:lang w:val="en-US" w:eastAsia="zh-CN"/>
              </w:rPr>
              <w:t>厂区内</w:t>
            </w:r>
            <w:r>
              <w:rPr>
                <w:rFonts w:hint="default" w:ascii="Times New Roman" w:hAnsi="Times New Roman" w:eastAsia="宋体" w:cs="Times New Roman"/>
                <w:bCs/>
                <w:color w:val="auto"/>
                <w:szCs w:val="21"/>
                <w:highlight w:val="none"/>
                <w:lang w:val="en-US" w:eastAsia="zh-CN"/>
              </w:rPr>
              <w:t>按照《建筑灭火器配制设计规范》（GB50140-2005，配置一定数量不同类型、不同规格的移动式灭火器材</w:t>
            </w:r>
            <w:r>
              <w:rPr>
                <w:rFonts w:hint="eastAsia" w:ascii="Times New Roman" w:hAnsi="Times New Roman" w:eastAsia="宋体" w:cs="Times New Roman"/>
                <w:bCs/>
                <w:color w:val="auto"/>
                <w:szCs w:val="21"/>
                <w:highlight w:val="none"/>
                <w:lang w:val="en-US" w:eastAsia="zh-CN"/>
              </w:rPr>
              <w:t>。加强职工安全教育，车间内禁止烟火，杜绝风险事故发生。车间安排专人负责看管并日常性巡查，每日对生产车间供电设施、烘干用热设施、原料堆场、成品仓进行查看，避免火灾的引发。对生产车间</w:t>
            </w:r>
            <w:r>
              <w:rPr>
                <w:rFonts w:hint="eastAsia"/>
                <w:bCs/>
                <w:color w:val="auto"/>
                <w:szCs w:val="21"/>
                <w:highlight w:val="none"/>
                <w:lang w:eastAsia="zh-CN"/>
              </w:rPr>
              <w:t>内粉尘污染防治措施定期检查，避免粉尘爆炸风险。</w:t>
            </w:r>
            <w:r>
              <w:rPr>
                <w:rFonts w:hint="default" w:ascii="Times New Roman" w:hAnsi="Times New Roman" w:eastAsia="宋体" w:cs="Times New Roman"/>
                <w:bCs/>
                <w:color w:val="auto"/>
                <w:szCs w:val="21"/>
                <w:highlight w:val="none"/>
                <w:lang w:val="en-GB" w:eastAsia="zh-CN"/>
              </w:rPr>
              <w:t>厂房及各种功能建筑</w:t>
            </w:r>
            <w:r>
              <w:rPr>
                <w:rFonts w:hint="eastAsia" w:ascii="Times New Roman" w:hAnsi="Times New Roman" w:eastAsia="宋体" w:cs="Times New Roman"/>
                <w:bCs/>
                <w:color w:val="auto"/>
                <w:szCs w:val="21"/>
                <w:highlight w:val="none"/>
                <w:lang w:val="en-GB" w:eastAsia="zh-CN"/>
              </w:rPr>
              <w:t>按照</w:t>
            </w:r>
            <w:r>
              <w:rPr>
                <w:rFonts w:hint="default" w:ascii="Times New Roman" w:hAnsi="Times New Roman" w:eastAsia="宋体" w:cs="Times New Roman"/>
                <w:bCs/>
                <w:color w:val="auto"/>
                <w:szCs w:val="21"/>
                <w:highlight w:val="none"/>
                <w:lang w:val="en-GB" w:eastAsia="zh-CN"/>
              </w:rPr>
              <w:t>《建筑设计防火规范》（GB50016-20</w:t>
            </w:r>
            <w:r>
              <w:rPr>
                <w:rFonts w:hint="eastAsia" w:ascii="Times New Roman" w:hAnsi="Times New Roman" w:eastAsia="宋体" w:cs="Times New Roman"/>
                <w:bCs/>
                <w:color w:val="auto"/>
                <w:szCs w:val="21"/>
                <w:highlight w:val="none"/>
                <w:lang w:val="en-US" w:eastAsia="zh-CN"/>
              </w:rPr>
              <w:t>14</w:t>
            </w:r>
            <w:r>
              <w:rPr>
                <w:rFonts w:hint="default" w:ascii="Times New Roman" w:hAnsi="Times New Roman" w:eastAsia="宋体" w:cs="Times New Roman"/>
                <w:bCs/>
                <w:color w:val="auto"/>
                <w:szCs w:val="21"/>
                <w:highlight w:val="none"/>
                <w:lang w:val="en-GB" w:eastAsia="zh-CN"/>
              </w:rPr>
              <w:t>）进行规范设计施工</w:t>
            </w:r>
            <w:r>
              <w:rPr>
                <w:rFonts w:hint="eastAsia" w:ascii="Times New Roman" w:hAnsi="Times New Roman" w:eastAsia="宋体" w:cs="Times New Roman"/>
                <w:bCs/>
                <w:color w:val="auto"/>
                <w:szCs w:val="21"/>
                <w:highlight w:val="none"/>
                <w:lang w:val="en-GB" w:eastAsia="zh-CN"/>
              </w:rPr>
              <w:t>，实际运营前，</w:t>
            </w:r>
            <w:r>
              <w:rPr>
                <w:rFonts w:hint="eastAsia" w:ascii="Times New Roman" w:hAnsi="Times New Roman" w:eastAsia="宋体" w:cs="Times New Roman"/>
                <w:bCs/>
                <w:color w:val="auto"/>
                <w:szCs w:val="21"/>
                <w:highlight w:val="none"/>
                <w:lang w:val="en-US" w:eastAsia="zh-CN"/>
              </w:rPr>
              <w:t>建设单位应制定突发环境事件应急预案，定期演练，建立环境事故应急响应体系，并建立与鸡西市突发环境事件应急预案的联动机制，对可能发生的事故采取相应的应急救援措施。</w:t>
            </w:r>
          </w:p>
          <w:p w14:paraId="71FBBE43">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2" w:firstLineChars="200"/>
              <w:contextualSpacing/>
              <w:jc w:val="both"/>
              <w:rPr>
                <w:rFonts w:hint="default" w:ascii="Times New Roman" w:hAnsi="Times New Roman"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7</w:t>
            </w:r>
            <w:r>
              <w:rPr>
                <w:rFonts w:hint="default" w:ascii="Times New Roman" w:hAnsi="Times New Roman" w:cs="Times New Roman"/>
                <w:b/>
                <w:bCs/>
                <w:color w:val="auto"/>
                <w:sz w:val="21"/>
                <w:szCs w:val="21"/>
                <w:highlight w:val="none"/>
                <w:lang w:val="en-US" w:eastAsia="zh-CN"/>
              </w:rPr>
              <w:t>、与排污许可证衔接</w:t>
            </w:r>
          </w:p>
          <w:p w14:paraId="7EDF60CB">
            <w:pPr>
              <w:keepNext w:val="0"/>
              <w:keepLines w:val="0"/>
              <w:pageBreakBefore w:val="0"/>
              <w:suppressLineNumbers w:val="0"/>
              <w:kinsoku/>
              <w:wordWrap/>
              <w:overflowPunct/>
              <w:topLinePunct w:val="0"/>
              <w:bidi w:val="0"/>
              <w:spacing w:before="0" w:beforeAutospacing="0" w:after="0" w:afterAutospacing="0" w:line="360" w:lineRule="auto"/>
              <w:ind w:left="0" w:leftChars="0" w:right="0" w:firstLine="420" w:firstLineChars="200"/>
              <w:contextualSpacing/>
              <w:jc w:val="both"/>
              <w:rPr>
                <w:rFonts w:hint="eastAsia"/>
                <w:b w:val="0"/>
                <w:bCs w:val="0"/>
                <w:color w:val="auto"/>
                <w:sz w:val="21"/>
                <w:szCs w:val="21"/>
                <w:highlight w:val="none"/>
                <w:lang w:val="en-US" w:eastAsia="zh-CN"/>
              </w:rPr>
            </w:pPr>
            <w:r>
              <w:rPr>
                <w:rFonts w:hint="eastAsia"/>
                <w:b w:val="0"/>
                <w:bCs w:val="0"/>
                <w:color w:val="auto"/>
                <w:sz w:val="21"/>
                <w:szCs w:val="21"/>
                <w:highlight w:val="none"/>
                <w:lang w:val="en-US" w:eastAsia="zh-CN"/>
              </w:rPr>
              <w:t>根据《国务院办公厅关于印发控制污染物排放许可制实施方案的通知》〔2016〕81号，（九）分步实现排污许可全覆盖，按行业分步实现对固定污染源的全覆盖，率先对火电、造纸行业企业核发排污许可证，2017年完成《大气污染防治行动计划》和《水污染防治行动计划》重点行业及产能过剩行业企业排污许可证核发，2020年全国基本完成排污许可证核发。</w:t>
            </w:r>
          </w:p>
          <w:p w14:paraId="7094797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contextualSpacing/>
              <w:textAlignment w:val="auto"/>
              <w:rPr>
                <w:rFonts w:hint="default" w:eastAsia="宋体"/>
                <w:bCs/>
                <w:color w:val="auto"/>
                <w:spacing w:val="-10"/>
                <w:szCs w:val="21"/>
                <w:highlight w:val="none"/>
                <w:lang w:val="en-US" w:eastAsia="zh-CN"/>
              </w:rPr>
            </w:pPr>
            <w:r>
              <w:rPr>
                <w:rFonts w:hint="eastAsia"/>
                <w:b w:val="0"/>
                <w:bCs w:val="0"/>
                <w:color w:val="auto"/>
                <w:sz w:val="21"/>
                <w:szCs w:val="21"/>
                <w:highlight w:val="none"/>
                <w:lang w:val="en-US" w:eastAsia="zh-CN"/>
              </w:rPr>
              <w:t>根据《排污许可管理办法》（试行），第三条：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未纳入固定污染源排污许可分类管理名录的排污单位，暂不需申请排污许可证。第二十四条：在固定污染源排污许可分类管理名录规定的时限前已经建成并实际排污的排污单位，应当在名录规定时限申请排污许可证；在名录规定的时限后建成的排污单位，应当在启动生产设施或者在实际排污之前申请排污许可证。</w:t>
            </w:r>
          </w:p>
        </w:tc>
      </w:tr>
    </w:tbl>
    <w:p w14:paraId="59C82BB4">
      <w:pPr>
        <w:rPr>
          <w:rFonts w:hint="default" w:ascii="Times New Roman" w:hAnsi="Times New Roman" w:eastAsia="黑体" w:cs="Times New Roman"/>
          <w:snapToGrid w:val="0"/>
          <w:color w:val="auto"/>
          <w:kern w:val="21"/>
          <w:sz w:val="30"/>
          <w:szCs w:val="30"/>
          <w:highlight w:val="none"/>
        </w:rPr>
      </w:pPr>
      <w:r>
        <w:rPr>
          <w:rFonts w:hint="default" w:ascii="Times New Roman" w:hAnsi="Times New Roman" w:eastAsia="黑体" w:cs="Times New Roman"/>
          <w:snapToGrid w:val="0"/>
          <w:color w:val="auto"/>
          <w:kern w:val="21"/>
          <w:sz w:val="30"/>
          <w:szCs w:val="30"/>
          <w:highlight w:val="none"/>
        </w:rPr>
        <w:br w:type="page"/>
      </w:r>
    </w:p>
    <w:p w14:paraId="5353D84C">
      <w:pPr>
        <w:pStyle w:val="30"/>
        <w:spacing w:before="0" w:beforeAutospacing="0" w:after="158" w:afterLines="50" w:afterAutospacing="0"/>
        <w:jc w:val="center"/>
        <w:outlineLvl w:val="0"/>
        <w:rPr>
          <w:rFonts w:hint="eastAsia" w:ascii="宋体" w:hAnsi="宋体" w:eastAsia="宋体" w:cs="宋体"/>
          <w:snapToGrid w:val="0"/>
          <w:color w:val="auto"/>
          <w:kern w:val="21"/>
          <w:sz w:val="30"/>
          <w:szCs w:val="30"/>
          <w:highlight w:val="none"/>
          <w:lang w:eastAsia="zh-CN"/>
        </w:rPr>
      </w:pPr>
      <w:bookmarkStart w:id="7" w:name="_Toc21713"/>
      <w:r>
        <w:rPr>
          <w:rFonts w:hint="eastAsia" w:ascii="宋体" w:hAnsi="宋体" w:eastAsia="宋体" w:cs="宋体"/>
          <w:snapToGrid w:val="0"/>
          <w:color w:val="auto"/>
          <w:kern w:val="21"/>
          <w:sz w:val="30"/>
          <w:szCs w:val="30"/>
          <w:highlight w:val="none"/>
        </w:rPr>
        <w:t>五、</w:t>
      </w:r>
      <w:bookmarkStart w:id="8" w:name="_Hlk54167917"/>
      <w:r>
        <w:rPr>
          <w:rFonts w:hint="eastAsia" w:ascii="宋体" w:hAnsi="宋体" w:eastAsia="宋体" w:cs="宋体"/>
          <w:snapToGrid w:val="0"/>
          <w:color w:val="auto"/>
          <w:kern w:val="21"/>
          <w:sz w:val="30"/>
          <w:szCs w:val="30"/>
          <w:highlight w:val="none"/>
        </w:rPr>
        <w:t>环境保护措施监督检查清单</w:t>
      </w:r>
      <w:bookmarkEnd w:id="7"/>
      <w:bookmarkEnd w:id="8"/>
    </w:p>
    <w:tbl>
      <w:tblPr>
        <w:tblStyle w:val="34"/>
        <w:tblW w:w="5000"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489"/>
        <w:gridCol w:w="1661"/>
        <w:gridCol w:w="1451"/>
        <w:gridCol w:w="1877"/>
        <w:gridCol w:w="2525"/>
      </w:tblGrid>
      <w:tr w14:paraId="53D000D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mc:AlternateContent>
              <mc:Choice Requires="wpsCustomData">
                <wpsCustomData:diagonals>
                  <wpsCustomData:diagonal from="10000" to="30000">
                    <wpsCustomData:border w:val="single" w:color="auto" w:sz="8" w:space="0"/>
                  </wpsCustomData:diagonal>
                </wpsCustomData:diagonals>
              </mc:Choice>
            </mc:AlternateContent>
          </w:tcPr>
          <w:p w14:paraId="6DEFF8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kern w:val="21"/>
                <w:sz w:val="21"/>
                <w:szCs w:val="21"/>
                <w:highlight w:val="none"/>
                <w:lang w:val="en-US" w:eastAsia="zh-CN" w:bidi="ar-SA"/>
              </w:rPr>
            </w:pPr>
          </w:p>
          <w:p w14:paraId="7743AD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mc:AlternateContent>
                <mc:Choice Requires="wpsCustomData">
                  <wpsCustomData:diagonalParaType/>
                </mc:Choice>
              </mc:AlternateContent>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要素</w:t>
            </w:r>
          </w:p>
          <w:p w14:paraId="3B7443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210" w:firstLineChars="100"/>
              <w:jc w:val="both"/>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内容</w:t>
            </w:r>
          </w:p>
          <w:p w14:paraId="0461333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both"/>
              <w:textAlignment w:val="auto"/>
              <w:rPr>
                <w:rFonts w:hint="default" w:ascii="Times New Roman" w:hAnsi="Times New Roman" w:eastAsia="宋体" w:cs="Times New Roman"/>
                <w:color w:val="auto"/>
                <w:kern w:val="21"/>
                <w:sz w:val="21"/>
                <w:szCs w:val="21"/>
                <w:highlight w:val="none"/>
                <w:lang w:val="en-US" w:eastAsia="zh-CN" w:bidi="ar-SA"/>
              </w:rPr>
            </w:pPr>
          </w:p>
        </w:tc>
        <w:tc>
          <w:tcPr>
            <w:tcW w:w="922" w:type="pct"/>
            <w:tcBorders>
              <w:tl2br w:val="nil"/>
              <w:tr2bl w:val="nil"/>
            </w:tcBorders>
            <w:vAlign w:val="center"/>
          </w:tcPr>
          <w:p w14:paraId="6C4D9ED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排放口（编号、名称）/污染源</w:t>
            </w:r>
          </w:p>
        </w:tc>
        <w:tc>
          <w:tcPr>
            <w:tcW w:w="805" w:type="pct"/>
            <w:tcBorders>
              <w:tl2br w:val="nil"/>
              <w:tr2bl w:val="nil"/>
            </w:tcBorders>
            <w:vAlign w:val="center"/>
          </w:tcPr>
          <w:p w14:paraId="70E0122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污染物项目</w:t>
            </w:r>
          </w:p>
        </w:tc>
        <w:tc>
          <w:tcPr>
            <w:tcW w:w="1042" w:type="pct"/>
            <w:tcBorders>
              <w:tl2br w:val="nil"/>
              <w:tr2bl w:val="nil"/>
            </w:tcBorders>
            <w:vAlign w:val="center"/>
          </w:tcPr>
          <w:p w14:paraId="1CFE02E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环境保护措施</w:t>
            </w:r>
          </w:p>
        </w:tc>
        <w:tc>
          <w:tcPr>
            <w:tcW w:w="1402" w:type="pct"/>
            <w:tcBorders>
              <w:tl2br w:val="nil"/>
              <w:tr2bl w:val="nil"/>
            </w:tcBorders>
            <w:vAlign w:val="center"/>
          </w:tcPr>
          <w:p w14:paraId="263940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bidi="ar-SA"/>
              </w:rPr>
            </w:pPr>
            <w:r>
              <w:rPr>
                <w:rFonts w:hint="default" w:ascii="Times New Roman" w:hAnsi="Times New Roman" w:eastAsia="宋体" w:cs="Times New Roman"/>
                <w:color w:val="auto"/>
                <w:kern w:val="21"/>
                <w:sz w:val="21"/>
                <w:szCs w:val="21"/>
                <w:highlight w:val="none"/>
                <w:lang w:val="en-US" w:eastAsia="zh-CN" w:bidi="ar-SA"/>
              </w:rPr>
              <w:t>执行标准</w:t>
            </w:r>
          </w:p>
        </w:tc>
      </w:tr>
      <w:tr w14:paraId="6E2871B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vMerge w:val="restart"/>
            <w:tcBorders>
              <w:tl2br w:val="nil"/>
              <w:tr2bl w:val="nil"/>
            </w:tcBorders>
            <w:vAlign w:val="center"/>
          </w:tcPr>
          <w:p w14:paraId="02B7EBD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lang w:val="en-US" w:eastAsia="zh-CN"/>
              </w:rPr>
              <w:t>大气环境</w:t>
            </w:r>
          </w:p>
        </w:tc>
        <w:tc>
          <w:tcPr>
            <w:tcW w:w="922" w:type="pct"/>
            <w:tcBorders>
              <w:tl2br w:val="nil"/>
              <w:tr2bl w:val="nil"/>
            </w:tcBorders>
            <w:vAlign w:val="center"/>
          </w:tcPr>
          <w:p w14:paraId="61D7724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eastAsia="zh-CN"/>
              </w:rPr>
              <w:t>烘干燃烧器排气筒</w:t>
            </w: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DA001</w:t>
            </w:r>
            <w:r>
              <w:rPr>
                <w:rFonts w:hint="eastAsia" w:ascii="Times New Roman" w:hAnsi="Times New Roman" w:cs="Times New Roman"/>
                <w:color w:val="auto"/>
                <w:sz w:val="21"/>
                <w:szCs w:val="21"/>
                <w:highlight w:val="none"/>
                <w:lang w:eastAsia="zh-CN"/>
              </w:rPr>
              <w:t>）</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DA003</w:t>
            </w:r>
            <w:r>
              <w:rPr>
                <w:rFonts w:hint="eastAsia" w:cs="Times New Roman"/>
                <w:color w:val="auto"/>
                <w:sz w:val="21"/>
                <w:szCs w:val="21"/>
                <w:highlight w:val="none"/>
                <w:lang w:eastAsia="zh-CN"/>
              </w:rPr>
              <w:t>）</w:t>
            </w:r>
          </w:p>
        </w:tc>
        <w:tc>
          <w:tcPr>
            <w:tcW w:w="805" w:type="pct"/>
            <w:tcBorders>
              <w:tl2br w:val="nil"/>
              <w:tr2bl w:val="nil"/>
            </w:tcBorders>
            <w:vAlign w:val="center"/>
          </w:tcPr>
          <w:p w14:paraId="36C9EC07">
            <w:pPr>
              <w:keepNext w:val="0"/>
              <w:keepLines w:val="0"/>
              <w:pageBreakBefore w:val="0"/>
              <w:widowControl/>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sz w:val="21"/>
                <w:szCs w:val="21"/>
                <w:highlight w:val="none"/>
                <w:lang w:val="en-US" w:eastAsia="zh-CN"/>
              </w:rPr>
              <w:t>颗粒物</w:t>
            </w:r>
            <w:r>
              <w:rPr>
                <w:rFonts w:hint="eastAsia" w:ascii="Times New Roman" w:hAnsi="Times New Roman" w:eastAsia="宋体" w:cs="Times New Roman"/>
                <w:color w:val="auto"/>
                <w:sz w:val="21"/>
                <w:szCs w:val="21"/>
                <w:highlight w:val="none"/>
                <w:lang w:eastAsia="zh-CN"/>
              </w:rPr>
              <w:t>、SO</w:t>
            </w:r>
            <w:r>
              <w:rPr>
                <w:rFonts w:hint="eastAsia" w:ascii="Times New Roman" w:hAnsi="Times New Roman" w:eastAsia="宋体" w:cs="Times New Roman"/>
                <w:color w:val="auto"/>
                <w:sz w:val="21"/>
                <w:szCs w:val="21"/>
                <w:highlight w:val="none"/>
                <w:vertAlign w:val="subscript"/>
                <w:lang w:eastAsia="zh-CN"/>
              </w:rPr>
              <w:t>2</w:t>
            </w:r>
            <w:r>
              <w:rPr>
                <w:rFonts w:hint="eastAsia" w:ascii="Times New Roman" w:hAnsi="Times New Roman" w:eastAsia="宋体" w:cs="Times New Roman"/>
                <w:color w:val="auto"/>
                <w:sz w:val="21"/>
                <w:szCs w:val="21"/>
                <w:highlight w:val="none"/>
                <w:lang w:eastAsia="zh-CN"/>
              </w:rPr>
              <w:t>、烟气黑度</w:t>
            </w:r>
          </w:p>
        </w:tc>
        <w:tc>
          <w:tcPr>
            <w:tcW w:w="1042" w:type="pct"/>
            <w:tcBorders>
              <w:tl2br w:val="nil"/>
              <w:tr2bl w:val="nil"/>
            </w:tcBorders>
            <w:vAlign w:val="center"/>
          </w:tcPr>
          <w:p w14:paraId="7BA6A1A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布袋除尘器处理后，由</w:t>
            </w:r>
            <w:r>
              <w:rPr>
                <w:rFonts w:hint="eastAsia"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rPr>
              <w:t>m高</w:t>
            </w:r>
            <w:r>
              <w:rPr>
                <w:rFonts w:hint="eastAsia" w:cs="Times New Roman"/>
                <w:color w:val="auto"/>
                <w:sz w:val="21"/>
                <w:szCs w:val="21"/>
                <w:highlight w:val="none"/>
                <w:lang w:eastAsia="zh-CN"/>
              </w:rPr>
              <w:t>排气筒排放</w:t>
            </w:r>
          </w:p>
        </w:tc>
        <w:tc>
          <w:tcPr>
            <w:tcW w:w="1402" w:type="pct"/>
            <w:tcBorders>
              <w:tl2br w:val="nil"/>
              <w:tr2bl w:val="nil"/>
            </w:tcBorders>
            <w:vAlign w:val="center"/>
          </w:tcPr>
          <w:p w14:paraId="46F5959D">
            <w:pPr>
              <w:pStyle w:val="86"/>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《工业炉窑大气污染物排放标准》（GB9078-1996）表2和表4中标准要求</w:t>
            </w:r>
          </w:p>
        </w:tc>
      </w:tr>
      <w:tr w14:paraId="0002573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vMerge w:val="continue"/>
            <w:tcBorders>
              <w:tl2br w:val="nil"/>
              <w:tr2bl w:val="nil"/>
            </w:tcBorders>
            <w:vAlign w:val="center"/>
          </w:tcPr>
          <w:p w14:paraId="0004409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p>
        </w:tc>
        <w:tc>
          <w:tcPr>
            <w:tcW w:w="922" w:type="pct"/>
            <w:tcBorders>
              <w:tl2br w:val="nil"/>
              <w:tr2bl w:val="nil"/>
            </w:tcBorders>
            <w:vAlign w:val="center"/>
          </w:tcPr>
          <w:p w14:paraId="2241868E">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eastAsia="zh-CN"/>
              </w:rPr>
              <w:t>生产车间排气筒（</w:t>
            </w:r>
            <w:r>
              <w:rPr>
                <w:rFonts w:hint="eastAsia" w:cs="Times New Roman"/>
                <w:color w:val="auto"/>
                <w:sz w:val="21"/>
                <w:szCs w:val="21"/>
                <w:highlight w:val="none"/>
                <w:lang w:val="en-US" w:eastAsia="zh-CN"/>
              </w:rPr>
              <w:t>DA002</w:t>
            </w:r>
            <w:r>
              <w:rPr>
                <w:rFonts w:hint="eastAsia" w:cs="Times New Roman"/>
                <w:color w:val="auto"/>
                <w:sz w:val="21"/>
                <w:szCs w:val="21"/>
                <w:highlight w:val="none"/>
                <w:lang w:eastAsia="zh-CN"/>
              </w:rPr>
              <w:t>）（</w:t>
            </w:r>
            <w:r>
              <w:rPr>
                <w:rFonts w:hint="eastAsia" w:cs="Times New Roman"/>
                <w:color w:val="auto"/>
                <w:sz w:val="21"/>
                <w:szCs w:val="21"/>
                <w:highlight w:val="none"/>
                <w:lang w:val="en-US" w:eastAsia="zh-CN"/>
              </w:rPr>
              <w:t>DA004</w:t>
            </w:r>
            <w:r>
              <w:rPr>
                <w:rFonts w:hint="eastAsia" w:cs="Times New Roman"/>
                <w:color w:val="auto"/>
                <w:sz w:val="21"/>
                <w:szCs w:val="21"/>
                <w:highlight w:val="none"/>
                <w:lang w:eastAsia="zh-CN"/>
              </w:rPr>
              <w:t>）</w:t>
            </w:r>
          </w:p>
        </w:tc>
        <w:tc>
          <w:tcPr>
            <w:tcW w:w="805" w:type="pct"/>
            <w:tcBorders>
              <w:tl2br w:val="nil"/>
              <w:tr2bl w:val="nil"/>
            </w:tcBorders>
            <w:shd w:val="clear" w:color="auto" w:fill="auto"/>
            <w:vAlign w:val="center"/>
          </w:tcPr>
          <w:p w14:paraId="10EFBE20">
            <w:pPr>
              <w:keepNext w:val="0"/>
              <w:keepLines w:val="0"/>
              <w:pageBreakBefore w:val="0"/>
              <w:widowControl/>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0"/>
                <w:sz w:val="21"/>
                <w:szCs w:val="21"/>
                <w:highlight w:val="none"/>
                <w:lang w:eastAsia="zh-CN"/>
              </w:rPr>
              <w:t>颗粒物</w:t>
            </w:r>
          </w:p>
        </w:tc>
        <w:tc>
          <w:tcPr>
            <w:tcW w:w="1042" w:type="pct"/>
            <w:tcBorders>
              <w:tl2br w:val="nil"/>
              <w:tr2bl w:val="nil"/>
            </w:tcBorders>
            <w:shd w:val="clear" w:color="auto" w:fill="auto"/>
            <w:vAlign w:val="center"/>
          </w:tcPr>
          <w:p w14:paraId="7351C1AC">
            <w:pPr>
              <w:keepNext w:val="0"/>
              <w:keepLines w:val="0"/>
              <w:pageBreakBefore w:val="0"/>
              <w:widowControl/>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pacing w:val="0"/>
                <w:kern w:val="2"/>
                <w:position w:val="0"/>
                <w:sz w:val="21"/>
                <w:szCs w:val="21"/>
                <w:highlight w:val="none"/>
                <w:lang w:val="en-US" w:eastAsia="zh-CN" w:bidi="ar-SA"/>
              </w:rPr>
            </w:pPr>
            <w:r>
              <w:rPr>
                <w:rFonts w:hint="eastAsia" w:cs="Times New Roman"/>
                <w:color w:val="auto"/>
                <w:kern w:val="0"/>
                <w:sz w:val="21"/>
                <w:szCs w:val="21"/>
                <w:highlight w:val="none"/>
                <w:lang w:val="en-US" w:eastAsia="zh-CN"/>
              </w:rPr>
              <w:t>集气罩+布袋除尘器处理后由1</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rPr>
              <w:t>m高</w:t>
            </w:r>
            <w:r>
              <w:rPr>
                <w:rFonts w:hint="eastAsia" w:cs="Times New Roman"/>
                <w:color w:val="auto"/>
                <w:sz w:val="21"/>
                <w:szCs w:val="21"/>
                <w:highlight w:val="none"/>
                <w:lang w:val="en-US" w:eastAsia="zh-CN"/>
              </w:rPr>
              <w:t>排气筒排放</w:t>
            </w:r>
          </w:p>
        </w:tc>
        <w:tc>
          <w:tcPr>
            <w:tcW w:w="1402" w:type="pct"/>
            <w:tcBorders>
              <w:tl2br w:val="nil"/>
              <w:tr2bl w:val="nil"/>
            </w:tcBorders>
            <w:shd w:val="clear" w:color="auto" w:fill="auto"/>
            <w:vAlign w:val="center"/>
          </w:tcPr>
          <w:p w14:paraId="38DB61C9">
            <w:pPr>
              <w:pStyle w:val="86"/>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Cs w:val="21"/>
                <w:highlight w:val="none"/>
              </w:rPr>
              <w:t>《大气污染物综合排放标准》（GB16297-1996）表2中二级排放标准</w:t>
            </w:r>
          </w:p>
        </w:tc>
      </w:tr>
      <w:tr w14:paraId="520B5C4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vMerge w:val="continue"/>
            <w:tcBorders>
              <w:tl2br w:val="nil"/>
              <w:tr2bl w:val="nil"/>
            </w:tcBorders>
            <w:vAlign w:val="center"/>
          </w:tcPr>
          <w:p w14:paraId="0BBCC3D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p>
        </w:tc>
        <w:tc>
          <w:tcPr>
            <w:tcW w:w="922" w:type="pct"/>
            <w:tcBorders>
              <w:tl2br w:val="nil"/>
              <w:tr2bl w:val="nil"/>
            </w:tcBorders>
            <w:vAlign w:val="center"/>
          </w:tcPr>
          <w:p w14:paraId="5A771570">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宋体" w:hAnsi="宋体" w:cs="宋体"/>
                <w:color w:val="auto"/>
                <w:kern w:val="0"/>
                <w:szCs w:val="21"/>
                <w:highlight w:val="none"/>
              </w:rPr>
            </w:pPr>
            <w:r>
              <w:rPr>
                <w:rFonts w:hint="eastAsia" w:ascii="Times New Roman" w:hAnsi="Times New Roman" w:cs="Times New Roman"/>
                <w:color w:val="auto"/>
                <w:sz w:val="21"/>
                <w:szCs w:val="21"/>
                <w:highlight w:val="none"/>
                <w:lang w:val="en-US" w:eastAsia="zh-CN"/>
              </w:rPr>
              <w:t>厂界</w:t>
            </w:r>
          </w:p>
        </w:tc>
        <w:tc>
          <w:tcPr>
            <w:tcW w:w="805" w:type="pct"/>
            <w:tcBorders>
              <w:tl2br w:val="nil"/>
              <w:tr2bl w:val="nil"/>
            </w:tcBorders>
            <w:vAlign w:val="center"/>
          </w:tcPr>
          <w:p w14:paraId="6D715E7F">
            <w:pPr>
              <w:keepNext w:val="0"/>
              <w:keepLines w:val="0"/>
              <w:pageBreakBefore w:val="0"/>
              <w:widowControl/>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颗粒物</w:t>
            </w:r>
          </w:p>
        </w:tc>
        <w:tc>
          <w:tcPr>
            <w:tcW w:w="1042" w:type="pct"/>
            <w:tcBorders>
              <w:tl2br w:val="nil"/>
              <w:tr2bl w:val="nil"/>
            </w:tcBorders>
            <w:vAlign w:val="center"/>
          </w:tcPr>
          <w:p w14:paraId="4C4A8EC3">
            <w:pPr>
              <w:keepNext w:val="0"/>
              <w:keepLines w:val="0"/>
              <w:pageBreakBefore w:val="0"/>
              <w:widowControl/>
              <w:suppressLineNumbers w:val="0"/>
              <w:tabs>
                <w:tab w:val="left" w:pos="5760"/>
              </w:tabs>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eastAsia" w:ascii="Times New Roman" w:hAnsi="Times New Roman" w:eastAsia="宋体" w:cs="Times New Roman"/>
                <w:color w:val="auto"/>
                <w:kern w:val="0"/>
                <w:sz w:val="21"/>
                <w:szCs w:val="21"/>
                <w:highlight w:val="none"/>
                <w:lang w:eastAsia="zh-CN"/>
              </w:rPr>
            </w:pPr>
            <w:r>
              <w:rPr>
                <w:rFonts w:hint="eastAsia" w:cs="Times New Roman"/>
                <w:color w:val="auto"/>
                <w:kern w:val="0"/>
                <w:sz w:val="21"/>
                <w:szCs w:val="21"/>
                <w:highlight w:val="none"/>
                <w:lang w:eastAsia="zh-CN"/>
              </w:rPr>
              <w:t>生产车间密闭、洒水降尘</w:t>
            </w:r>
          </w:p>
        </w:tc>
        <w:tc>
          <w:tcPr>
            <w:tcW w:w="1402" w:type="pct"/>
            <w:tcBorders>
              <w:tl2br w:val="nil"/>
              <w:tr2bl w:val="nil"/>
            </w:tcBorders>
            <w:vAlign w:val="center"/>
          </w:tcPr>
          <w:p w14:paraId="16E34063">
            <w:pPr>
              <w:pStyle w:val="86"/>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Cs/>
                <w:color w:val="auto"/>
                <w:sz w:val="21"/>
                <w:szCs w:val="21"/>
                <w:highlight w:val="none"/>
                <w:lang w:val="en-US" w:eastAsia="zh-CN"/>
              </w:rPr>
              <w:t>《大气污染物综合排放标准》（GB16297-1996）表2中无组织排放限值</w:t>
            </w:r>
          </w:p>
        </w:tc>
      </w:tr>
      <w:tr w14:paraId="4A128FC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vMerge w:val="continue"/>
            <w:tcBorders>
              <w:tl2br w:val="nil"/>
              <w:tr2bl w:val="nil"/>
            </w:tcBorders>
            <w:vAlign w:val="center"/>
          </w:tcPr>
          <w:p w14:paraId="565F10B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p>
        </w:tc>
        <w:tc>
          <w:tcPr>
            <w:tcW w:w="922" w:type="pct"/>
            <w:tcBorders>
              <w:tl2br w:val="nil"/>
              <w:tr2bl w:val="nil"/>
            </w:tcBorders>
            <w:vAlign w:val="center"/>
          </w:tcPr>
          <w:p w14:paraId="1E1F09C1">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color w:val="auto"/>
                <w:kern w:val="0"/>
                <w:szCs w:val="21"/>
                <w:highlight w:val="none"/>
                <w:lang w:val="en-US" w:eastAsia="zh-CN"/>
              </w:rPr>
            </w:pPr>
            <w:r>
              <w:rPr>
                <w:rFonts w:hint="eastAsia" w:cs="Times New Roman"/>
                <w:color w:val="auto"/>
                <w:sz w:val="21"/>
                <w:szCs w:val="21"/>
                <w:highlight w:val="none"/>
                <w:lang w:val="en-US" w:eastAsia="zh-CN"/>
              </w:rPr>
              <w:t>工业炉窑周边（无组织）</w:t>
            </w:r>
          </w:p>
        </w:tc>
        <w:tc>
          <w:tcPr>
            <w:tcW w:w="805" w:type="pct"/>
            <w:tcBorders>
              <w:tl2br w:val="nil"/>
              <w:tr2bl w:val="nil"/>
            </w:tcBorders>
            <w:vAlign w:val="center"/>
          </w:tcPr>
          <w:p w14:paraId="3E8EC9BF">
            <w:pPr>
              <w:keepNext w:val="0"/>
              <w:keepLines w:val="0"/>
              <w:pageBreakBefore w:val="0"/>
              <w:suppressLineNumbers w:val="0"/>
              <w:kinsoku/>
              <w:wordWrap/>
              <w:overflowPunct/>
              <w:topLinePunct w:val="0"/>
              <w:autoSpaceDE/>
              <w:autoSpaceDN/>
              <w:bidi w:val="0"/>
              <w:spacing w:before="0" w:beforeAutospacing="0" w:after="0" w:afterAutospacing="0" w:line="240" w:lineRule="auto"/>
              <w:ind w:left="0" w:leftChars="0" w:right="0" w:rightChars="0"/>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颗粒物</w:t>
            </w:r>
          </w:p>
        </w:tc>
        <w:tc>
          <w:tcPr>
            <w:tcW w:w="1042" w:type="pct"/>
            <w:tcBorders>
              <w:tl2br w:val="nil"/>
              <w:tr2bl w:val="nil"/>
            </w:tcBorders>
            <w:vAlign w:val="center"/>
          </w:tcPr>
          <w:p w14:paraId="7D8A482B">
            <w:pPr>
              <w:keepNext w:val="0"/>
              <w:keepLines w:val="0"/>
              <w:pageBreakBefore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rPr>
                <w:rFonts w:hint="eastAsia" w:ascii="Times New Roman" w:hAnsi="Times New Roman" w:eastAsia="宋体" w:cs="Times New Roman"/>
                <w:bCs/>
                <w:color w:val="auto"/>
                <w:sz w:val="21"/>
                <w:szCs w:val="21"/>
                <w:highlight w:val="none"/>
                <w:lang w:val="en-US" w:eastAsia="zh-CN"/>
              </w:rPr>
            </w:pPr>
            <w:r>
              <w:rPr>
                <w:rFonts w:hint="eastAsia" w:cs="Times New Roman"/>
                <w:color w:val="auto"/>
                <w:sz w:val="21"/>
                <w:szCs w:val="21"/>
                <w:highlight w:val="none"/>
                <w:lang w:val="en-US" w:eastAsia="zh-CN"/>
              </w:rPr>
              <w:t>洒水降尘</w:t>
            </w:r>
          </w:p>
        </w:tc>
        <w:tc>
          <w:tcPr>
            <w:tcW w:w="1402" w:type="pct"/>
            <w:tcBorders>
              <w:tl2br w:val="nil"/>
              <w:tr2bl w:val="nil"/>
            </w:tcBorders>
            <w:vAlign w:val="center"/>
          </w:tcPr>
          <w:p w14:paraId="18CBD69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rPr>
              <w:t>《工业炉窑大气污染物排放标准》（GB9078-1996）表</w:t>
            </w:r>
            <w:r>
              <w:rPr>
                <w:rFonts w:hint="eastAsia" w:ascii="Times New Roman" w:hAnsi="Times New Roman" w:eastAsia="宋体" w:cs="Times New Roman"/>
                <w:color w:val="auto"/>
                <w:kern w:val="0"/>
                <w:sz w:val="21"/>
                <w:szCs w:val="21"/>
                <w:highlight w:val="none"/>
                <w:lang w:val="en-US" w:eastAsia="zh-CN"/>
              </w:rPr>
              <w:t>3中标准要求</w:t>
            </w:r>
          </w:p>
        </w:tc>
      </w:tr>
      <w:tr w14:paraId="4C021CB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248BB8D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地表水环境</w:t>
            </w:r>
          </w:p>
        </w:tc>
        <w:tc>
          <w:tcPr>
            <w:tcW w:w="922" w:type="pct"/>
            <w:tcBorders>
              <w:tl2br w:val="nil"/>
              <w:tr2bl w:val="nil"/>
            </w:tcBorders>
            <w:vAlign w:val="center"/>
          </w:tcPr>
          <w:p w14:paraId="0B4C371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eastAsia="zh-CN"/>
              </w:rPr>
            </w:pPr>
            <w:r>
              <w:rPr>
                <w:rFonts w:hint="default" w:ascii="Times New Roman" w:hAnsi="Times New Roman" w:eastAsia="宋体" w:cs="Times New Roman"/>
                <w:color w:val="auto"/>
                <w:kern w:val="21"/>
                <w:sz w:val="21"/>
                <w:szCs w:val="21"/>
                <w:highlight w:val="none"/>
              </w:rPr>
              <w:t>-</w:t>
            </w:r>
          </w:p>
        </w:tc>
        <w:tc>
          <w:tcPr>
            <w:tcW w:w="805" w:type="pct"/>
            <w:tcBorders>
              <w:tl2br w:val="nil"/>
              <w:tr2bl w:val="nil"/>
            </w:tcBorders>
            <w:vAlign w:val="center"/>
          </w:tcPr>
          <w:p w14:paraId="20092BC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rPr>
              <w:t>-</w:t>
            </w:r>
          </w:p>
        </w:tc>
        <w:tc>
          <w:tcPr>
            <w:tcW w:w="1042" w:type="pct"/>
            <w:tcBorders>
              <w:tl2br w:val="nil"/>
              <w:tr2bl w:val="nil"/>
            </w:tcBorders>
            <w:vAlign w:val="center"/>
          </w:tcPr>
          <w:p w14:paraId="3585EF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eastAsia="宋体" w:cs="Times New Roman"/>
                <w:color w:val="auto"/>
                <w:kern w:val="21"/>
                <w:sz w:val="21"/>
                <w:szCs w:val="21"/>
                <w:highlight w:val="none"/>
              </w:rPr>
              <w:t>-</w:t>
            </w:r>
          </w:p>
        </w:tc>
        <w:tc>
          <w:tcPr>
            <w:tcW w:w="1402" w:type="pct"/>
            <w:tcBorders>
              <w:tl2br w:val="nil"/>
              <w:tr2bl w:val="nil"/>
            </w:tcBorders>
            <w:vAlign w:val="center"/>
          </w:tcPr>
          <w:p w14:paraId="488239B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rPr>
              <w:t>-</w:t>
            </w:r>
          </w:p>
        </w:tc>
      </w:tr>
      <w:tr w14:paraId="2711BDD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42A751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地下水及土壤环境</w:t>
            </w:r>
          </w:p>
        </w:tc>
        <w:tc>
          <w:tcPr>
            <w:tcW w:w="922" w:type="pct"/>
            <w:tcBorders>
              <w:tl2br w:val="nil"/>
              <w:tr2bl w:val="nil"/>
            </w:tcBorders>
            <w:vAlign w:val="center"/>
          </w:tcPr>
          <w:p w14:paraId="34587FC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805" w:type="pct"/>
            <w:tcBorders>
              <w:tl2br w:val="nil"/>
              <w:tr2bl w:val="nil"/>
            </w:tcBorders>
            <w:vAlign w:val="center"/>
          </w:tcPr>
          <w:p w14:paraId="5A8ECCF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042" w:type="pct"/>
            <w:tcBorders>
              <w:tl2br w:val="nil"/>
              <w:tr2bl w:val="nil"/>
            </w:tcBorders>
            <w:vAlign w:val="center"/>
          </w:tcPr>
          <w:p w14:paraId="774F255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402" w:type="pct"/>
            <w:tcBorders>
              <w:tl2br w:val="nil"/>
              <w:tr2bl w:val="nil"/>
            </w:tcBorders>
            <w:vAlign w:val="center"/>
          </w:tcPr>
          <w:p w14:paraId="62F0D4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r>
      <w:tr w14:paraId="18BEBC1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37F01DB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声环境</w:t>
            </w:r>
          </w:p>
        </w:tc>
        <w:tc>
          <w:tcPr>
            <w:tcW w:w="922" w:type="pct"/>
            <w:tcBorders>
              <w:tl2br w:val="nil"/>
              <w:tr2bl w:val="nil"/>
            </w:tcBorders>
            <w:vAlign w:val="center"/>
          </w:tcPr>
          <w:p w14:paraId="1183290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设备运行</w:t>
            </w:r>
          </w:p>
        </w:tc>
        <w:tc>
          <w:tcPr>
            <w:tcW w:w="805" w:type="pct"/>
            <w:tcBorders>
              <w:tl2br w:val="nil"/>
              <w:tr2bl w:val="nil"/>
            </w:tcBorders>
            <w:vAlign w:val="center"/>
          </w:tcPr>
          <w:p w14:paraId="6290C98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eastAsia="zh-CN"/>
              </w:rPr>
            </w:pPr>
            <w:r>
              <w:rPr>
                <w:rFonts w:hint="default" w:ascii="Times New Roman" w:hAnsi="Times New Roman" w:eastAsia="宋体" w:cs="Times New Roman"/>
                <w:color w:val="auto"/>
                <w:kern w:val="21"/>
                <w:sz w:val="21"/>
                <w:szCs w:val="21"/>
                <w:highlight w:val="none"/>
                <w:lang w:val="en-US" w:eastAsia="zh-CN"/>
              </w:rPr>
              <w:t>噪声</w:t>
            </w:r>
          </w:p>
        </w:tc>
        <w:tc>
          <w:tcPr>
            <w:tcW w:w="1042" w:type="pct"/>
            <w:tcBorders>
              <w:tl2br w:val="nil"/>
              <w:tr2bl w:val="nil"/>
            </w:tcBorders>
            <w:vAlign w:val="center"/>
          </w:tcPr>
          <w:p w14:paraId="3BEF20F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rPr>
              <w:t>选取低噪声设备，采取减振、隔声</w:t>
            </w:r>
            <w:r>
              <w:rPr>
                <w:rFonts w:hint="eastAsia" w:cs="Times New Roman"/>
                <w:color w:val="auto"/>
                <w:sz w:val="21"/>
                <w:szCs w:val="21"/>
                <w:highlight w:val="none"/>
                <w:lang w:val="en-US" w:eastAsia="zh-CN"/>
              </w:rPr>
              <w:t>等</w:t>
            </w:r>
          </w:p>
        </w:tc>
        <w:tc>
          <w:tcPr>
            <w:tcW w:w="1402" w:type="pct"/>
            <w:tcBorders>
              <w:tl2br w:val="nil"/>
              <w:tr2bl w:val="nil"/>
            </w:tcBorders>
            <w:vAlign w:val="center"/>
          </w:tcPr>
          <w:p w14:paraId="63F1C1C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kern w:val="21"/>
                <w:sz w:val="21"/>
                <w:szCs w:val="21"/>
                <w:highlight w:val="none"/>
              </w:rPr>
              <w:t>《工业企业厂界环境噪声排放标准》（GB12348-2008）</w:t>
            </w:r>
            <w:r>
              <w:rPr>
                <w:rFonts w:hint="eastAsia" w:cs="Times New Roman"/>
                <w:color w:val="auto"/>
                <w:kern w:val="21"/>
                <w:sz w:val="21"/>
                <w:szCs w:val="21"/>
                <w:highlight w:val="none"/>
                <w:lang w:val="en-US" w:eastAsia="zh-CN"/>
              </w:rPr>
              <w:t>2</w:t>
            </w:r>
            <w:r>
              <w:rPr>
                <w:rFonts w:hint="default"/>
                <w:color w:val="auto"/>
                <w:sz w:val="21"/>
                <w:szCs w:val="21"/>
                <w:highlight w:val="none"/>
              </w:rPr>
              <w:t>类标准限值</w:t>
            </w:r>
          </w:p>
        </w:tc>
      </w:tr>
      <w:tr w14:paraId="69556AD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02DEECC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电磁辐射</w:t>
            </w:r>
          </w:p>
        </w:tc>
        <w:tc>
          <w:tcPr>
            <w:tcW w:w="922" w:type="pct"/>
            <w:tcBorders>
              <w:tl2br w:val="nil"/>
              <w:tr2bl w:val="nil"/>
            </w:tcBorders>
            <w:vAlign w:val="center"/>
          </w:tcPr>
          <w:p w14:paraId="4F7076C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805" w:type="pct"/>
            <w:tcBorders>
              <w:tl2br w:val="nil"/>
              <w:tr2bl w:val="nil"/>
            </w:tcBorders>
            <w:vAlign w:val="center"/>
          </w:tcPr>
          <w:p w14:paraId="5BD31FF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042" w:type="pct"/>
            <w:tcBorders>
              <w:tl2br w:val="nil"/>
              <w:tr2bl w:val="nil"/>
            </w:tcBorders>
            <w:vAlign w:val="center"/>
          </w:tcPr>
          <w:p w14:paraId="04181AC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c>
          <w:tcPr>
            <w:tcW w:w="1402" w:type="pct"/>
            <w:tcBorders>
              <w:tl2br w:val="nil"/>
              <w:tr2bl w:val="nil"/>
            </w:tcBorders>
            <w:vAlign w:val="center"/>
          </w:tcPr>
          <w:p w14:paraId="5530A3C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w:t>
            </w:r>
          </w:p>
        </w:tc>
      </w:tr>
      <w:tr w14:paraId="737D4C6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138902E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固体废物</w:t>
            </w:r>
          </w:p>
        </w:tc>
        <w:tc>
          <w:tcPr>
            <w:tcW w:w="4173" w:type="pct"/>
            <w:gridSpan w:val="4"/>
            <w:tcBorders>
              <w:tl2br w:val="nil"/>
              <w:tr2bl w:val="nil"/>
            </w:tcBorders>
            <w:vAlign w:val="center"/>
          </w:tcPr>
          <w:p w14:paraId="6E049B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both"/>
              <w:textAlignment w:val="auto"/>
              <w:rPr>
                <w:rFonts w:hint="eastAsia" w:ascii="Times New Roman" w:hAnsi="Times New Roman" w:eastAsia="宋体" w:cs="Times New Roman"/>
                <w:color w:val="auto"/>
                <w:kern w:val="21"/>
                <w:sz w:val="21"/>
                <w:szCs w:val="21"/>
                <w:highlight w:val="none"/>
                <w:lang w:val="en-US" w:eastAsia="zh-CN"/>
              </w:rPr>
            </w:pPr>
            <w:r>
              <w:rPr>
                <w:rFonts w:hint="default" w:ascii="Times New Roman" w:hAnsi="Times New Roman" w:eastAsia="宋体" w:cs="Times New Roman"/>
                <w:color w:val="auto"/>
                <w:sz w:val="21"/>
                <w:szCs w:val="21"/>
                <w:highlight w:val="none"/>
              </w:rPr>
              <w:t>本项目</w:t>
            </w:r>
            <w:r>
              <w:rPr>
                <w:rFonts w:hint="eastAsia" w:ascii="Times New Roman" w:hAnsi="Times New Roman" w:eastAsia="宋体" w:cs="Times New Roman"/>
                <w:color w:val="auto"/>
                <w:sz w:val="21"/>
                <w:szCs w:val="21"/>
                <w:highlight w:val="none"/>
                <w:lang w:eastAsia="zh-CN"/>
              </w:rPr>
              <w:t>生活</w:t>
            </w:r>
            <w:r>
              <w:rPr>
                <w:rFonts w:hint="eastAsia" w:ascii="Times New Roman" w:hAnsi="Times New Roman" w:eastAsia="宋体" w:cs="Times New Roman"/>
                <w:color w:val="auto"/>
                <w:sz w:val="21"/>
                <w:szCs w:val="21"/>
                <w:highlight w:val="none"/>
                <w:lang w:val="en-US" w:eastAsia="zh-CN"/>
              </w:rPr>
              <w:t>垃圾委托环卫部门统一处理；烘干燃烧器</w:t>
            </w:r>
            <w:r>
              <w:rPr>
                <w:rFonts w:hint="eastAsia" w:cs="Times New Roman"/>
                <w:bCs/>
                <w:color w:val="auto"/>
                <w:sz w:val="21"/>
                <w:szCs w:val="21"/>
                <w:highlight w:val="none"/>
                <w:lang w:val="en-US" w:eastAsia="zh-CN"/>
              </w:rPr>
              <w:t>灰渣及烘干工序除尘器收尘</w:t>
            </w:r>
            <w:r>
              <w:rPr>
                <w:rFonts w:hint="default" w:ascii="Times New Roman" w:hAnsi="Times New Roman" w:eastAsia="宋体" w:cs="Times New Roman"/>
                <w:color w:val="auto"/>
                <w:sz w:val="21"/>
                <w:szCs w:val="21"/>
                <w:highlight w:val="none"/>
              </w:rPr>
              <w:t>集中收集</w:t>
            </w:r>
            <w:r>
              <w:rPr>
                <w:rFonts w:hint="eastAsia" w:ascii="Times New Roman" w:hAnsi="Times New Roman" w:eastAsia="宋体" w:cs="Times New Roman"/>
                <w:color w:val="auto"/>
                <w:sz w:val="21"/>
                <w:szCs w:val="21"/>
                <w:highlight w:val="none"/>
                <w:lang w:val="en-US" w:eastAsia="zh-CN"/>
              </w:rPr>
              <w:t>存储于灰渣间，</w:t>
            </w:r>
            <w:r>
              <w:rPr>
                <w:rFonts w:hint="default" w:ascii="Times New Roman" w:hAnsi="Times New Roman" w:eastAsia="宋体" w:cs="Times New Roman"/>
                <w:color w:val="auto"/>
                <w:sz w:val="21"/>
                <w:szCs w:val="21"/>
                <w:highlight w:val="none"/>
                <w:lang w:val="en-US" w:eastAsia="zh-CN"/>
              </w:rPr>
              <w:t>每</w:t>
            </w:r>
            <w:r>
              <w:rPr>
                <w:rFonts w:hint="eastAsia" w:cs="Times New Roman"/>
                <w:color w:val="auto"/>
                <w:sz w:val="21"/>
                <w:szCs w:val="21"/>
                <w:highlight w:val="none"/>
                <w:lang w:val="en-US" w:eastAsia="zh-CN"/>
              </w:rPr>
              <w:t>5</w:t>
            </w:r>
            <w:r>
              <w:rPr>
                <w:rFonts w:hint="default" w:ascii="Times New Roman" w:hAnsi="Times New Roman" w:eastAsia="宋体" w:cs="Times New Roman"/>
                <w:color w:val="auto"/>
                <w:sz w:val="21"/>
                <w:szCs w:val="21"/>
                <w:highlight w:val="none"/>
                <w:lang w:val="en-US" w:eastAsia="zh-CN"/>
              </w:rPr>
              <w:t>天清运1</w:t>
            </w:r>
            <w:r>
              <w:rPr>
                <w:rFonts w:hint="eastAsia" w:ascii="Times New Roman" w:hAnsi="Times New Roman" w:eastAsia="宋体" w:cs="Times New Roman"/>
                <w:color w:val="auto"/>
                <w:sz w:val="21"/>
                <w:szCs w:val="21"/>
                <w:highlight w:val="none"/>
                <w:lang w:val="en-US" w:eastAsia="zh-CN"/>
              </w:rPr>
              <w:t>次，不在厂区长期储存，</w:t>
            </w:r>
            <w:r>
              <w:rPr>
                <w:rFonts w:hint="eastAsia" w:cs="Times New Roman"/>
                <w:color w:val="auto"/>
                <w:sz w:val="21"/>
                <w:szCs w:val="21"/>
                <w:highlight w:val="none"/>
                <w:lang w:val="en-US" w:eastAsia="zh-CN"/>
              </w:rPr>
              <w:t>由周边农户作为肥料还田综合利用</w:t>
            </w:r>
            <w:r>
              <w:rPr>
                <w:rFonts w:hint="eastAsia" w:ascii="Times New Roman" w:hAnsi="Times New Roman" w:eastAsia="宋体" w:cs="Times New Roman"/>
                <w:color w:val="auto"/>
                <w:sz w:val="21"/>
                <w:szCs w:val="21"/>
                <w:highlight w:val="none"/>
                <w:lang w:val="en-US" w:eastAsia="zh-CN"/>
              </w:rPr>
              <w:t>；生产工序布袋除尘器收尘回用于生产线，杂质砂石等杂质外</w:t>
            </w:r>
            <w:r>
              <w:rPr>
                <w:rFonts w:hint="eastAsia" w:cs="Times New Roman"/>
                <w:color w:val="auto"/>
                <w:sz w:val="21"/>
                <w:szCs w:val="21"/>
                <w:highlight w:val="none"/>
                <w:lang w:val="en-US" w:eastAsia="zh-CN"/>
              </w:rPr>
              <w:t>送</w:t>
            </w:r>
            <w:r>
              <w:rPr>
                <w:rFonts w:hint="eastAsia" w:ascii="Times New Roman" w:hAnsi="Times New Roman" w:eastAsia="宋体" w:cs="Times New Roman"/>
                <w:color w:val="auto"/>
                <w:sz w:val="21"/>
                <w:szCs w:val="21"/>
                <w:highlight w:val="none"/>
                <w:lang w:val="en-US" w:eastAsia="zh-CN"/>
              </w:rPr>
              <w:t>建材企业综合利用，不合格产品，回用于生产；废布袋</w:t>
            </w:r>
            <w:r>
              <w:rPr>
                <w:rFonts w:hint="eastAsia" w:ascii="Times New Roman" w:hAnsi="Times New Roman" w:eastAsia="宋体" w:cs="Times New Roman"/>
                <w:color w:val="auto"/>
                <w:sz w:val="21"/>
                <w:szCs w:val="21"/>
                <w:highlight w:val="none"/>
              </w:rPr>
              <w:t>由除尘器厂家更换后直接带走</w:t>
            </w:r>
            <w:r>
              <w:rPr>
                <w:rFonts w:hint="default" w:ascii="Times New Roman" w:hAnsi="Times New Roman" w:eastAsia="宋体" w:cs="Times New Roman"/>
                <w:color w:val="auto"/>
                <w:sz w:val="21"/>
                <w:szCs w:val="21"/>
                <w:highlight w:val="none"/>
              </w:rPr>
              <w:t>。</w:t>
            </w:r>
          </w:p>
        </w:tc>
      </w:tr>
      <w:tr w14:paraId="57E0C62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31DDA2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土壤及地下水污染防治措施</w:t>
            </w:r>
          </w:p>
        </w:tc>
        <w:tc>
          <w:tcPr>
            <w:tcW w:w="4173" w:type="pct"/>
            <w:gridSpan w:val="4"/>
            <w:tcBorders>
              <w:tl2br w:val="nil"/>
              <w:tr2bl w:val="nil"/>
            </w:tcBorders>
            <w:vAlign w:val="center"/>
          </w:tcPr>
          <w:p w14:paraId="15757AA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rPr>
                <w:rFonts w:hint="default" w:ascii="Times New Roman" w:hAnsi="Times New Roman" w:eastAsia="宋体" w:cs="Times New Roman"/>
                <w:color w:val="auto"/>
                <w:kern w:val="21"/>
                <w:sz w:val="21"/>
                <w:szCs w:val="21"/>
                <w:highlight w:val="none"/>
                <w:lang w:val="en-US" w:eastAsia="zh-CN"/>
              </w:rPr>
            </w:pPr>
            <w:r>
              <w:rPr>
                <w:rFonts w:hint="eastAsia"/>
                <w:color w:val="auto"/>
                <w:sz w:val="21"/>
                <w:szCs w:val="21"/>
                <w:highlight w:val="none"/>
                <w:lang w:val="en-US" w:eastAsia="zh-CN"/>
              </w:rPr>
              <w:t>生产车间及热风炉房内均为水泥硬化地面，原料堆场采取简单硬化，原料上方苫布遮盖。</w:t>
            </w:r>
          </w:p>
        </w:tc>
      </w:tr>
      <w:tr w14:paraId="6DD96433">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5351936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生态保护措施</w:t>
            </w:r>
          </w:p>
        </w:tc>
        <w:tc>
          <w:tcPr>
            <w:tcW w:w="4173" w:type="pct"/>
            <w:gridSpan w:val="4"/>
            <w:tcBorders>
              <w:tl2br w:val="nil"/>
              <w:tr2bl w:val="nil"/>
            </w:tcBorders>
            <w:vAlign w:val="center"/>
          </w:tcPr>
          <w:p w14:paraId="0CEB81D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无</w:t>
            </w:r>
          </w:p>
        </w:tc>
      </w:tr>
      <w:tr w14:paraId="0CB24D2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54" w:hRule="atLeast"/>
          <w:jc w:val="center"/>
        </w:trPr>
        <w:tc>
          <w:tcPr>
            <w:tcW w:w="826" w:type="pct"/>
            <w:tcBorders>
              <w:tl2br w:val="nil"/>
              <w:tr2bl w:val="nil"/>
            </w:tcBorders>
            <w:vAlign w:val="center"/>
          </w:tcPr>
          <w:p w14:paraId="0102CB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环境风险防范措施</w:t>
            </w:r>
          </w:p>
        </w:tc>
        <w:tc>
          <w:tcPr>
            <w:tcW w:w="4173" w:type="pct"/>
            <w:gridSpan w:val="4"/>
            <w:tcBorders>
              <w:tl2br w:val="nil"/>
              <w:tr2bl w:val="nil"/>
            </w:tcBorders>
            <w:vAlign w:val="center"/>
          </w:tcPr>
          <w:p w14:paraId="4D2E3EEF">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both"/>
              <w:textAlignment w:val="auto"/>
              <w:rPr>
                <w:rFonts w:hint="eastAsia" w:eastAsia="宋体"/>
                <w:color w:val="auto"/>
                <w:szCs w:val="21"/>
                <w:highlight w:val="none"/>
                <w:lang w:val="en-US" w:eastAsia="zh-CN"/>
              </w:rPr>
            </w:pPr>
            <w:r>
              <w:rPr>
                <w:rFonts w:hint="eastAsia" w:ascii="宋体" w:hAnsi="宋体" w:eastAsia="宋体" w:cs="宋体"/>
                <w:color w:val="auto"/>
                <w:sz w:val="21"/>
                <w:szCs w:val="21"/>
                <w:highlight w:val="none"/>
                <w:lang w:val="en-US" w:eastAsia="zh-CN"/>
              </w:rPr>
              <w:t>厂区内</w:t>
            </w:r>
            <w:r>
              <w:rPr>
                <w:rFonts w:hint="default" w:ascii="宋体" w:hAnsi="宋体" w:eastAsia="宋体" w:cs="宋体"/>
                <w:color w:val="auto"/>
                <w:sz w:val="21"/>
                <w:szCs w:val="21"/>
                <w:highlight w:val="none"/>
                <w:lang w:val="en-US" w:eastAsia="zh-CN"/>
              </w:rPr>
              <w:t>按照《建筑灭火器配制设计规范》</w:t>
            </w:r>
            <w:r>
              <w:rPr>
                <w:rFonts w:hint="default" w:ascii="Times New Roman" w:hAnsi="Times New Roman" w:eastAsia="宋体" w:cs="Times New Roman"/>
                <w:color w:val="auto"/>
                <w:sz w:val="21"/>
                <w:szCs w:val="21"/>
                <w:highlight w:val="none"/>
                <w:lang w:val="en-US" w:eastAsia="zh-CN"/>
              </w:rPr>
              <w:t>（GB50140-2005</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，配置一</w:t>
            </w:r>
            <w:r>
              <w:rPr>
                <w:rFonts w:hint="default" w:ascii="宋体" w:hAnsi="宋体" w:eastAsia="宋体" w:cs="宋体"/>
                <w:color w:val="auto"/>
                <w:sz w:val="21"/>
                <w:szCs w:val="21"/>
                <w:highlight w:val="none"/>
                <w:lang w:val="en-US" w:eastAsia="zh-CN"/>
              </w:rPr>
              <w:t>定数量不同类型、不同规格的移动式灭火器材</w:t>
            </w:r>
            <w:r>
              <w:rPr>
                <w:rFonts w:hint="eastAsia" w:ascii="宋体" w:hAnsi="宋体" w:eastAsia="宋体" w:cs="宋体"/>
                <w:color w:val="auto"/>
                <w:sz w:val="21"/>
                <w:szCs w:val="21"/>
                <w:highlight w:val="none"/>
                <w:lang w:val="en-US" w:eastAsia="zh-CN"/>
              </w:rPr>
              <w:t>。加强职工安全教育，车间内禁止烟火，杜绝风险事故发生。车间安排专人负责看管并日常性巡查，每日对生产车间供电设施、</w:t>
            </w:r>
            <w:r>
              <w:rPr>
                <w:rFonts w:hint="default" w:ascii="Times New Roman" w:hAnsi="Times New Roman" w:eastAsia="宋体" w:cs="Times New Roman"/>
                <w:color w:val="auto"/>
                <w:sz w:val="21"/>
                <w:szCs w:val="21"/>
                <w:highlight w:val="none"/>
                <w:lang w:val="en-US" w:eastAsia="zh-CN"/>
              </w:rPr>
              <w:t>烘干用热设施、原料堆场、成品仓进行查看，避免火灾的引发。对生产车间</w:t>
            </w:r>
            <w:r>
              <w:rPr>
                <w:rFonts w:hint="default" w:ascii="Times New Roman" w:hAnsi="Times New Roman" w:eastAsia="宋体" w:cs="Times New Roman"/>
                <w:color w:val="auto"/>
                <w:sz w:val="21"/>
                <w:szCs w:val="21"/>
                <w:highlight w:val="none"/>
                <w:lang w:eastAsia="zh-CN"/>
              </w:rPr>
              <w:t>内粉尘污染防治措施定期检查，避免粉尘爆炸风险。</w:t>
            </w:r>
            <w:r>
              <w:rPr>
                <w:rFonts w:hint="default" w:ascii="Times New Roman" w:hAnsi="Times New Roman" w:eastAsia="宋体" w:cs="Times New Roman"/>
                <w:color w:val="auto"/>
                <w:sz w:val="21"/>
                <w:szCs w:val="21"/>
                <w:highlight w:val="none"/>
                <w:lang w:val="en-GB" w:eastAsia="zh-CN"/>
              </w:rPr>
              <w:t>厂房及各种功能建筑按照《建筑设计防火规范》（GB50016-20</w:t>
            </w:r>
            <w:r>
              <w:rPr>
                <w:rFonts w:hint="default" w:ascii="Times New Roman" w:hAnsi="Times New Roman" w:eastAsia="宋体" w:cs="Times New Roman"/>
                <w:color w:val="auto"/>
                <w:sz w:val="21"/>
                <w:szCs w:val="21"/>
                <w:highlight w:val="none"/>
                <w:lang w:val="en-US" w:eastAsia="zh-CN"/>
              </w:rPr>
              <w:t>14</w:t>
            </w:r>
            <w:r>
              <w:rPr>
                <w:rFonts w:hint="default" w:ascii="Times New Roman" w:hAnsi="Times New Roman" w:eastAsia="宋体" w:cs="Times New Roman"/>
                <w:color w:val="auto"/>
                <w:sz w:val="21"/>
                <w:szCs w:val="21"/>
                <w:highlight w:val="none"/>
                <w:lang w:val="en-GB" w:eastAsia="zh-CN"/>
              </w:rPr>
              <w:t>）进行规范</w:t>
            </w:r>
            <w:r>
              <w:rPr>
                <w:rFonts w:hint="default" w:ascii="宋体" w:hAnsi="宋体" w:eastAsia="宋体" w:cs="宋体"/>
                <w:color w:val="auto"/>
                <w:sz w:val="21"/>
                <w:szCs w:val="21"/>
                <w:highlight w:val="none"/>
                <w:lang w:val="en-GB" w:eastAsia="zh-CN"/>
              </w:rPr>
              <w:t>设计施工</w:t>
            </w:r>
            <w:r>
              <w:rPr>
                <w:rFonts w:hint="eastAsia" w:ascii="宋体" w:hAnsi="宋体" w:eastAsia="宋体" w:cs="宋体"/>
                <w:color w:val="auto"/>
                <w:sz w:val="21"/>
                <w:szCs w:val="21"/>
                <w:highlight w:val="none"/>
                <w:lang w:val="en-GB" w:eastAsia="zh-CN"/>
              </w:rPr>
              <w:t>，实际运营前，</w:t>
            </w:r>
            <w:r>
              <w:rPr>
                <w:rFonts w:hint="eastAsia" w:ascii="宋体" w:hAnsi="宋体" w:eastAsia="宋体" w:cs="宋体"/>
                <w:color w:val="auto"/>
                <w:sz w:val="21"/>
                <w:szCs w:val="21"/>
                <w:highlight w:val="none"/>
                <w:lang w:val="en-US" w:eastAsia="zh-CN"/>
              </w:rPr>
              <w:t>建设单位应制定突发环境事件应急预案，定期演练，建立环境事故应急响应体系，并建立与鸡西市突发环境事件应急预案的联动机制，对可能发生的事故采取相应的应急救援措施。</w:t>
            </w:r>
          </w:p>
        </w:tc>
      </w:tr>
      <w:tr w14:paraId="187736D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419" w:hRule="atLeast"/>
          <w:jc w:val="center"/>
        </w:trPr>
        <w:tc>
          <w:tcPr>
            <w:tcW w:w="826" w:type="pct"/>
            <w:tcBorders>
              <w:tl2br w:val="nil"/>
              <w:tr2bl w:val="nil"/>
            </w:tcBorders>
            <w:vAlign w:val="center"/>
          </w:tcPr>
          <w:p w14:paraId="4A07F89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color w:val="auto"/>
                <w:kern w:val="21"/>
                <w:sz w:val="21"/>
                <w:szCs w:val="21"/>
                <w:highlight w:val="none"/>
              </w:rPr>
            </w:pPr>
            <w:r>
              <w:rPr>
                <w:rFonts w:hint="default" w:ascii="Times New Roman" w:hAnsi="Times New Roman" w:eastAsia="宋体" w:cs="Times New Roman"/>
                <w:color w:val="auto"/>
                <w:kern w:val="21"/>
                <w:sz w:val="21"/>
                <w:szCs w:val="21"/>
                <w:highlight w:val="none"/>
              </w:rPr>
              <w:t>其他环境管理要求</w:t>
            </w:r>
          </w:p>
        </w:tc>
        <w:tc>
          <w:tcPr>
            <w:tcW w:w="4173" w:type="pct"/>
            <w:gridSpan w:val="4"/>
            <w:tcBorders>
              <w:tl2br w:val="nil"/>
              <w:tr2bl w:val="nil"/>
            </w:tcBorders>
            <w:vAlign w:val="center"/>
          </w:tcPr>
          <w:p w14:paraId="1590B2F4">
            <w:pPr>
              <w:keepNext w:val="0"/>
              <w:keepLines w:val="0"/>
              <w:pageBreakBefore w:val="0"/>
              <w:widowControl/>
              <w:suppressLineNumbers w:val="0"/>
              <w:kinsoku/>
              <w:wordWrap/>
              <w:overflowPunct/>
              <w:topLinePunct w:val="0"/>
              <w:autoSpaceDE/>
              <w:autoSpaceDN/>
              <w:bidi w:val="0"/>
              <w:spacing w:before="0" w:beforeAutospacing="0" w:after="0" w:afterAutospacing="0" w:line="240" w:lineRule="auto"/>
              <w:ind w:left="0" w:right="0"/>
              <w:jc w:val="both"/>
              <w:textAlignment w:val="auto"/>
              <w:rPr>
                <w:rFonts w:hint="eastAsia" w:ascii="Times New Roman" w:hAnsi="Times New Roman" w:eastAsia="宋体" w:cs="Times New Roman"/>
                <w:color w:val="auto"/>
                <w:kern w:val="21"/>
                <w:sz w:val="21"/>
                <w:szCs w:val="21"/>
                <w:highlight w:val="none"/>
                <w:lang w:val="en-US" w:eastAsia="zh-CN"/>
              </w:rPr>
            </w:pPr>
            <w:r>
              <w:rPr>
                <w:rFonts w:hint="eastAsia" w:ascii="宋体" w:hAnsi="宋体" w:eastAsia="宋体" w:cs="宋体"/>
                <w:color w:val="auto"/>
                <w:sz w:val="21"/>
                <w:szCs w:val="21"/>
                <w:highlight w:val="none"/>
              </w:rPr>
              <w:t>本项目投产运行前，应按照《固定污染源排污许可分类管理名录</w:t>
            </w:r>
            <w:r>
              <w:rPr>
                <w:rFonts w:hint="default" w:ascii="Times New Roman" w:hAnsi="Times New Roman" w:eastAsia="宋体" w:cs="Times New Roman"/>
                <w:color w:val="auto"/>
                <w:sz w:val="21"/>
                <w:szCs w:val="21"/>
                <w:highlight w:val="none"/>
              </w:rPr>
              <w:t>（2019年</w:t>
            </w:r>
            <w:r>
              <w:rPr>
                <w:rFonts w:hint="eastAsia" w:ascii="宋体" w:hAnsi="宋体" w:eastAsia="宋体" w:cs="宋体"/>
                <w:color w:val="auto"/>
                <w:sz w:val="21"/>
                <w:szCs w:val="21"/>
                <w:highlight w:val="none"/>
              </w:rPr>
              <w:t>版）》填报排污许可证。工作区内需指定专门的人员，在本项目实施时严格执行“三同时”制度，保证项目运营时三废均能得到有效处理后达标排放。在日常生产中，应加强环保管理，大力推行清洁生产，并加强职工对污染要“以防为主，防治结合”的认识。另外，应加强对设备运行状况的检查，特别是环保设施要做到定期检查，制定检查方案与实施计划，严防出故障，对三废处理装置要定期检修，以确保污染物达标排放。按照相关要求，对排污口进行规范化管理，在正确的排放点位设置标识，以便进行自行验收和规范化管理</w:t>
            </w:r>
            <w:r>
              <w:rPr>
                <w:rFonts w:hint="eastAsia" w:ascii="宋体" w:hAnsi="宋体" w:eastAsia="宋体" w:cs="宋体"/>
                <w:color w:val="auto"/>
                <w:sz w:val="21"/>
                <w:szCs w:val="21"/>
                <w:highlight w:val="none"/>
                <w:lang w:eastAsia="zh-CN"/>
              </w:rPr>
              <w:t>。</w:t>
            </w:r>
          </w:p>
        </w:tc>
      </w:tr>
    </w:tbl>
    <w:p w14:paraId="14506D68">
      <w:pPr>
        <w:pStyle w:val="30"/>
        <w:spacing w:before="0" w:beforeAutospacing="0" w:after="158" w:afterLines="50" w:afterAutospacing="0"/>
        <w:jc w:val="center"/>
        <w:outlineLvl w:val="0"/>
        <w:rPr>
          <w:rFonts w:hint="eastAsia" w:ascii="宋体" w:hAnsi="宋体" w:eastAsia="宋体" w:cs="宋体"/>
          <w:snapToGrid w:val="0"/>
          <w:color w:val="auto"/>
          <w:kern w:val="21"/>
          <w:sz w:val="30"/>
          <w:szCs w:val="30"/>
          <w:highlight w:val="none"/>
        </w:rPr>
      </w:pPr>
      <w:r>
        <w:rPr>
          <w:rFonts w:hint="default" w:ascii="Times New Roman" w:hAnsi="Times New Roman" w:eastAsia="黑体" w:cs="Times New Roman"/>
          <w:snapToGrid w:val="0"/>
          <w:color w:val="auto"/>
          <w:sz w:val="30"/>
          <w:szCs w:val="30"/>
          <w:highlight w:val="none"/>
        </w:rPr>
        <w:br w:type="page"/>
      </w:r>
      <w:bookmarkStart w:id="9" w:name="_Toc19724"/>
      <w:r>
        <w:rPr>
          <w:rFonts w:hint="eastAsia" w:ascii="宋体" w:hAnsi="宋体" w:eastAsia="宋体" w:cs="宋体"/>
          <w:snapToGrid w:val="0"/>
          <w:color w:val="auto"/>
          <w:kern w:val="21"/>
          <w:sz w:val="30"/>
          <w:szCs w:val="30"/>
          <w:highlight w:val="none"/>
        </w:rPr>
        <w:t>六、结论</w:t>
      </w:r>
      <w:bookmarkEnd w:id="9"/>
    </w:p>
    <w:tbl>
      <w:tblPr>
        <w:tblStyle w:val="34"/>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03"/>
      </w:tblGrid>
      <w:tr w14:paraId="55D2EB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68" w:hRule="atLeast"/>
          <w:jc w:val="center"/>
        </w:trPr>
        <w:tc>
          <w:tcPr>
            <w:tcW w:w="5000" w:type="pct"/>
            <w:vAlign w:val="top"/>
          </w:tcPr>
          <w:p w14:paraId="28B0EC5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jc w:val="both"/>
              <w:textAlignment w:val="auto"/>
              <w:rPr>
                <w:rFonts w:hint="default" w:ascii="Times New Roman" w:hAnsi="Times New Roman" w:cs="Times New Roman"/>
                <w:color w:val="auto"/>
                <w:szCs w:val="21"/>
                <w:highlight w:val="none"/>
              </w:rPr>
            </w:pPr>
            <w:r>
              <w:rPr>
                <w:rFonts w:hint="eastAsia"/>
                <w:color w:val="auto"/>
                <w:szCs w:val="21"/>
                <w:highlight w:val="none"/>
              </w:rPr>
              <w:t>本</w:t>
            </w:r>
            <w:r>
              <w:rPr>
                <w:rFonts w:hint="default"/>
                <w:color w:val="auto"/>
                <w:szCs w:val="21"/>
                <w:highlight w:val="none"/>
              </w:rPr>
              <w:t>项目符合国家产业政策，环保治理措施技术可行、污染物达标排放。企业在确实落实各项治理措施的情况下，在环保方面是可行的。</w:t>
            </w:r>
          </w:p>
        </w:tc>
      </w:tr>
    </w:tbl>
    <w:p w14:paraId="39217A4A">
      <w:pPr>
        <w:pStyle w:val="30"/>
        <w:spacing w:before="0" w:beforeAutospacing="0" w:after="158" w:afterLines="50" w:afterAutospacing="0"/>
        <w:outlineLvl w:val="0"/>
        <w:rPr>
          <w:rFonts w:hint="default" w:ascii="Times New Roman" w:hAnsi="Times New Roman" w:eastAsia="黑体" w:cs="Times New Roman"/>
          <w:snapToGrid w:val="0"/>
          <w:color w:val="auto"/>
          <w:sz w:val="32"/>
          <w:szCs w:val="32"/>
          <w:highlight w:val="none"/>
        </w:rPr>
        <w:sectPr>
          <w:footerReference r:id="rId5" w:type="default"/>
          <w:pgSz w:w="11849" w:h="16781"/>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2F01EF9D">
      <w:pPr>
        <w:pStyle w:val="30"/>
        <w:keepNext w:val="0"/>
        <w:keepLines w:val="0"/>
        <w:pageBreakBefore w:val="0"/>
        <w:widowControl/>
        <w:kinsoku/>
        <w:wordWrap/>
        <w:overflowPunct/>
        <w:topLinePunct w:val="0"/>
        <w:autoSpaceDE/>
        <w:autoSpaceDN/>
        <w:bidi w:val="0"/>
        <w:adjustRightInd/>
        <w:snapToGrid/>
        <w:spacing w:before="0" w:beforeAutospacing="0" w:after="0" w:afterAutospacing="0"/>
        <w:jc w:val="both"/>
        <w:textAlignment w:val="auto"/>
        <w:outlineLvl w:val="0"/>
        <w:rPr>
          <w:rFonts w:hint="eastAsia" w:ascii="宋体" w:hAnsi="宋体" w:eastAsia="宋体" w:cs="宋体"/>
          <w:snapToGrid w:val="0"/>
          <w:color w:val="auto"/>
          <w:kern w:val="21"/>
          <w:sz w:val="30"/>
          <w:szCs w:val="30"/>
          <w:highlight w:val="none"/>
        </w:rPr>
      </w:pPr>
      <w:bookmarkStart w:id="10" w:name="_Toc17733"/>
      <w:r>
        <w:rPr>
          <w:rFonts w:hint="eastAsia" w:ascii="宋体" w:hAnsi="宋体" w:eastAsia="宋体" w:cs="宋体"/>
          <w:snapToGrid w:val="0"/>
          <w:color w:val="auto"/>
          <w:kern w:val="21"/>
          <w:sz w:val="30"/>
          <w:szCs w:val="30"/>
          <w:highlight w:val="none"/>
        </w:rPr>
        <w:t>附表</w:t>
      </w:r>
      <w:bookmarkEnd w:id="10"/>
    </w:p>
    <w:p w14:paraId="58FE0300">
      <w:pPr>
        <w:pStyle w:val="30"/>
        <w:keepNext w:val="0"/>
        <w:keepLines w:val="0"/>
        <w:pageBreakBefore w:val="0"/>
        <w:widowControl/>
        <w:kinsoku/>
        <w:wordWrap/>
        <w:overflowPunct/>
        <w:topLinePunct w:val="0"/>
        <w:autoSpaceDE/>
        <w:autoSpaceDN/>
        <w:bidi w:val="0"/>
        <w:adjustRightInd/>
        <w:snapToGrid/>
        <w:spacing w:before="0" w:beforeAutospacing="0" w:after="0" w:afterAutospacing="0"/>
        <w:jc w:val="center"/>
        <w:textAlignment w:val="auto"/>
        <w:rPr>
          <w:rFonts w:hint="eastAsia" w:ascii="宋体" w:hAnsi="宋体" w:eastAsia="宋体" w:cs="宋体"/>
          <w:snapToGrid w:val="0"/>
          <w:color w:val="auto"/>
          <w:kern w:val="21"/>
          <w:sz w:val="30"/>
          <w:szCs w:val="38"/>
          <w:highlight w:val="none"/>
          <w:lang w:eastAsia="zh-CN"/>
        </w:rPr>
      </w:pPr>
      <w:r>
        <w:rPr>
          <w:rFonts w:hint="eastAsia" w:ascii="宋体" w:hAnsi="宋体" w:eastAsia="宋体" w:cs="宋体"/>
          <w:snapToGrid w:val="0"/>
          <w:color w:val="auto"/>
          <w:kern w:val="21"/>
          <w:sz w:val="30"/>
          <w:szCs w:val="38"/>
          <w:highlight w:val="none"/>
        </w:rPr>
        <w:t>建设项目污染物排放量汇总表</w:t>
      </w:r>
    </w:p>
    <w:tbl>
      <w:tblPr>
        <w:tblStyle w:val="34"/>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17"/>
        <w:gridCol w:w="2697"/>
        <w:gridCol w:w="1364"/>
        <w:gridCol w:w="1296"/>
        <w:gridCol w:w="1409"/>
        <w:gridCol w:w="1559"/>
        <w:gridCol w:w="1535"/>
        <w:gridCol w:w="1720"/>
        <w:gridCol w:w="1291"/>
      </w:tblGrid>
      <w:tr w14:paraId="5911BC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17" w:hRule="atLeast"/>
          <w:jc w:val="center"/>
        </w:trPr>
        <w:tc>
          <w:tcPr>
            <w:tcW w:w="917" w:type="dxa"/>
            <w:tcBorders>
              <w:tl2br w:val="single" w:color="auto" w:sz="4" w:space="0"/>
            </w:tcBorders>
            <w:tcMar>
              <w:left w:w="28" w:type="dxa"/>
              <w:right w:w="28" w:type="dxa"/>
            </w:tcMar>
            <w:vAlign w:val="center"/>
          </w:tcPr>
          <w:p w14:paraId="6C734B09">
            <w:pPr>
              <w:pStyle w:val="66"/>
              <w:keepNext w:val="0"/>
              <w:keepLines w:val="0"/>
              <w:suppressLineNumbers w:val="0"/>
              <w:spacing w:before="0" w:beforeLines="0" w:beforeAutospacing="0" w:after="0" w:afterLines="0" w:afterAutospacing="0" w:line="240" w:lineRule="auto"/>
              <w:ind w:left="0" w:right="0" w:firstLine="0" w:firstLineChars="0"/>
              <w:jc w:val="right"/>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项目</w:t>
            </w:r>
          </w:p>
          <w:p w14:paraId="09329D1C">
            <w:pPr>
              <w:pStyle w:val="66"/>
              <w:keepNext w:val="0"/>
              <w:keepLines w:val="0"/>
              <w:suppressLineNumbers w:val="0"/>
              <w:spacing w:before="0" w:beforeLines="0" w:beforeAutospacing="0" w:after="0" w:afterLines="0" w:afterAutospacing="0" w:line="240" w:lineRule="auto"/>
              <w:ind w:left="0" w:right="0" w:firstLine="0" w:firstLineChars="0"/>
              <w:jc w:val="both"/>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分类</w:t>
            </w:r>
          </w:p>
        </w:tc>
        <w:tc>
          <w:tcPr>
            <w:tcW w:w="2697" w:type="dxa"/>
            <w:tcMar>
              <w:left w:w="28" w:type="dxa"/>
              <w:right w:w="28" w:type="dxa"/>
            </w:tcMar>
            <w:vAlign w:val="center"/>
          </w:tcPr>
          <w:p w14:paraId="06987B1B">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污染物名称</w:t>
            </w:r>
          </w:p>
        </w:tc>
        <w:tc>
          <w:tcPr>
            <w:tcW w:w="1364" w:type="dxa"/>
            <w:tcMar>
              <w:left w:w="28" w:type="dxa"/>
              <w:right w:w="28" w:type="dxa"/>
            </w:tcMar>
            <w:vAlign w:val="center"/>
          </w:tcPr>
          <w:p w14:paraId="02D95E18">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现有工程</w:t>
            </w:r>
          </w:p>
          <w:p w14:paraId="0B8281B7">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排放量（固体废物产生量）</w:t>
            </w: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①</w:t>
            </w:r>
            <w:r>
              <w:rPr>
                <w:rFonts w:hint="default" w:ascii="Times New Roman" w:hAnsi="Times New Roman" w:eastAsia="宋体" w:cs="Times New Roman"/>
                <w:snapToGrid w:val="0"/>
                <w:color w:val="auto"/>
                <w:spacing w:val="-6"/>
                <w:kern w:val="21"/>
                <w:sz w:val="21"/>
                <w:szCs w:val="21"/>
                <w:highlight w:val="none"/>
              </w:rPr>
              <w:fldChar w:fldCharType="end"/>
            </w:r>
          </w:p>
        </w:tc>
        <w:tc>
          <w:tcPr>
            <w:tcW w:w="1296" w:type="dxa"/>
            <w:tcMar>
              <w:left w:w="28" w:type="dxa"/>
              <w:right w:w="28" w:type="dxa"/>
            </w:tcMar>
            <w:vAlign w:val="center"/>
          </w:tcPr>
          <w:p w14:paraId="424ADDF7">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现有工程</w:t>
            </w:r>
          </w:p>
          <w:p w14:paraId="7C4C4CDE">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许可排放量</w:t>
            </w:r>
          </w:p>
          <w:p w14:paraId="19960985">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2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snapToGrid w:val="0"/>
                <w:color w:val="auto"/>
                <w:spacing w:val="-6"/>
                <w:kern w:val="21"/>
                <w:sz w:val="21"/>
                <w:szCs w:val="21"/>
                <w:highlight w:val="none"/>
              </w:rPr>
              <w:t>②</w:t>
            </w:r>
            <w:r>
              <w:rPr>
                <w:rFonts w:hint="default" w:ascii="Times New Roman" w:hAnsi="Times New Roman" w:eastAsia="宋体" w:cs="Times New Roman"/>
                <w:snapToGrid w:val="0"/>
                <w:color w:val="auto"/>
                <w:spacing w:val="-6"/>
                <w:kern w:val="21"/>
                <w:sz w:val="21"/>
                <w:szCs w:val="21"/>
                <w:highlight w:val="none"/>
              </w:rPr>
              <w:fldChar w:fldCharType="end"/>
            </w:r>
          </w:p>
        </w:tc>
        <w:tc>
          <w:tcPr>
            <w:tcW w:w="1409" w:type="dxa"/>
            <w:tcMar>
              <w:left w:w="28" w:type="dxa"/>
              <w:right w:w="28" w:type="dxa"/>
            </w:tcMar>
            <w:vAlign w:val="center"/>
          </w:tcPr>
          <w:p w14:paraId="4879F77E">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在建工程</w:t>
            </w:r>
          </w:p>
          <w:p w14:paraId="07F255DC">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排放量（固体废物产生量）</w:t>
            </w: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3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③</w:t>
            </w:r>
            <w:r>
              <w:rPr>
                <w:rFonts w:hint="default" w:ascii="Times New Roman" w:hAnsi="Times New Roman" w:eastAsia="宋体" w:cs="Times New Roman"/>
                <w:snapToGrid w:val="0"/>
                <w:color w:val="auto"/>
                <w:spacing w:val="-6"/>
                <w:kern w:val="21"/>
                <w:sz w:val="21"/>
                <w:szCs w:val="21"/>
                <w:highlight w:val="none"/>
              </w:rPr>
              <w:fldChar w:fldCharType="end"/>
            </w:r>
          </w:p>
        </w:tc>
        <w:tc>
          <w:tcPr>
            <w:tcW w:w="1559" w:type="dxa"/>
            <w:tcMar>
              <w:left w:w="28" w:type="dxa"/>
              <w:right w:w="28" w:type="dxa"/>
            </w:tcMar>
            <w:vAlign w:val="center"/>
          </w:tcPr>
          <w:p w14:paraId="2F53EA7B">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本项目</w:t>
            </w:r>
          </w:p>
          <w:p w14:paraId="45662C1E">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排放量（固体废物产生量）</w:t>
            </w: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④</w:t>
            </w:r>
            <w:r>
              <w:rPr>
                <w:rFonts w:hint="default" w:ascii="Times New Roman" w:hAnsi="Times New Roman" w:eastAsia="宋体" w:cs="Times New Roman"/>
                <w:snapToGrid w:val="0"/>
                <w:color w:val="auto"/>
                <w:spacing w:val="-6"/>
                <w:kern w:val="21"/>
                <w:sz w:val="21"/>
                <w:szCs w:val="21"/>
                <w:highlight w:val="none"/>
              </w:rPr>
              <w:fldChar w:fldCharType="end"/>
            </w:r>
          </w:p>
        </w:tc>
        <w:tc>
          <w:tcPr>
            <w:tcW w:w="1535" w:type="dxa"/>
            <w:tcMar>
              <w:left w:w="28" w:type="dxa"/>
              <w:right w:w="28" w:type="dxa"/>
            </w:tcMar>
            <w:vAlign w:val="center"/>
          </w:tcPr>
          <w:p w14:paraId="1045942C">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以新带老削减量</w:t>
            </w:r>
          </w:p>
          <w:p w14:paraId="61DD5934">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（新建项目不填）</w:t>
            </w:r>
            <w:r>
              <w:rPr>
                <w:rFonts w:hint="default" w:ascii="Times New Roman" w:hAnsi="Times New Roman" w:eastAsia="宋体" w:cs="Times New Roman"/>
                <w:snapToGrid w:val="0"/>
                <w:color w:val="auto"/>
                <w:spacing w:val="-16"/>
                <w:kern w:val="21"/>
                <w:sz w:val="21"/>
                <w:szCs w:val="21"/>
                <w:highlight w:val="none"/>
              </w:rPr>
              <w:fldChar w:fldCharType="begin"/>
            </w:r>
            <w:r>
              <w:rPr>
                <w:rFonts w:hint="default" w:ascii="Times New Roman" w:hAnsi="Times New Roman" w:eastAsia="宋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⑤</w:t>
            </w:r>
            <w:r>
              <w:rPr>
                <w:rFonts w:hint="default" w:ascii="Times New Roman" w:hAnsi="Times New Roman" w:eastAsia="宋体" w:cs="Times New Roman"/>
                <w:snapToGrid w:val="0"/>
                <w:color w:val="auto"/>
                <w:spacing w:val="-16"/>
                <w:kern w:val="21"/>
                <w:sz w:val="21"/>
                <w:szCs w:val="21"/>
                <w:highlight w:val="none"/>
              </w:rPr>
              <w:fldChar w:fldCharType="end"/>
            </w:r>
          </w:p>
        </w:tc>
        <w:tc>
          <w:tcPr>
            <w:tcW w:w="1720" w:type="dxa"/>
            <w:tcMar>
              <w:left w:w="28" w:type="dxa"/>
              <w:right w:w="28" w:type="dxa"/>
            </w:tcMar>
            <w:vAlign w:val="center"/>
          </w:tcPr>
          <w:p w14:paraId="18642312">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本项目建成后</w:t>
            </w:r>
          </w:p>
          <w:p w14:paraId="54F4803C">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全厂排放量（固体废物产生量）</w:t>
            </w:r>
            <w:r>
              <w:rPr>
                <w:rFonts w:hint="default" w:ascii="Times New Roman" w:hAnsi="Times New Roman" w:eastAsia="宋体" w:cs="Times New Roman"/>
                <w:snapToGrid w:val="0"/>
                <w:color w:val="auto"/>
                <w:spacing w:val="-16"/>
                <w:kern w:val="21"/>
                <w:sz w:val="21"/>
                <w:szCs w:val="21"/>
                <w:highlight w:val="none"/>
              </w:rPr>
              <w:fldChar w:fldCharType="begin"/>
            </w:r>
            <w:r>
              <w:rPr>
                <w:rFonts w:hint="default" w:ascii="Times New Roman" w:hAnsi="Times New Roman" w:eastAsia="宋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⑥</w:t>
            </w:r>
            <w:r>
              <w:rPr>
                <w:rFonts w:hint="default" w:ascii="Times New Roman" w:hAnsi="Times New Roman" w:eastAsia="宋体" w:cs="Times New Roman"/>
                <w:snapToGrid w:val="0"/>
                <w:color w:val="auto"/>
                <w:spacing w:val="-16"/>
                <w:kern w:val="21"/>
                <w:sz w:val="21"/>
                <w:szCs w:val="21"/>
                <w:highlight w:val="none"/>
              </w:rPr>
              <w:fldChar w:fldCharType="end"/>
            </w:r>
          </w:p>
        </w:tc>
        <w:tc>
          <w:tcPr>
            <w:tcW w:w="1291" w:type="dxa"/>
            <w:tcMar>
              <w:left w:w="28" w:type="dxa"/>
              <w:right w:w="28" w:type="dxa"/>
            </w:tcMar>
            <w:vAlign w:val="center"/>
          </w:tcPr>
          <w:p w14:paraId="1987F541">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变化量</w:t>
            </w:r>
          </w:p>
          <w:p w14:paraId="071395AD">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⑦</w:t>
            </w:r>
            <w:r>
              <w:rPr>
                <w:rFonts w:hint="default" w:ascii="Times New Roman" w:hAnsi="Times New Roman" w:eastAsia="宋体" w:cs="Times New Roman"/>
                <w:snapToGrid w:val="0"/>
                <w:color w:val="auto"/>
                <w:spacing w:val="-6"/>
                <w:kern w:val="21"/>
                <w:sz w:val="21"/>
                <w:szCs w:val="21"/>
                <w:highlight w:val="none"/>
              </w:rPr>
              <w:fldChar w:fldCharType="end"/>
            </w:r>
          </w:p>
        </w:tc>
      </w:tr>
      <w:tr w14:paraId="5AB53E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restart"/>
            <w:vAlign w:val="center"/>
          </w:tcPr>
          <w:p w14:paraId="075E0340">
            <w:pPr>
              <w:pStyle w:val="66"/>
              <w:keepNext w:val="0"/>
              <w:keepLines w:val="0"/>
              <w:suppressLineNumbers w:val="0"/>
              <w:spacing w:before="0" w:beforeLines="0" w:beforeAutospacing="0" w:after="0" w:afterLines="0" w:afterAutospacing="0" w:line="240" w:lineRule="auto"/>
              <w:ind w:left="0" w:right="0" w:firstLine="0" w:firstLineChars="0"/>
              <w:rPr>
                <w:rFonts w:hint="eastAsia" w:ascii="Times New Roman" w:hAnsi="Times New Roman" w:eastAsia="宋体" w:cs="Times New Roman"/>
                <w:snapToGrid w:val="0"/>
                <w:color w:val="auto"/>
                <w:kern w:val="21"/>
                <w:sz w:val="21"/>
                <w:szCs w:val="21"/>
                <w:highlight w:val="none"/>
                <w:lang w:val="en-US" w:eastAsia="zh-CN"/>
              </w:rPr>
            </w:pPr>
            <w:r>
              <w:rPr>
                <w:rFonts w:hint="eastAsia" w:ascii="Times New Roman" w:cs="Times New Roman"/>
                <w:snapToGrid w:val="0"/>
                <w:color w:val="auto"/>
                <w:kern w:val="21"/>
                <w:sz w:val="21"/>
                <w:szCs w:val="21"/>
                <w:highlight w:val="none"/>
                <w:lang w:val="en-US" w:eastAsia="zh-CN"/>
              </w:rPr>
              <w:t>废气</w:t>
            </w:r>
          </w:p>
        </w:tc>
        <w:tc>
          <w:tcPr>
            <w:tcW w:w="2697" w:type="dxa"/>
            <w:vAlign w:val="center"/>
          </w:tcPr>
          <w:p w14:paraId="5D7C0D2D">
            <w:pPr>
              <w:keepNext w:val="0"/>
              <w:keepLines w:val="0"/>
              <w:suppressLineNumbers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rPr>
              <w:t>颗粒物</w:t>
            </w:r>
          </w:p>
        </w:tc>
        <w:tc>
          <w:tcPr>
            <w:tcW w:w="1364" w:type="dxa"/>
            <w:vAlign w:val="center"/>
          </w:tcPr>
          <w:p w14:paraId="7B393350">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14:paraId="3E8C3432">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3517A02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1EBE1875">
            <w:pPr>
              <w:keepNext w:val="0"/>
              <w:keepLines w:val="0"/>
              <w:suppressLineNumbers w:val="0"/>
              <w:autoSpaceDE w:val="0"/>
              <w:autoSpaceDN w:val="0"/>
              <w:adjustRightInd w:val="0"/>
              <w:spacing w:before="0" w:beforeAutospacing="0" w:after="0" w:afterAutospacing="0"/>
              <w:ind w:left="0" w:leftChars="0" w:right="0" w:rightChars="0"/>
              <w:jc w:val="center"/>
              <w:textAlignment w:val="bottom"/>
              <w:rPr>
                <w:rFonts w:hint="default" w:ascii="Times New Roman" w:hAnsi="Times New Roman" w:eastAsia="宋体" w:cs="Times New Roman"/>
                <w:color w:val="auto"/>
                <w:sz w:val="21"/>
                <w:szCs w:val="21"/>
                <w:highlight w:val="none"/>
                <w:lang w:val="en-US" w:eastAsia="zh-CN"/>
              </w:rPr>
            </w:pPr>
            <w:r>
              <w:rPr>
                <w:rFonts w:hint="eastAsia"/>
                <w:color w:val="auto"/>
                <w:kern w:val="2"/>
                <w:sz w:val="21"/>
                <w:szCs w:val="21"/>
                <w:highlight w:val="none"/>
                <w:lang w:val="en-US" w:eastAsia="zh-CN" w:bidi="zh-CN"/>
              </w:rPr>
              <w:t>4.258</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710748DE">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720" w:type="dxa"/>
            <w:vAlign w:val="center"/>
          </w:tcPr>
          <w:p w14:paraId="5A871B74">
            <w:pPr>
              <w:keepNext w:val="0"/>
              <w:keepLines w:val="0"/>
              <w:suppressLineNumbers w:val="0"/>
              <w:autoSpaceDE w:val="0"/>
              <w:autoSpaceDN w:val="0"/>
              <w:adjustRightInd w:val="0"/>
              <w:spacing w:before="0" w:beforeAutospacing="0" w:after="0" w:afterAutospacing="0"/>
              <w:ind w:left="0" w:leftChars="0" w:right="0" w:rightChars="0"/>
              <w:jc w:val="center"/>
              <w:textAlignment w:val="bottom"/>
              <w:rPr>
                <w:rFonts w:hint="default" w:ascii="Times New Roman" w:hAnsi="Times New Roman" w:cs="Times New Roman"/>
                <w:color w:val="auto"/>
                <w:sz w:val="21"/>
                <w:szCs w:val="21"/>
                <w:highlight w:val="none"/>
              </w:rPr>
            </w:pPr>
            <w:r>
              <w:rPr>
                <w:rFonts w:hint="eastAsia"/>
                <w:color w:val="auto"/>
                <w:kern w:val="2"/>
                <w:sz w:val="21"/>
                <w:szCs w:val="21"/>
                <w:highlight w:val="none"/>
                <w:lang w:val="en-US" w:eastAsia="zh-CN" w:bidi="zh-CN"/>
              </w:rPr>
              <w:t>4.258</w:t>
            </w:r>
            <w:r>
              <w:rPr>
                <w:rFonts w:hint="default" w:ascii="Times New Roman" w:hAnsi="Times New Roman" w:eastAsia="宋体" w:cs="Times New Roman"/>
                <w:snapToGrid w:val="0"/>
                <w:color w:val="auto"/>
                <w:kern w:val="21"/>
                <w:sz w:val="21"/>
                <w:szCs w:val="21"/>
                <w:highlight w:val="none"/>
                <w:lang w:val="en-US" w:eastAsia="zh-CN"/>
              </w:rPr>
              <w:t>t/a</w:t>
            </w:r>
          </w:p>
        </w:tc>
        <w:tc>
          <w:tcPr>
            <w:tcW w:w="1291" w:type="dxa"/>
            <w:vAlign w:val="center"/>
          </w:tcPr>
          <w:p w14:paraId="7C235277">
            <w:pPr>
              <w:keepNext w:val="0"/>
              <w:keepLines w:val="0"/>
              <w:suppressLineNumbers w:val="0"/>
              <w:autoSpaceDE w:val="0"/>
              <w:autoSpaceDN w:val="0"/>
              <w:adjustRightInd w:val="0"/>
              <w:spacing w:before="0" w:beforeAutospacing="0" w:after="0" w:afterAutospacing="0"/>
              <w:ind w:left="0" w:leftChars="0" w:right="0" w:rightChars="0"/>
              <w:jc w:val="center"/>
              <w:textAlignment w:val="bottom"/>
              <w:rPr>
                <w:rFonts w:hint="default" w:ascii="Times New Roman" w:hAnsi="Times New Roman" w:cs="Times New Roman"/>
                <w:color w:val="auto"/>
                <w:sz w:val="21"/>
                <w:szCs w:val="21"/>
                <w:highlight w:val="none"/>
              </w:rPr>
            </w:pPr>
            <w:r>
              <w:rPr>
                <w:rFonts w:hint="eastAsia"/>
                <w:color w:val="auto"/>
                <w:kern w:val="2"/>
                <w:sz w:val="21"/>
                <w:szCs w:val="21"/>
                <w:highlight w:val="none"/>
                <w:lang w:val="en-US" w:eastAsia="zh-CN" w:bidi="zh-CN"/>
              </w:rPr>
              <w:t>+4.258</w:t>
            </w:r>
            <w:r>
              <w:rPr>
                <w:rFonts w:hint="default" w:ascii="Times New Roman" w:hAnsi="Times New Roman" w:eastAsia="宋体" w:cs="Times New Roman"/>
                <w:snapToGrid w:val="0"/>
                <w:color w:val="auto"/>
                <w:kern w:val="21"/>
                <w:sz w:val="21"/>
                <w:szCs w:val="21"/>
                <w:highlight w:val="none"/>
                <w:lang w:val="en-US" w:eastAsia="zh-CN"/>
              </w:rPr>
              <w:t>t/a</w:t>
            </w:r>
          </w:p>
        </w:tc>
      </w:tr>
      <w:tr w14:paraId="17BA9F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917" w:type="dxa"/>
            <w:vMerge w:val="continue"/>
            <w:vAlign w:val="center"/>
          </w:tcPr>
          <w:p w14:paraId="104B1555">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697" w:type="dxa"/>
            <w:vAlign w:val="center"/>
          </w:tcPr>
          <w:p w14:paraId="22BB74B8">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p>
        </w:tc>
        <w:tc>
          <w:tcPr>
            <w:tcW w:w="1364" w:type="dxa"/>
            <w:vAlign w:val="center"/>
          </w:tcPr>
          <w:p w14:paraId="5FF68A4B">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14:paraId="78C310C4">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5424CB0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4A89C0A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position w:val="0"/>
                <w:sz w:val="21"/>
                <w:szCs w:val="21"/>
                <w:highlight w:val="none"/>
                <w:lang w:val="en-US" w:eastAsia="zh-CN"/>
              </w:rPr>
              <w:t>2.182</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377D414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20" w:type="dxa"/>
            <w:vAlign w:val="center"/>
          </w:tcPr>
          <w:p w14:paraId="1F02BBE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cs="Times New Roman"/>
                <w:color w:val="auto"/>
                <w:sz w:val="21"/>
                <w:szCs w:val="21"/>
                <w:highlight w:val="none"/>
              </w:rPr>
            </w:pPr>
            <w:r>
              <w:rPr>
                <w:rFonts w:hint="eastAsia" w:cs="Times New Roman"/>
                <w:color w:val="auto"/>
                <w:position w:val="0"/>
                <w:sz w:val="21"/>
                <w:szCs w:val="21"/>
                <w:highlight w:val="none"/>
                <w:lang w:val="en-US" w:eastAsia="zh-CN"/>
              </w:rPr>
              <w:t>2.182</w:t>
            </w:r>
            <w:r>
              <w:rPr>
                <w:rFonts w:hint="default" w:ascii="Times New Roman" w:hAnsi="Times New Roman" w:eastAsia="宋体" w:cs="Times New Roman"/>
                <w:snapToGrid w:val="0"/>
                <w:color w:val="auto"/>
                <w:kern w:val="21"/>
                <w:sz w:val="21"/>
                <w:szCs w:val="21"/>
                <w:highlight w:val="none"/>
                <w:lang w:val="en-US" w:eastAsia="zh-CN"/>
              </w:rPr>
              <w:t>t/a</w:t>
            </w:r>
          </w:p>
        </w:tc>
        <w:tc>
          <w:tcPr>
            <w:tcW w:w="1291" w:type="dxa"/>
            <w:vAlign w:val="center"/>
          </w:tcPr>
          <w:p w14:paraId="3E9D4E1B">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cs="Times New Roman"/>
                <w:color w:val="auto"/>
                <w:sz w:val="21"/>
                <w:szCs w:val="21"/>
                <w:highlight w:val="none"/>
              </w:rPr>
            </w:pPr>
            <w:r>
              <w:rPr>
                <w:rFonts w:hint="eastAsia" w:cs="Times New Roman"/>
                <w:color w:val="auto"/>
                <w:position w:val="0"/>
                <w:sz w:val="21"/>
                <w:szCs w:val="21"/>
                <w:highlight w:val="none"/>
                <w:lang w:val="en-US" w:eastAsia="zh-CN"/>
              </w:rPr>
              <w:t>+2.182</w:t>
            </w:r>
            <w:r>
              <w:rPr>
                <w:rFonts w:hint="default" w:ascii="Times New Roman" w:hAnsi="Times New Roman" w:eastAsia="宋体" w:cs="Times New Roman"/>
                <w:snapToGrid w:val="0"/>
                <w:color w:val="auto"/>
                <w:kern w:val="21"/>
                <w:sz w:val="21"/>
                <w:szCs w:val="21"/>
                <w:highlight w:val="none"/>
                <w:lang w:val="en-US" w:eastAsia="zh-CN"/>
              </w:rPr>
              <w:t>t/a</w:t>
            </w:r>
          </w:p>
        </w:tc>
      </w:tr>
      <w:tr w14:paraId="32E826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917" w:type="dxa"/>
            <w:vMerge w:val="continue"/>
            <w:vAlign w:val="center"/>
          </w:tcPr>
          <w:p w14:paraId="6EEE0C98">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697" w:type="dxa"/>
            <w:vAlign w:val="center"/>
          </w:tcPr>
          <w:p w14:paraId="29194200">
            <w:pPr>
              <w:keepNext w:val="0"/>
              <w:keepLines w:val="0"/>
              <w:suppressLineNumbers w:val="0"/>
              <w:spacing w:before="0" w:beforeAutospacing="0" w:after="0" w:afterAutospacing="0"/>
              <w:ind w:left="0" w:right="0"/>
              <w:jc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p>
        </w:tc>
        <w:tc>
          <w:tcPr>
            <w:tcW w:w="1364" w:type="dxa"/>
            <w:vAlign w:val="center"/>
          </w:tcPr>
          <w:p w14:paraId="02315932">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296" w:type="dxa"/>
            <w:vAlign w:val="center"/>
          </w:tcPr>
          <w:p w14:paraId="2D6BD611">
            <w:pPr>
              <w:keepNext w:val="0"/>
              <w:keepLines w:val="0"/>
              <w:suppressLineNumbers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54C2AD55">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0BC39FE6">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position w:val="0"/>
                <w:sz w:val="21"/>
                <w:szCs w:val="21"/>
                <w:highlight w:val="none"/>
                <w:lang w:val="en-US" w:eastAsia="zh-CN"/>
              </w:rPr>
              <w:t>8.244</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6D72E368">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20" w:type="dxa"/>
            <w:vAlign w:val="center"/>
          </w:tcPr>
          <w:p w14:paraId="445571BA">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cs="Times New Roman"/>
                <w:color w:val="auto"/>
                <w:sz w:val="21"/>
                <w:szCs w:val="21"/>
                <w:highlight w:val="none"/>
              </w:rPr>
            </w:pPr>
            <w:r>
              <w:rPr>
                <w:rFonts w:hint="eastAsia" w:cs="Times New Roman"/>
                <w:color w:val="auto"/>
                <w:position w:val="0"/>
                <w:sz w:val="21"/>
                <w:szCs w:val="21"/>
                <w:highlight w:val="none"/>
                <w:lang w:val="en-US" w:eastAsia="zh-CN"/>
              </w:rPr>
              <w:t>8.244</w:t>
            </w:r>
            <w:r>
              <w:rPr>
                <w:rFonts w:hint="default" w:ascii="Times New Roman" w:hAnsi="Times New Roman" w:eastAsia="宋体" w:cs="Times New Roman"/>
                <w:snapToGrid w:val="0"/>
                <w:color w:val="auto"/>
                <w:kern w:val="21"/>
                <w:sz w:val="21"/>
                <w:szCs w:val="21"/>
                <w:highlight w:val="none"/>
                <w:lang w:val="en-US" w:eastAsia="zh-CN"/>
              </w:rPr>
              <w:t>t/a</w:t>
            </w:r>
          </w:p>
        </w:tc>
        <w:tc>
          <w:tcPr>
            <w:tcW w:w="1291" w:type="dxa"/>
            <w:vAlign w:val="center"/>
          </w:tcPr>
          <w:p w14:paraId="63E9761D">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exact"/>
              <w:ind w:left="0" w:leftChars="0" w:right="0" w:rightChars="0"/>
              <w:jc w:val="center"/>
              <w:textAlignment w:val="auto"/>
              <w:rPr>
                <w:rFonts w:hint="default" w:ascii="Times New Roman" w:hAnsi="Times New Roman" w:cs="Times New Roman"/>
                <w:color w:val="auto"/>
                <w:sz w:val="21"/>
                <w:szCs w:val="21"/>
                <w:highlight w:val="none"/>
              </w:rPr>
            </w:pPr>
            <w:r>
              <w:rPr>
                <w:rFonts w:hint="eastAsia" w:cs="Times New Roman"/>
                <w:color w:val="auto"/>
                <w:position w:val="0"/>
                <w:sz w:val="21"/>
                <w:szCs w:val="21"/>
                <w:highlight w:val="none"/>
                <w:lang w:val="en-US" w:eastAsia="zh-CN"/>
              </w:rPr>
              <w:t>+8.244</w:t>
            </w:r>
            <w:r>
              <w:rPr>
                <w:rFonts w:hint="default" w:ascii="Times New Roman" w:hAnsi="Times New Roman" w:eastAsia="宋体" w:cs="Times New Roman"/>
                <w:snapToGrid w:val="0"/>
                <w:color w:val="auto"/>
                <w:kern w:val="21"/>
                <w:sz w:val="21"/>
                <w:szCs w:val="21"/>
                <w:highlight w:val="none"/>
                <w:lang w:val="en-US" w:eastAsia="zh-CN"/>
              </w:rPr>
              <w:t>t/a</w:t>
            </w:r>
          </w:p>
        </w:tc>
      </w:tr>
      <w:tr w14:paraId="754C29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917" w:type="dxa"/>
            <w:vMerge w:val="restart"/>
            <w:vAlign w:val="center"/>
          </w:tcPr>
          <w:p w14:paraId="221DBBFB">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bCs/>
                <w:color w:val="auto"/>
                <w:sz w:val="21"/>
                <w:szCs w:val="21"/>
                <w:highlight w:val="none"/>
              </w:rPr>
            </w:pPr>
            <w:r>
              <w:rPr>
                <w:rFonts w:hint="default" w:ascii="Times New Roman" w:hAnsi="Times New Roman" w:cs="Times New Roman"/>
                <w:snapToGrid w:val="0"/>
                <w:color w:val="auto"/>
                <w:kern w:val="21"/>
                <w:sz w:val="21"/>
                <w:szCs w:val="21"/>
                <w:highlight w:val="none"/>
                <w:lang w:val="en-US" w:eastAsia="zh-CN"/>
              </w:rPr>
              <w:t>一般</w:t>
            </w:r>
            <w:r>
              <w:rPr>
                <w:rFonts w:hint="default" w:ascii="Times New Roman" w:hAnsi="Times New Roman" w:cs="Times New Roman"/>
                <w:snapToGrid w:val="0"/>
                <w:color w:val="auto"/>
                <w:kern w:val="21"/>
                <w:sz w:val="21"/>
                <w:szCs w:val="21"/>
                <w:highlight w:val="none"/>
              </w:rPr>
              <w:t>固体废物</w:t>
            </w:r>
          </w:p>
        </w:tc>
        <w:tc>
          <w:tcPr>
            <w:tcW w:w="2697" w:type="dxa"/>
            <w:vAlign w:val="center"/>
          </w:tcPr>
          <w:p w14:paraId="0D5B4871">
            <w:pPr>
              <w:pStyle w:val="132"/>
              <w:keepNext w:val="0"/>
              <w:keepLines w:val="0"/>
              <w:suppressLineNumbers w:val="0"/>
              <w:spacing w:before="0" w:beforeAutospacing="0" w:after="0" w:afterAutospacing="0" w:line="240" w:lineRule="auto"/>
              <w:ind w:left="0" w:leftChars="0" w:right="0" w:rightChars="0"/>
              <w:rPr>
                <w:rFonts w:hint="eastAsia" w:ascii="Times New Roman" w:hAnsi="Times New Roman" w:eastAsia="宋体" w:cs="Times New Roman"/>
                <w:snapToGrid w:val="0"/>
                <w:color w:val="auto"/>
                <w:kern w:val="21"/>
                <w:sz w:val="21"/>
                <w:szCs w:val="21"/>
                <w:highlight w:val="none"/>
                <w:lang w:eastAsia="zh-CN"/>
              </w:rPr>
            </w:pPr>
            <w:r>
              <w:rPr>
                <w:rFonts w:hint="eastAsia" w:cs="Times New Roman"/>
                <w:bCs/>
                <w:color w:val="auto"/>
                <w:sz w:val="21"/>
                <w:szCs w:val="21"/>
                <w:highlight w:val="none"/>
                <w:lang w:val="en-US" w:eastAsia="zh-CN"/>
              </w:rPr>
              <w:t>灰渣及烘干工序除尘器收尘</w:t>
            </w:r>
          </w:p>
        </w:tc>
        <w:tc>
          <w:tcPr>
            <w:tcW w:w="1364" w:type="dxa"/>
            <w:vAlign w:val="center"/>
          </w:tcPr>
          <w:p w14:paraId="02580689">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bCs/>
                <w:color w:val="auto"/>
                <w:sz w:val="21"/>
                <w:szCs w:val="21"/>
                <w:highlight w:val="none"/>
              </w:rPr>
              <w:t>/</w:t>
            </w:r>
          </w:p>
        </w:tc>
        <w:tc>
          <w:tcPr>
            <w:tcW w:w="1296" w:type="dxa"/>
            <w:vAlign w:val="center"/>
          </w:tcPr>
          <w:p w14:paraId="3F1F3E2E">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66E587B7">
            <w:pPr>
              <w:keepNext w:val="0"/>
              <w:keepLines w:val="0"/>
              <w:suppressLineNumbers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67B8A5FC">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bCs/>
                <w:color w:val="auto"/>
                <w:sz w:val="21"/>
                <w:szCs w:val="21"/>
                <w:highlight w:val="none"/>
                <w:lang w:val="en-US" w:eastAsia="zh-CN"/>
              </w:rPr>
              <w:t>876.697</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75D511C3">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720" w:type="dxa"/>
            <w:vAlign w:val="center"/>
          </w:tcPr>
          <w:p w14:paraId="32493799">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eastAsia" w:cs="Times New Roman"/>
                <w:bCs/>
                <w:color w:val="auto"/>
                <w:sz w:val="21"/>
                <w:szCs w:val="21"/>
                <w:highlight w:val="none"/>
                <w:lang w:val="en-US" w:eastAsia="zh-CN"/>
              </w:rPr>
              <w:t>876.697</w:t>
            </w:r>
            <w:r>
              <w:rPr>
                <w:rFonts w:hint="default" w:ascii="Times New Roman" w:hAnsi="Times New Roman" w:eastAsia="宋体" w:cs="Times New Roman"/>
                <w:snapToGrid w:val="0"/>
                <w:color w:val="auto"/>
                <w:kern w:val="21"/>
                <w:sz w:val="21"/>
                <w:szCs w:val="21"/>
                <w:highlight w:val="none"/>
                <w:lang w:val="en-US" w:eastAsia="zh-CN"/>
              </w:rPr>
              <w:t>t/a</w:t>
            </w:r>
          </w:p>
        </w:tc>
        <w:tc>
          <w:tcPr>
            <w:tcW w:w="1291" w:type="dxa"/>
            <w:vAlign w:val="center"/>
          </w:tcPr>
          <w:p w14:paraId="39AE79D7">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snapToGrid w:val="0"/>
                <w:color w:val="auto"/>
                <w:kern w:val="21"/>
                <w:sz w:val="21"/>
                <w:szCs w:val="21"/>
                <w:highlight w:val="none"/>
              </w:rPr>
            </w:pPr>
            <w:r>
              <w:rPr>
                <w:rFonts w:hint="eastAsia" w:cs="Times New Roman"/>
                <w:bCs/>
                <w:color w:val="auto"/>
                <w:sz w:val="21"/>
                <w:szCs w:val="21"/>
                <w:highlight w:val="none"/>
                <w:lang w:val="en-US" w:eastAsia="zh-CN"/>
              </w:rPr>
              <w:t>+876.697</w:t>
            </w:r>
            <w:r>
              <w:rPr>
                <w:rFonts w:hint="default" w:ascii="Times New Roman" w:hAnsi="Times New Roman" w:eastAsia="宋体" w:cs="Times New Roman"/>
                <w:snapToGrid w:val="0"/>
                <w:color w:val="auto"/>
                <w:kern w:val="21"/>
                <w:sz w:val="21"/>
                <w:szCs w:val="21"/>
                <w:highlight w:val="none"/>
                <w:lang w:val="en-US" w:eastAsia="zh-CN"/>
              </w:rPr>
              <w:t>t/a</w:t>
            </w:r>
          </w:p>
        </w:tc>
      </w:tr>
      <w:tr w14:paraId="70903D5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14:paraId="272C2DAB">
            <w:pPr>
              <w:keepNext w:val="0"/>
              <w:keepLines w:val="0"/>
              <w:suppressLineNumbers w:val="0"/>
              <w:adjustRightInd w:val="0"/>
              <w:snapToGrid w:val="0"/>
              <w:spacing w:before="0" w:beforeAutospacing="0" w:after="0" w:afterAutospacing="0" w:line="240" w:lineRule="auto"/>
              <w:ind w:left="0" w:right="0" w:firstLine="0" w:firstLineChars="0"/>
              <w:jc w:val="center"/>
              <w:rPr>
                <w:rFonts w:hint="default" w:ascii="Times New Roman" w:hAnsi="Times New Roman" w:cs="Times New Roman"/>
                <w:bCs/>
                <w:color w:val="auto"/>
                <w:sz w:val="21"/>
                <w:szCs w:val="21"/>
                <w:highlight w:val="none"/>
              </w:rPr>
            </w:pPr>
          </w:p>
        </w:tc>
        <w:tc>
          <w:tcPr>
            <w:tcW w:w="2697" w:type="dxa"/>
            <w:vAlign w:val="center"/>
          </w:tcPr>
          <w:p w14:paraId="5238398F">
            <w:pPr>
              <w:keepNext w:val="0"/>
              <w:keepLines w:val="0"/>
              <w:pageBreakBefore w:val="0"/>
              <w:suppressLineNumbers w:val="0"/>
              <w:kinsoku/>
              <w:wordWrap/>
              <w:overflowPunct/>
              <w:topLinePunct w:val="0"/>
              <w:autoSpaceDE w:val="0"/>
              <w:autoSpaceDN w:val="0"/>
              <w:bidi w:val="0"/>
              <w:spacing w:before="0" w:beforeAutospacing="0" w:after="0" w:afterAutospacing="0" w:line="240" w:lineRule="auto"/>
              <w:ind w:left="0" w:leftChars="0" w:right="0" w:rightChars="0"/>
              <w:contextualSpacing/>
              <w:jc w:val="center"/>
              <w:textAlignment w:val="auto"/>
              <w:rPr>
                <w:rFonts w:hint="default" w:ascii="Times New Roman" w:hAnsi="Times New Roman" w:cs="Times New Roman"/>
                <w:bCs/>
                <w:color w:val="auto"/>
                <w:sz w:val="21"/>
                <w:szCs w:val="21"/>
                <w:highlight w:val="none"/>
              </w:rPr>
            </w:pPr>
            <w:r>
              <w:rPr>
                <w:rFonts w:hint="eastAsia" w:ascii="Times New Roman" w:hAnsi="Times New Roman" w:cs="Times New Roman"/>
                <w:color w:val="auto"/>
                <w:sz w:val="21"/>
                <w:szCs w:val="21"/>
                <w:highlight w:val="none"/>
                <w:lang w:val="en-US" w:eastAsia="zh-CN"/>
              </w:rPr>
              <w:t>生产工序布袋除尘器收尘</w:t>
            </w:r>
          </w:p>
        </w:tc>
        <w:tc>
          <w:tcPr>
            <w:tcW w:w="1364" w:type="dxa"/>
            <w:vAlign w:val="center"/>
          </w:tcPr>
          <w:p w14:paraId="7C1F4235">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w:t>
            </w:r>
          </w:p>
        </w:tc>
        <w:tc>
          <w:tcPr>
            <w:tcW w:w="1296" w:type="dxa"/>
            <w:vAlign w:val="center"/>
          </w:tcPr>
          <w:p w14:paraId="3B8661F5">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145FAC4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7DB3A474">
            <w:pPr>
              <w:pStyle w:val="132"/>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color w:val="auto"/>
                <w:sz w:val="21"/>
                <w:szCs w:val="21"/>
                <w:highlight w:val="none"/>
                <w:lang w:val="en-US" w:eastAsia="zh-CN"/>
              </w:rPr>
              <w:t>11.079</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7C71C84F">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20" w:type="dxa"/>
            <w:vAlign w:val="center"/>
          </w:tcPr>
          <w:p w14:paraId="3C99085F">
            <w:pPr>
              <w:pStyle w:val="132"/>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color w:val="auto"/>
                <w:sz w:val="21"/>
                <w:szCs w:val="21"/>
                <w:highlight w:val="none"/>
                <w:lang w:val="en-US" w:eastAsia="zh-CN"/>
              </w:rPr>
              <w:t>11.079</w:t>
            </w:r>
            <w:r>
              <w:rPr>
                <w:rFonts w:hint="default" w:ascii="Times New Roman" w:hAnsi="Times New Roman" w:eastAsia="宋体" w:cs="Times New Roman"/>
                <w:snapToGrid w:val="0"/>
                <w:color w:val="auto"/>
                <w:kern w:val="21"/>
                <w:sz w:val="21"/>
                <w:szCs w:val="21"/>
                <w:highlight w:val="none"/>
                <w:lang w:val="en-US" w:eastAsia="zh-CN"/>
              </w:rPr>
              <w:t>t/a</w:t>
            </w:r>
          </w:p>
        </w:tc>
        <w:tc>
          <w:tcPr>
            <w:tcW w:w="1291" w:type="dxa"/>
            <w:vAlign w:val="center"/>
          </w:tcPr>
          <w:p w14:paraId="1246BDAF">
            <w:pPr>
              <w:pStyle w:val="132"/>
              <w:keepNext w:val="0"/>
              <w:keepLines w:val="0"/>
              <w:pageBreakBefore w:val="0"/>
              <w:suppressLineNumbers w:val="0"/>
              <w:kinsoku/>
              <w:wordWrap/>
              <w:overflowPunct/>
              <w:topLinePunct w:val="0"/>
              <w:bidi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color w:val="auto"/>
                <w:sz w:val="21"/>
                <w:szCs w:val="21"/>
                <w:highlight w:val="none"/>
                <w:lang w:val="en-US" w:eastAsia="zh-CN"/>
              </w:rPr>
              <w:t>+11.079</w:t>
            </w:r>
            <w:r>
              <w:rPr>
                <w:rFonts w:hint="default" w:ascii="Times New Roman" w:hAnsi="Times New Roman" w:eastAsia="宋体" w:cs="Times New Roman"/>
                <w:snapToGrid w:val="0"/>
                <w:color w:val="auto"/>
                <w:kern w:val="21"/>
                <w:sz w:val="21"/>
                <w:szCs w:val="21"/>
                <w:highlight w:val="none"/>
                <w:lang w:val="en-US" w:eastAsia="zh-CN"/>
              </w:rPr>
              <w:t>t/a</w:t>
            </w:r>
          </w:p>
        </w:tc>
      </w:tr>
      <w:tr w14:paraId="15255F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14:paraId="049FB7DC">
            <w:pPr>
              <w:pStyle w:val="66"/>
              <w:keepNext w:val="0"/>
              <w:keepLines w:val="0"/>
              <w:suppressLineNumbers w:val="0"/>
              <w:spacing w:before="0" w:beforeLines="0" w:beforeAutospacing="0" w:after="0" w:afterLines="0" w:afterAutospacing="0" w:line="240" w:lineRule="auto"/>
              <w:ind w:left="0" w:right="0" w:firstLine="0" w:firstLineChars="0"/>
              <w:rPr>
                <w:rFonts w:hint="default" w:ascii="Times New Roman" w:hAnsi="Times New Roman" w:cs="Times New Roman"/>
                <w:snapToGrid w:val="0"/>
                <w:color w:val="auto"/>
                <w:kern w:val="21"/>
                <w:sz w:val="21"/>
                <w:szCs w:val="21"/>
                <w:highlight w:val="none"/>
              </w:rPr>
            </w:pPr>
          </w:p>
        </w:tc>
        <w:tc>
          <w:tcPr>
            <w:tcW w:w="2697" w:type="dxa"/>
            <w:vAlign w:val="center"/>
          </w:tcPr>
          <w:p w14:paraId="34E65C5C">
            <w:pPr>
              <w:pStyle w:val="132"/>
              <w:keepNext w:val="0"/>
              <w:keepLines w:val="0"/>
              <w:suppressLineNumbers w:val="0"/>
              <w:spacing w:before="0" w:beforeAutospacing="0" w:after="0" w:afterAutospacing="0" w:line="240" w:lineRule="auto"/>
              <w:ind w:left="0" w:leftChars="0" w:right="0" w:rightChars="0"/>
              <w:rPr>
                <w:rFonts w:hint="default" w:ascii="Times New Roman" w:hAnsi="Times New Roman" w:cs="Times New Roman"/>
                <w:snapToGrid w:val="0"/>
                <w:color w:val="auto"/>
                <w:kern w:val="21"/>
                <w:sz w:val="21"/>
                <w:szCs w:val="21"/>
                <w:highlight w:val="none"/>
              </w:rPr>
            </w:pPr>
            <w:r>
              <w:rPr>
                <w:rFonts w:hint="eastAsia" w:cs="Times New Roman"/>
                <w:color w:val="auto"/>
                <w:sz w:val="21"/>
                <w:szCs w:val="21"/>
                <w:highlight w:val="none"/>
                <w:lang w:val="en-US" w:eastAsia="zh-CN"/>
              </w:rPr>
              <w:t>车间地面收尘</w:t>
            </w:r>
          </w:p>
        </w:tc>
        <w:tc>
          <w:tcPr>
            <w:tcW w:w="1364" w:type="dxa"/>
            <w:vAlign w:val="center"/>
          </w:tcPr>
          <w:p w14:paraId="3D6953D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cs="Times New Roman"/>
                <w:bCs/>
                <w:color w:val="auto"/>
                <w:sz w:val="21"/>
                <w:szCs w:val="21"/>
                <w:highlight w:val="none"/>
              </w:rPr>
              <w:t>/</w:t>
            </w:r>
          </w:p>
        </w:tc>
        <w:tc>
          <w:tcPr>
            <w:tcW w:w="1296" w:type="dxa"/>
            <w:vAlign w:val="center"/>
          </w:tcPr>
          <w:p w14:paraId="04F4AFA0">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025E10E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5CB7A7D1">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1.07t/</w:t>
            </w:r>
            <w:r>
              <w:rPr>
                <w:rFonts w:hint="default" w:ascii="Times New Roman" w:hAnsi="Times New Roman" w:eastAsia="宋体" w:cs="Times New Roman"/>
                <w:snapToGrid w:val="0"/>
                <w:color w:val="auto"/>
                <w:kern w:val="21"/>
                <w:sz w:val="21"/>
                <w:szCs w:val="21"/>
                <w:highlight w:val="none"/>
                <w:lang w:val="en-US" w:eastAsia="zh-CN"/>
              </w:rPr>
              <w:t>a</w:t>
            </w:r>
          </w:p>
        </w:tc>
        <w:tc>
          <w:tcPr>
            <w:tcW w:w="1535" w:type="dxa"/>
            <w:vAlign w:val="center"/>
          </w:tcPr>
          <w:p w14:paraId="7FE26C53">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snapToGrid w:val="0"/>
                <w:color w:val="auto"/>
                <w:kern w:val="21"/>
                <w:sz w:val="21"/>
                <w:szCs w:val="21"/>
                <w:highlight w:val="none"/>
              </w:rPr>
            </w:pPr>
            <w:r>
              <w:rPr>
                <w:rFonts w:hint="default" w:ascii="Times New Roman" w:hAnsi="Times New Roman" w:cs="Times New Roman"/>
                <w:bCs/>
                <w:color w:val="auto"/>
                <w:sz w:val="21"/>
                <w:szCs w:val="21"/>
                <w:highlight w:val="none"/>
              </w:rPr>
              <w:t>/</w:t>
            </w:r>
          </w:p>
        </w:tc>
        <w:tc>
          <w:tcPr>
            <w:tcW w:w="1720" w:type="dxa"/>
            <w:vAlign w:val="center"/>
          </w:tcPr>
          <w:p w14:paraId="422DBD91">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1.07</w:t>
            </w:r>
            <w:r>
              <w:rPr>
                <w:rFonts w:hint="default" w:ascii="Times New Roman" w:hAnsi="Times New Roman" w:eastAsia="宋体" w:cs="Times New Roman"/>
                <w:snapToGrid w:val="0"/>
                <w:color w:val="auto"/>
                <w:kern w:val="21"/>
                <w:sz w:val="21"/>
                <w:szCs w:val="21"/>
                <w:highlight w:val="none"/>
                <w:lang w:val="en-US" w:eastAsia="zh-CN"/>
              </w:rPr>
              <w:t>t/a</w:t>
            </w:r>
          </w:p>
        </w:tc>
        <w:tc>
          <w:tcPr>
            <w:tcW w:w="1291" w:type="dxa"/>
            <w:vAlign w:val="center"/>
          </w:tcPr>
          <w:p w14:paraId="1ED72C76">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+1.07</w:t>
            </w:r>
            <w:r>
              <w:rPr>
                <w:rFonts w:hint="default" w:ascii="Times New Roman" w:hAnsi="Times New Roman" w:eastAsia="宋体" w:cs="Times New Roman"/>
                <w:snapToGrid w:val="0"/>
                <w:color w:val="auto"/>
                <w:kern w:val="21"/>
                <w:sz w:val="21"/>
                <w:szCs w:val="21"/>
                <w:highlight w:val="none"/>
                <w:lang w:val="en-US" w:eastAsia="zh-CN"/>
              </w:rPr>
              <w:t>t/a</w:t>
            </w:r>
          </w:p>
        </w:tc>
      </w:tr>
      <w:tr w14:paraId="1664C5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14:paraId="1088BC73">
            <w:pPr>
              <w:pStyle w:val="66"/>
              <w:keepNext w:val="0"/>
              <w:keepLines w:val="0"/>
              <w:suppressLineNumbers w:val="0"/>
              <w:spacing w:before="0" w:beforeLines="0" w:beforeAutospacing="0" w:after="0" w:afterLines="0" w:afterAutospacing="0" w:line="240" w:lineRule="auto"/>
              <w:ind w:left="0" w:right="0" w:firstLine="0" w:firstLineChars="0"/>
              <w:rPr>
                <w:rFonts w:hint="eastAsia" w:ascii="Times New Roman" w:hAnsi="Times New Roman" w:eastAsia="宋体" w:cs="Times New Roman"/>
                <w:snapToGrid w:val="0"/>
                <w:color w:val="auto"/>
                <w:kern w:val="21"/>
                <w:sz w:val="21"/>
                <w:szCs w:val="21"/>
                <w:highlight w:val="none"/>
                <w:lang w:val="en-US" w:eastAsia="zh-CN"/>
              </w:rPr>
            </w:pPr>
          </w:p>
        </w:tc>
        <w:tc>
          <w:tcPr>
            <w:tcW w:w="2697" w:type="dxa"/>
            <w:vAlign w:val="center"/>
          </w:tcPr>
          <w:p w14:paraId="10D0F020">
            <w:pPr>
              <w:pStyle w:val="132"/>
              <w:keepNext w:val="0"/>
              <w:keepLines w:val="0"/>
              <w:suppressLineNumbers w:val="0"/>
              <w:spacing w:before="0" w:beforeAutospacing="0" w:after="0" w:afterAutospacing="0" w:line="240" w:lineRule="auto"/>
              <w:ind w:left="0" w:leftChars="0" w:right="0" w:rightChars="0"/>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杂质砂石</w:t>
            </w:r>
          </w:p>
        </w:tc>
        <w:tc>
          <w:tcPr>
            <w:tcW w:w="1364" w:type="dxa"/>
            <w:vAlign w:val="center"/>
          </w:tcPr>
          <w:p w14:paraId="04917031">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w:t>
            </w:r>
          </w:p>
        </w:tc>
        <w:tc>
          <w:tcPr>
            <w:tcW w:w="1296" w:type="dxa"/>
            <w:vAlign w:val="center"/>
          </w:tcPr>
          <w:p w14:paraId="38C76869">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74DBAB6A">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754D30F1">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42.626t/a</w:t>
            </w:r>
          </w:p>
        </w:tc>
        <w:tc>
          <w:tcPr>
            <w:tcW w:w="1535" w:type="dxa"/>
            <w:vAlign w:val="center"/>
          </w:tcPr>
          <w:p w14:paraId="39CDCD7E">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20" w:type="dxa"/>
            <w:vAlign w:val="center"/>
          </w:tcPr>
          <w:p w14:paraId="60488C6F">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42.626t/a</w:t>
            </w:r>
          </w:p>
        </w:tc>
        <w:tc>
          <w:tcPr>
            <w:tcW w:w="1291" w:type="dxa"/>
            <w:vAlign w:val="center"/>
          </w:tcPr>
          <w:p w14:paraId="2B9A5C5B">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+42.626t/a</w:t>
            </w:r>
          </w:p>
        </w:tc>
      </w:tr>
      <w:tr w14:paraId="72D3B5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14:paraId="4D4E3F9C">
            <w:pPr>
              <w:pStyle w:val="66"/>
              <w:keepNext w:val="0"/>
              <w:keepLines w:val="0"/>
              <w:suppressLineNumbers w:val="0"/>
              <w:spacing w:before="0" w:beforeLines="0" w:beforeAutospacing="0" w:after="0" w:afterLines="0" w:afterAutospacing="0" w:line="240" w:lineRule="auto"/>
              <w:ind w:left="0" w:right="0" w:firstLine="0" w:firstLineChars="0"/>
              <w:rPr>
                <w:rFonts w:hint="eastAsia" w:ascii="Times New Roman" w:hAnsi="Times New Roman" w:eastAsia="宋体" w:cs="Times New Roman"/>
                <w:snapToGrid w:val="0"/>
                <w:color w:val="auto"/>
                <w:kern w:val="21"/>
                <w:sz w:val="21"/>
                <w:szCs w:val="21"/>
                <w:highlight w:val="none"/>
                <w:lang w:val="en-US" w:eastAsia="zh-CN"/>
              </w:rPr>
            </w:pPr>
          </w:p>
        </w:tc>
        <w:tc>
          <w:tcPr>
            <w:tcW w:w="2697" w:type="dxa"/>
            <w:vAlign w:val="center"/>
          </w:tcPr>
          <w:p w14:paraId="5580E0C3">
            <w:pPr>
              <w:pStyle w:val="132"/>
              <w:keepNext w:val="0"/>
              <w:keepLines w:val="0"/>
              <w:suppressLineNumbers w:val="0"/>
              <w:spacing w:before="0" w:beforeAutospacing="0" w:after="0" w:afterAutospacing="0" w:line="240" w:lineRule="auto"/>
              <w:ind w:left="0" w:leftChars="0" w:right="0" w:rightChars="0"/>
              <w:rPr>
                <w:rFonts w:hint="default" w:ascii="Times New Roman" w:hAnsi="Times New Roman" w:cs="Times New Roman"/>
                <w:color w:val="auto"/>
                <w:sz w:val="21"/>
                <w:szCs w:val="21"/>
                <w:highlight w:val="none"/>
                <w:lang w:val="en-US" w:eastAsia="zh-CN"/>
              </w:rPr>
            </w:pPr>
            <w:r>
              <w:rPr>
                <w:rFonts w:hint="eastAsia"/>
                <w:color w:val="auto"/>
                <w:sz w:val="21"/>
                <w:szCs w:val="21"/>
                <w:highlight w:val="none"/>
                <w:lang w:val="en-US" w:eastAsia="zh-CN"/>
              </w:rPr>
              <w:t>不合格产品</w:t>
            </w:r>
          </w:p>
        </w:tc>
        <w:tc>
          <w:tcPr>
            <w:tcW w:w="1364" w:type="dxa"/>
            <w:vAlign w:val="center"/>
          </w:tcPr>
          <w:p w14:paraId="2F7AF26C">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w:t>
            </w:r>
          </w:p>
        </w:tc>
        <w:tc>
          <w:tcPr>
            <w:tcW w:w="1296" w:type="dxa"/>
            <w:vAlign w:val="center"/>
          </w:tcPr>
          <w:p w14:paraId="27954CE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216C1473">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425D5FDF">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10t/a</w:t>
            </w:r>
          </w:p>
        </w:tc>
        <w:tc>
          <w:tcPr>
            <w:tcW w:w="1535" w:type="dxa"/>
            <w:vAlign w:val="center"/>
          </w:tcPr>
          <w:p w14:paraId="2C37563A">
            <w:pPr>
              <w:keepNext w:val="0"/>
              <w:keepLines w:val="0"/>
              <w:suppressLineNumbers w:val="0"/>
              <w:adjustRightInd w:val="0"/>
              <w:snapToGrid w:val="0"/>
              <w:spacing w:before="0" w:beforeAutospacing="0" w:after="0" w:afterAutospacing="0" w:line="240" w:lineRule="auto"/>
              <w:ind w:left="0" w:leftChars="0" w:right="0" w:right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720" w:type="dxa"/>
            <w:vAlign w:val="center"/>
          </w:tcPr>
          <w:p w14:paraId="1206E159">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10t/a</w:t>
            </w:r>
          </w:p>
        </w:tc>
        <w:tc>
          <w:tcPr>
            <w:tcW w:w="1291" w:type="dxa"/>
            <w:vAlign w:val="center"/>
          </w:tcPr>
          <w:p w14:paraId="4FF263C1">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ascii="Times New Roman" w:hAnsi="Times New Roman" w:cs="Times New Roman"/>
                <w:bCs/>
                <w:color w:val="auto"/>
                <w:sz w:val="21"/>
                <w:szCs w:val="21"/>
                <w:highlight w:val="none"/>
                <w:lang w:val="en-US" w:eastAsia="zh-CN"/>
              </w:rPr>
            </w:pPr>
            <w:r>
              <w:rPr>
                <w:rFonts w:hint="eastAsia" w:cs="Times New Roman"/>
                <w:bCs/>
                <w:color w:val="auto"/>
                <w:sz w:val="21"/>
                <w:szCs w:val="21"/>
                <w:highlight w:val="none"/>
                <w:lang w:val="en-US" w:eastAsia="zh-CN"/>
              </w:rPr>
              <w:t>+10t/a</w:t>
            </w:r>
          </w:p>
        </w:tc>
      </w:tr>
      <w:tr w14:paraId="3ACFE82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7" w:type="dxa"/>
            <w:vMerge w:val="continue"/>
            <w:vAlign w:val="center"/>
          </w:tcPr>
          <w:p w14:paraId="752C49B0">
            <w:pPr>
              <w:pStyle w:val="66"/>
              <w:keepNext w:val="0"/>
              <w:keepLines w:val="0"/>
              <w:suppressLineNumbers w:val="0"/>
              <w:spacing w:before="0" w:beforeLines="0" w:beforeAutospacing="0" w:after="0" w:afterLines="0" w:afterAutospacing="0" w:line="240" w:lineRule="auto"/>
              <w:ind w:left="0" w:right="0" w:firstLine="0" w:firstLineChars="0"/>
              <w:rPr>
                <w:rFonts w:hint="eastAsia" w:ascii="Times New Roman" w:cs="Times New Roman"/>
                <w:snapToGrid w:val="0"/>
                <w:color w:val="auto"/>
                <w:kern w:val="21"/>
                <w:sz w:val="21"/>
                <w:szCs w:val="21"/>
                <w:highlight w:val="none"/>
                <w:lang w:val="en-US" w:eastAsia="zh-CN"/>
              </w:rPr>
            </w:pPr>
          </w:p>
        </w:tc>
        <w:tc>
          <w:tcPr>
            <w:tcW w:w="2697" w:type="dxa"/>
            <w:vAlign w:val="center"/>
          </w:tcPr>
          <w:p w14:paraId="26391FBF">
            <w:pPr>
              <w:pStyle w:val="132"/>
              <w:keepNext w:val="0"/>
              <w:keepLines w:val="0"/>
              <w:suppressLineNumbers w:val="0"/>
              <w:spacing w:before="0" w:beforeAutospacing="0" w:after="0" w:afterAutospacing="0" w:line="240" w:lineRule="auto"/>
              <w:ind w:left="0" w:leftChars="0" w:right="0" w:rightChars="0"/>
              <w:rPr>
                <w:rFonts w:hint="default"/>
                <w:color w:val="auto"/>
                <w:sz w:val="21"/>
                <w:szCs w:val="21"/>
                <w:highlight w:val="none"/>
                <w:lang w:val="en-US" w:eastAsia="zh-CN"/>
              </w:rPr>
            </w:pPr>
            <w:r>
              <w:rPr>
                <w:rFonts w:hint="eastAsia"/>
                <w:color w:val="auto"/>
                <w:sz w:val="21"/>
                <w:szCs w:val="21"/>
                <w:highlight w:val="none"/>
                <w:lang w:val="en-US" w:eastAsia="zh-CN"/>
              </w:rPr>
              <w:t>废布袋</w:t>
            </w:r>
          </w:p>
        </w:tc>
        <w:tc>
          <w:tcPr>
            <w:tcW w:w="1364" w:type="dxa"/>
            <w:vAlign w:val="center"/>
          </w:tcPr>
          <w:p w14:paraId="0A3A1E8B">
            <w:pPr>
              <w:keepNext w:val="0"/>
              <w:keepLines w:val="0"/>
              <w:suppressLineNumbers w:val="0"/>
              <w:adjustRightInd w:val="0"/>
              <w:snapToGrid w:val="0"/>
              <w:spacing w:before="0" w:beforeAutospacing="0" w:after="0" w:afterAutospacing="0" w:line="240" w:lineRule="auto"/>
              <w:ind w:left="0" w:right="0"/>
              <w:jc w:val="center"/>
              <w:rPr>
                <w:rFonts w:hint="eastAsia"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w:t>
            </w:r>
          </w:p>
        </w:tc>
        <w:tc>
          <w:tcPr>
            <w:tcW w:w="1296" w:type="dxa"/>
            <w:vAlign w:val="center"/>
          </w:tcPr>
          <w:p w14:paraId="47F7796D">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409" w:type="dxa"/>
            <w:vAlign w:val="center"/>
          </w:tcPr>
          <w:p w14:paraId="17A4A922">
            <w:pPr>
              <w:keepNext w:val="0"/>
              <w:keepLines w:val="0"/>
              <w:suppressLineNumbers w:val="0"/>
              <w:adjustRightInd w:val="0"/>
              <w:snapToGrid w:val="0"/>
              <w:spacing w:before="0" w:beforeAutospacing="0" w:after="0" w:afterAutospacing="0" w:line="240" w:lineRule="auto"/>
              <w:ind w:left="0" w:right="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w:t>
            </w:r>
          </w:p>
        </w:tc>
        <w:tc>
          <w:tcPr>
            <w:tcW w:w="1559" w:type="dxa"/>
            <w:vAlign w:val="center"/>
          </w:tcPr>
          <w:p w14:paraId="101EA4F7">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0.05</w:t>
            </w:r>
            <w:r>
              <w:rPr>
                <w:rFonts w:hint="default" w:ascii="Times New Roman" w:hAnsi="Times New Roman" w:eastAsia="宋体" w:cs="Times New Roman"/>
                <w:snapToGrid w:val="0"/>
                <w:color w:val="auto"/>
                <w:kern w:val="21"/>
                <w:sz w:val="21"/>
                <w:szCs w:val="21"/>
                <w:highlight w:val="none"/>
                <w:lang w:val="en-US" w:eastAsia="zh-CN"/>
              </w:rPr>
              <w:t>t/a</w:t>
            </w:r>
          </w:p>
        </w:tc>
        <w:tc>
          <w:tcPr>
            <w:tcW w:w="1535" w:type="dxa"/>
            <w:vAlign w:val="center"/>
          </w:tcPr>
          <w:p w14:paraId="235276C3">
            <w:pPr>
              <w:keepNext w:val="0"/>
              <w:keepLines w:val="0"/>
              <w:suppressLineNumbers w:val="0"/>
              <w:adjustRightInd w:val="0"/>
              <w:snapToGrid w:val="0"/>
              <w:spacing w:before="0" w:beforeAutospacing="0" w:after="0" w:afterAutospacing="0" w:line="240" w:lineRule="auto"/>
              <w:ind w:left="0" w:leftChars="0" w:right="0" w:rightChars="0"/>
              <w:jc w:val="center"/>
              <w:rPr>
                <w:rFonts w:hint="eastAsia"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rPr>
              <w:t>/</w:t>
            </w:r>
          </w:p>
        </w:tc>
        <w:tc>
          <w:tcPr>
            <w:tcW w:w="1720" w:type="dxa"/>
            <w:vAlign w:val="center"/>
          </w:tcPr>
          <w:p w14:paraId="21D6CBE3">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0.05</w:t>
            </w:r>
            <w:r>
              <w:rPr>
                <w:rFonts w:hint="default" w:ascii="Times New Roman" w:hAnsi="Times New Roman" w:eastAsia="宋体" w:cs="Times New Roman"/>
                <w:snapToGrid w:val="0"/>
                <w:color w:val="auto"/>
                <w:kern w:val="21"/>
                <w:sz w:val="21"/>
                <w:szCs w:val="21"/>
                <w:highlight w:val="none"/>
                <w:lang w:val="en-US" w:eastAsia="zh-CN"/>
              </w:rPr>
              <w:t>t/a</w:t>
            </w:r>
          </w:p>
        </w:tc>
        <w:tc>
          <w:tcPr>
            <w:tcW w:w="1291" w:type="dxa"/>
            <w:vAlign w:val="center"/>
          </w:tcPr>
          <w:p w14:paraId="334E69EE">
            <w:pPr>
              <w:keepNext w:val="0"/>
              <w:keepLines w:val="0"/>
              <w:pageBreakBefore w:val="0"/>
              <w:suppressLineNumbers w:val="0"/>
              <w:kinsoku/>
              <w:wordWrap/>
              <w:overflowPunct/>
              <w:topLinePunct w:val="0"/>
              <w:bidi w:val="0"/>
              <w:adjustRightInd w:val="0"/>
              <w:snapToGrid w:val="0"/>
              <w:spacing w:before="0" w:beforeAutospacing="0" w:after="0" w:afterAutospacing="0" w:line="240" w:lineRule="auto"/>
              <w:ind w:left="0" w:leftChars="0" w:right="0" w:rightChars="0"/>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+0.05</w:t>
            </w:r>
            <w:r>
              <w:rPr>
                <w:rFonts w:hint="default" w:ascii="Times New Roman" w:hAnsi="Times New Roman" w:eastAsia="宋体" w:cs="Times New Roman"/>
                <w:snapToGrid w:val="0"/>
                <w:color w:val="auto"/>
                <w:kern w:val="21"/>
                <w:sz w:val="21"/>
                <w:szCs w:val="21"/>
                <w:highlight w:val="none"/>
                <w:lang w:val="en-US" w:eastAsia="zh-CN"/>
              </w:rPr>
              <w:t>t/a</w:t>
            </w:r>
          </w:p>
        </w:tc>
      </w:tr>
    </w:tbl>
    <w:p w14:paraId="4C8A47F7">
      <w:pPr>
        <w:pStyle w:val="66"/>
        <w:adjustRightInd/>
        <w:snapToGrid/>
        <w:spacing w:beforeLines="0" w:afterLines="0" w:line="240" w:lineRule="auto"/>
        <w:ind w:firstLine="0"/>
        <w:jc w:val="left"/>
        <w:rPr>
          <w:rFonts w:hint="default" w:ascii="Times New Roman" w:hAnsi="Times New Roman" w:cs="Times New Roman"/>
          <w:snapToGrid w:val="0"/>
          <w:color w:val="auto"/>
          <w:kern w:val="21"/>
          <w:sz w:val="21"/>
          <w:highlight w:val="none"/>
        </w:rPr>
      </w:pPr>
      <w:r>
        <w:rPr>
          <w:rFonts w:hint="default" w:ascii="Times New Roman" w:hAnsi="Times New Roman" w:cs="Times New Roman"/>
          <w:snapToGrid w:val="0"/>
          <w:color w:val="auto"/>
          <w:kern w:val="21"/>
          <w:sz w:val="21"/>
          <w:highlight w:val="none"/>
        </w:rPr>
        <w:t>注：⑥=①+③+④-⑤；⑦=⑥-①</w:t>
      </w:r>
    </w:p>
    <w:p w14:paraId="5D54325D">
      <w:pPr>
        <w:pStyle w:val="30"/>
        <w:spacing w:before="0" w:beforeAutospacing="0" w:after="0" w:afterAutospacing="0"/>
        <w:rPr>
          <w:rFonts w:hint="default" w:ascii="Times New Roman" w:hAnsi="Times New Roman" w:cs="Times New Roman"/>
          <w:snapToGrid w:val="0"/>
          <w:color w:val="auto"/>
          <w:kern w:val="21"/>
          <w:sz w:val="21"/>
          <w:szCs w:val="32"/>
          <w:highlight w:val="none"/>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6C936AEC">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431" w:hanging="431"/>
        <w:textAlignment w:val="auto"/>
        <w:rPr>
          <w:rFonts w:hint="eastAsia"/>
          <w:color w:val="auto"/>
          <w:lang w:eastAsia="zh-CN"/>
        </w:rPr>
      </w:pPr>
      <w:bookmarkStart w:id="11" w:name="_Toc24197"/>
      <w:bookmarkStart w:id="12" w:name="_Toc11995"/>
      <w:bookmarkStart w:id="13" w:name="_Toc20292"/>
      <w:r>
        <w:rPr>
          <w:rFonts w:hint="default" w:ascii="Times New Roman" w:hAnsi="Times New Roman" w:eastAsia="宋体" w:cs="Times New Roman"/>
          <w:color w:val="auto"/>
          <w:sz w:val="21"/>
          <w:szCs w:val="21"/>
          <w:highlight w:val="none"/>
        </w:rPr>
        <w:t>附件1</w:t>
      </w:r>
      <w:bookmarkEnd w:id="11"/>
      <w:bookmarkEnd w:id="12"/>
      <w:bookmarkEnd w:id="13"/>
      <w:r>
        <w:rPr>
          <w:rFonts w:hint="eastAsia" w:eastAsia="宋体" w:cs="Times New Roman"/>
          <w:color w:val="auto"/>
          <w:sz w:val="21"/>
          <w:szCs w:val="21"/>
          <w:highlight w:val="none"/>
          <w:lang w:val="en-US" w:eastAsia="zh-CN"/>
        </w:rPr>
        <w:t>营业执照</w:t>
      </w:r>
    </w:p>
    <w:p w14:paraId="539CEF96">
      <w:pPr>
        <w:pStyle w:val="43"/>
        <w:jc w:val="center"/>
        <w:rPr>
          <w:color w:val="auto"/>
        </w:rPr>
      </w:pPr>
      <w:r>
        <w:rPr>
          <w:color w:val="auto"/>
        </w:rPr>
        <w:drawing>
          <wp:inline distT="0" distB="0" distL="114300" distR="114300">
            <wp:extent cx="7204075" cy="5095875"/>
            <wp:effectExtent l="0" t="0" r="15875" b="9525"/>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pic:cNvPicPr>
                  </pic:nvPicPr>
                  <pic:blipFill>
                    <a:blip r:embed="rId27"/>
                    <a:stretch>
                      <a:fillRect/>
                    </a:stretch>
                  </pic:blipFill>
                  <pic:spPr>
                    <a:xfrm>
                      <a:off x="0" y="0"/>
                      <a:ext cx="7204075" cy="5095875"/>
                    </a:xfrm>
                    <a:prstGeom prst="rect">
                      <a:avLst/>
                    </a:prstGeom>
                    <a:noFill/>
                    <a:ln>
                      <a:noFill/>
                    </a:ln>
                  </pic:spPr>
                </pic:pic>
              </a:graphicData>
            </a:graphic>
          </wp:inline>
        </w:drawing>
      </w:r>
    </w:p>
    <w:p w14:paraId="02362B3C">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0" w:leftChars="0" w:firstLine="0" w:firstLineChars="0"/>
        <w:textAlignment w:val="auto"/>
        <w:rPr>
          <w:rFonts w:hint="eastAsia"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附件</w:t>
      </w:r>
      <w:r>
        <w:rPr>
          <w:rFonts w:hint="eastAsia" w:ascii="Times New Roman" w:hAnsi="Times New Roman" w:eastAsia="宋体" w:cs="Times New Roman"/>
          <w:color w:val="auto"/>
          <w:sz w:val="21"/>
          <w:szCs w:val="21"/>
          <w:highlight w:val="none"/>
          <w:lang w:val="en-US" w:eastAsia="zh-CN"/>
        </w:rPr>
        <w:t>2</w:t>
      </w:r>
      <w:r>
        <w:rPr>
          <w:rFonts w:hint="eastAsia" w:eastAsia="宋体" w:cs="Times New Roman"/>
          <w:color w:val="auto"/>
          <w:sz w:val="21"/>
          <w:szCs w:val="21"/>
          <w:highlight w:val="none"/>
          <w:lang w:val="en-US" w:eastAsia="zh-CN"/>
        </w:rPr>
        <w:t>生态环境分区管控分析报告</w:t>
      </w:r>
    </w:p>
    <w:p w14:paraId="48BC8DFE">
      <w:pPr>
        <w:jc w:val="center"/>
        <w:rPr>
          <w:rFonts w:hint="default"/>
          <w:color w:val="auto"/>
          <w:lang w:val="en-US" w:eastAsia="zh-CN"/>
        </w:rPr>
      </w:pPr>
      <w:r>
        <w:rPr>
          <w:color w:val="auto"/>
        </w:rPr>
        <w:drawing>
          <wp:inline distT="0" distB="0" distL="114300" distR="114300">
            <wp:extent cx="7356475" cy="4850765"/>
            <wp:effectExtent l="0" t="0" r="15875" b="6985"/>
            <wp:docPr id="2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7"/>
                    <pic:cNvPicPr>
                      <a:picLocks noChangeAspect="1"/>
                    </pic:cNvPicPr>
                  </pic:nvPicPr>
                  <pic:blipFill>
                    <a:blip r:embed="rId28"/>
                    <a:stretch>
                      <a:fillRect/>
                    </a:stretch>
                  </pic:blipFill>
                  <pic:spPr>
                    <a:xfrm>
                      <a:off x="0" y="0"/>
                      <a:ext cx="7356475" cy="4850765"/>
                    </a:xfrm>
                    <a:prstGeom prst="rect">
                      <a:avLst/>
                    </a:prstGeom>
                    <a:noFill/>
                    <a:ln>
                      <a:noFill/>
                    </a:ln>
                  </pic:spPr>
                </pic:pic>
              </a:graphicData>
            </a:graphic>
          </wp:inline>
        </w:drawing>
      </w:r>
    </w:p>
    <w:p w14:paraId="1284F9BE">
      <w:pPr>
        <w:pStyle w:val="15"/>
        <w:jc w:val="center"/>
        <w:rPr>
          <w:rFonts w:hint="eastAsia"/>
          <w:color w:val="auto"/>
          <w:lang w:eastAsia="zh-CN"/>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color w:val="auto"/>
        </w:rPr>
        <w:drawing>
          <wp:inline distT="0" distB="0" distL="114300" distR="114300">
            <wp:extent cx="7781925" cy="5127625"/>
            <wp:effectExtent l="0" t="0" r="9525" b="15875"/>
            <wp:docPr id="3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8"/>
                    <pic:cNvPicPr>
                      <a:picLocks noChangeAspect="1"/>
                    </pic:cNvPicPr>
                  </pic:nvPicPr>
                  <pic:blipFill>
                    <a:blip r:embed="rId29"/>
                    <a:stretch>
                      <a:fillRect/>
                    </a:stretch>
                  </pic:blipFill>
                  <pic:spPr>
                    <a:xfrm>
                      <a:off x="0" y="0"/>
                      <a:ext cx="7781925" cy="5127625"/>
                    </a:xfrm>
                    <a:prstGeom prst="rect">
                      <a:avLst/>
                    </a:prstGeom>
                    <a:noFill/>
                    <a:ln>
                      <a:noFill/>
                    </a:ln>
                  </pic:spPr>
                </pic:pic>
              </a:graphicData>
            </a:graphic>
          </wp:inline>
        </w:drawing>
      </w:r>
      <w:r>
        <w:rPr>
          <w:color w:val="auto"/>
        </w:rPr>
        <w:drawing>
          <wp:inline distT="0" distB="0" distL="114300" distR="114300">
            <wp:extent cx="8208645" cy="5069840"/>
            <wp:effectExtent l="0" t="0" r="1905" b="16510"/>
            <wp:docPr id="3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9"/>
                    <pic:cNvPicPr>
                      <a:picLocks noChangeAspect="1"/>
                    </pic:cNvPicPr>
                  </pic:nvPicPr>
                  <pic:blipFill>
                    <a:blip r:embed="rId30"/>
                    <a:stretch>
                      <a:fillRect/>
                    </a:stretch>
                  </pic:blipFill>
                  <pic:spPr>
                    <a:xfrm>
                      <a:off x="0" y="0"/>
                      <a:ext cx="8208645" cy="5069840"/>
                    </a:xfrm>
                    <a:prstGeom prst="rect">
                      <a:avLst/>
                    </a:prstGeom>
                    <a:noFill/>
                    <a:ln>
                      <a:noFill/>
                    </a:ln>
                  </pic:spPr>
                </pic:pic>
              </a:graphicData>
            </a:graphic>
          </wp:inline>
        </w:drawing>
      </w:r>
      <w:r>
        <w:rPr>
          <w:color w:val="auto"/>
        </w:rPr>
        <w:drawing>
          <wp:inline distT="0" distB="0" distL="114300" distR="114300">
            <wp:extent cx="8202930" cy="5375910"/>
            <wp:effectExtent l="0" t="0" r="7620" b="15240"/>
            <wp:docPr id="3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0"/>
                    <pic:cNvPicPr>
                      <a:picLocks noChangeAspect="1"/>
                    </pic:cNvPicPr>
                  </pic:nvPicPr>
                  <pic:blipFill>
                    <a:blip r:embed="rId31"/>
                    <a:stretch>
                      <a:fillRect/>
                    </a:stretch>
                  </pic:blipFill>
                  <pic:spPr>
                    <a:xfrm>
                      <a:off x="0" y="0"/>
                      <a:ext cx="8202930" cy="5375910"/>
                    </a:xfrm>
                    <a:prstGeom prst="rect">
                      <a:avLst/>
                    </a:prstGeom>
                    <a:noFill/>
                    <a:ln>
                      <a:noFill/>
                    </a:ln>
                  </pic:spPr>
                </pic:pic>
              </a:graphicData>
            </a:graphic>
          </wp:inline>
        </w:drawing>
      </w:r>
      <w:r>
        <w:rPr>
          <w:color w:val="auto"/>
        </w:rPr>
        <w:drawing>
          <wp:inline distT="0" distB="0" distL="114300" distR="114300">
            <wp:extent cx="8579485" cy="5236845"/>
            <wp:effectExtent l="0" t="0" r="12065" b="1905"/>
            <wp:docPr id="3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1"/>
                    <pic:cNvPicPr>
                      <a:picLocks noChangeAspect="1"/>
                    </pic:cNvPicPr>
                  </pic:nvPicPr>
                  <pic:blipFill>
                    <a:blip r:embed="rId32"/>
                    <a:stretch>
                      <a:fillRect/>
                    </a:stretch>
                  </pic:blipFill>
                  <pic:spPr>
                    <a:xfrm>
                      <a:off x="0" y="0"/>
                      <a:ext cx="8579485" cy="5236845"/>
                    </a:xfrm>
                    <a:prstGeom prst="rect">
                      <a:avLst/>
                    </a:prstGeom>
                    <a:noFill/>
                    <a:ln>
                      <a:noFill/>
                    </a:ln>
                  </pic:spPr>
                </pic:pic>
              </a:graphicData>
            </a:graphic>
          </wp:inline>
        </w:drawing>
      </w:r>
      <w:r>
        <w:rPr>
          <w:color w:val="auto"/>
        </w:rPr>
        <w:drawing>
          <wp:inline distT="0" distB="0" distL="114300" distR="114300">
            <wp:extent cx="8295640" cy="5279390"/>
            <wp:effectExtent l="0" t="0" r="10160" b="16510"/>
            <wp:docPr id="3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2"/>
                    <pic:cNvPicPr>
                      <a:picLocks noChangeAspect="1"/>
                    </pic:cNvPicPr>
                  </pic:nvPicPr>
                  <pic:blipFill>
                    <a:blip r:embed="rId33"/>
                    <a:stretch>
                      <a:fillRect/>
                    </a:stretch>
                  </pic:blipFill>
                  <pic:spPr>
                    <a:xfrm>
                      <a:off x="0" y="0"/>
                      <a:ext cx="8295640" cy="5279390"/>
                    </a:xfrm>
                    <a:prstGeom prst="rect">
                      <a:avLst/>
                    </a:prstGeom>
                    <a:noFill/>
                    <a:ln>
                      <a:noFill/>
                    </a:ln>
                  </pic:spPr>
                </pic:pic>
              </a:graphicData>
            </a:graphic>
          </wp:inline>
        </w:drawing>
      </w:r>
      <w:r>
        <w:rPr>
          <w:color w:val="auto"/>
        </w:rPr>
        <w:drawing>
          <wp:inline distT="0" distB="0" distL="114300" distR="114300">
            <wp:extent cx="8073390" cy="5273675"/>
            <wp:effectExtent l="0" t="0" r="3810" b="3175"/>
            <wp:docPr id="3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3"/>
                    <pic:cNvPicPr>
                      <a:picLocks noChangeAspect="1"/>
                    </pic:cNvPicPr>
                  </pic:nvPicPr>
                  <pic:blipFill>
                    <a:blip r:embed="rId34"/>
                    <a:stretch>
                      <a:fillRect/>
                    </a:stretch>
                  </pic:blipFill>
                  <pic:spPr>
                    <a:xfrm>
                      <a:off x="0" y="0"/>
                      <a:ext cx="8073390" cy="5273675"/>
                    </a:xfrm>
                    <a:prstGeom prst="rect">
                      <a:avLst/>
                    </a:prstGeom>
                    <a:noFill/>
                    <a:ln>
                      <a:noFill/>
                    </a:ln>
                  </pic:spPr>
                </pic:pic>
              </a:graphicData>
            </a:graphic>
          </wp:inline>
        </w:drawing>
      </w:r>
      <w:r>
        <w:rPr>
          <w:color w:val="auto"/>
        </w:rPr>
        <w:drawing>
          <wp:inline distT="0" distB="0" distL="114300" distR="114300">
            <wp:extent cx="7812405" cy="5269865"/>
            <wp:effectExtent l="0" t="0" r="17145" b="6985"/>
            <wp:docPr id="3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4"/>
                    <pic:cNvPicPr>
                      <a:picLocks noChangeAspect="1"/>
                    </pic:cNvPicPr>
                  </pic:nvPicPr>
                  <pic:blipFill>
                    <a:blip r:embed="rId35"/>
                    <a:stretch>
                      <a:fillRect/>
                    </a:stretch>
                  </pic:blipFill>
                  <pic:spPr>
                    <a:xfrm>
                      <a:off x="0" y="0"/>
                      <a:ext cx="7812405" cy="5269865"/>
                    </a:xfrm>
                    <a:prstGeom prst="rect">
                      <a:avLst/>
                    </a:prstGeom>
                    <a:noFill/>
                    <a:ln>
                      <a:noFill/>
                    </a:ln>
                  </pic:spPr>
                </pic:pic>
              </a:graphicData>
            </a:graphic>
          </wp:inline>
        </w:drawing>
      </w:r>
      <w:r>
        <w:rPr>
          <w:color w:val="auto"/>
        </w:rPr>
        <w:drawing>
          <wp:inline distT="0" distB="0" distL="114300" distR="114300">
            <wp:extent cx="8180070" cy="5239385"/>
            <wp:effectExtent l="0" t="0" r="11430" b="18415"/>
            <wp:docPr id="4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5"/>
                    <pic:cNvPicPr>
                      <a:picLocks noChangeAspect="1"/>
                    </pic:cNvPicPr>
                  </pic:nvPicPr>
                  <pic:blipFill>
                    <a:blip r:embed="rId36"/>
                    <a:stretch>
                      <a:fillRect/>
                    </a:stretch>
                  </pic:blipFill>
                  <pic:spPr>
                    <a:xfrm>
                      <a:off x="0" y="0"/>
                      <a:ext cx="8180070" cy="5239385"/>
                    </a:xfrm>
                    <a:prstGeom prst="rect">
                      <a:avLst/>
                    </a:prstGeom>
                    <a:noFill/>
                    <a:ln>
                      <a:noFill/>
                    </a:ln>
                  </pic:spPr>
                </pic:pic>
              </a:graphicData>
            </a:graphic>
          </wp:inline>
        </w:drawing>
      </w:r>
      <w:r>
        <w:rPr>
          <w:color w:val="auto"/>
        </w:rPr>
        <w:drawing>
          <wp:inline distT="0" distB="0" distL="114300" distR="114300">
            <wp:extent cx="7853680" cy="5132070"/>
            <wp:effectExtent l="0" t="0" r="13970" b="11430"/>
            <wp:docPr id="4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6"/>
                    <pic:cNvPicPr>
                      <a:picLocks noChangeAspect="1"/>
                    </pic:cNvPicPr>
                  </pic:nvPicPr>
                  <pic:blipFill>
                    <a:blip r:embed="rId37"/>
                    <a:stretch>
                      <a:fillRect/>
                    </a:stretch>
                  </pic:blipFill>
                  <pic:spPr>
                    <a:xfrm>
                      <a:off x="0" y="0"/>
                      <a:ext cx="7853680" cy="5132070"/>
                    </a:xfrm>
                    <a:prstGeom prst="rect">
                      <a:avLst/>
                    </a:prstGeom>
                    <a:noFill/>
                    <a:ln>
                      <a:noFill/>
                    </a:ln>
                  </pic:spPr>
                </pic:pic>
              </a:graphicData>
            </a:graphic>
          </wp:inline>
        </w:drawing>
      </w:r>
    </w:p>
    <w:p w14:paraId="460E6DB2">
      <w:pPr>
        <w:pStyle w:val="5"/>
        <w:bidi w:val="0"/>
        <w:ind w:left="0" w:leftChars="0" w:firstLine="0" w:firstLineChars="0"/>
        <w:jc w:val="left"/>
        <w:rPr>
          <w:rFonts w:hint="default"/>
          <w:color w:val="auto"/>
          <w:lang w:val="en-US" w:eastAsia="zh-CN"/>
        </w:rPr>
      </w:pPr>
      <w:r>
        <w:rPr>
          <w:rFonts w:hint="default" w:ascii="Times New Roman" w:hAnsi="Times New Roman" w:eastAsia="宋体" w:cs="Times New Roman"/>
          <w:color w:val="auto"/>
          <w:sz w:val="21"/>
          <w:szCs w:val="21"/>
          <w:highlight w:val="none"/>
          <w:lang w:val="en-US" w:eastAsia="zh-CN"/>
        </w:rPr>
        <w:t>附件</w:t>
      </w:r>
      <w:r>
        <w:rPr>
          <w:rFonts w:hint="eastAsia" w:eastAsia="宋体" w:cs="Times New Roman"/>
          <w:color w:val="auto"/>
          <w:sz w:val="21"/>
          <w:szCs w:val="21"/>
          <w:highlight w:val="none"/>
          <w:lang w:val="en-US" w:eastAsia="zh-CN"/>
        </w:rPr>
        <w:t>2土地租赁协议及土地证明文件</w:t>
      </w:r>
      <w:r>
        <w:rPr>
          <w:color w:val="auto"/>
        </w:rPr>
        <w:drawing>
          <wp:inline distT="0" distB="0" distL="114300" distR="114300">
            <wp:extent cx="5353050" cy="8192135"/>
            <wp:effectExtent l="0" t="0" r="0" b="18415"/>
            <wp:docPr id="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
                    <pic:cNvPicPr>
                      <a:picLocks noChangeAspect="1"/>
                    </pic:cNvPicPr>
                  </pic:nvPicPr>
                  <pic:blipFill>
                    <a:blip r:embed="rId38"/>
                    <a:stretch>
                      <a:fillRect/>
                    </a:stretch>
                  </pic:blipFill>
                  <pic:spPr>
                    <a:xfrm>
                      <a:off x="0" y="0"/>
                      <a:ext cx="5353050" cy="8192135"/>
                    </a:xfrm>
                    <a:prstGeom prst="rect">
                      <a:avLst/>
                    </a:prstGeom>
                    <a:noFill/>
                    <a:ln>
                      <a:noFill/>
                    </a:ln>
                  </pic:spPr>
                </pic:pic>
              </a:graphicData>
            </a:graphic>
          </wp:inline>
        </w:drawing>
      </w:r>
      <w:r>
        <w:rPr>
          <w:color w:val="auto"/>
        </w:rPr>
        <w:drawing>
          <wp:inline distT="0" distB="0" distL="114300" distR="114300">
            <wp:extent cx="5153025" cy="7210425"/>
            <wp:effectExtent l="0" t="0" r="9525" b="9525"/>
            <wp:docPr id="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8"/>
                    <pic:cNvPicPr>
                      <a:picLocks noChangeAspect="1"/>
                    </pic:cNvPicPr>
                  </pic:nvPicPr>
                  <pic:blipFill>
                    <a:blip r:embed="rId39"/>
                    <a:stretch>
                      <a:fillRect/>
                    </a:stretch>
                  </pic:blipFill>
                  <pic:spPr>
                    <a:xfrm>
                      <a:off x="0" y="0"/>
                      <a:ext cx="5153025" cy="7210425"/>
                    </a:xfrm>
                    <a:prstGeom prst="rect">
                      <a:avLst/>
                    </a:prstGeom>
                    <a:noFill/>
                    <a:ln>
                      <a:noFill/>
                    </a:ln>
                  </pic:spPr>
                </pic:pic>
              </a:graphicData>
            </a:graphic>
          </wp:inline>
        </w:drawing>
      </w:r>
      <w:r>
        <w:rPr>
          <w:color w:val="auto"/>
        </w:rPr>
        <w:drawing>
          <wp:inline distT="0" distB="0" distL="114300" distR="114300">
            <wp:extent cx="5242560" cy="7334250"/>
            <wp:effectExtent l="0" t="0" r="15240" b="0"/>
            <wp:docPr id="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9"/>
                    <pic:cNvPicPr>
                      <a:picLocks noChangeAspect="1"/>
                    </pic:cNvPicPr>
                  </pic:nvPicPr>
                  <pic:blipFill>
                    <a:blip r:embed="rId40"/>
                    <a:stretch>
                      <a:fillRect/>
                    </a:stretch>
                  </pic:blipFill>
                  <pic:spPr>
                    <a:xfrm>
                      <a:off x="0" y="0"/>
                      <a:ext cx="5242560" cy="7334250"/>
                    </a:xfrm>
                    <a:prstGeom prst="rect">
                      <a:avLst/>
                    </a:prstGeom>
                    <a:noFill/>
                    <a:ln>
                      <a:noFill/>
                    </a:ln>
                  </pic:spPr>
                </pic:pic>
              </a:graphicData>
            </a:graphic>
          </wp:inline>
        </w:drawing>
      </w:r>
    </w:p>
    <w:p w14:paraId="1AB95834">
      <w:pPr>
        <w:jc w:val="center"/>
        <w:rPr>
          <w:rFonts w:hint="eastAsia" w:ascii="Times New Roman" w:hAnsi="Times New Roman" w:eastAsia="宋体" w:cs="Times New Roman"/>
          <w:color w:val="auto"/>
          <w:highlight w:val="none"/>
          <w:lang w:eastAsia="zh-CN"/>
        </w:rPr>
      </w:pPr>
      <w:r>
        <w:rPr>
          <w:color w:val="auto"/>
        </w:rPr>
        <w:drawing>
          <wp:inline distT="0" distB="0" distL="114300" distR="114300">
            <wp:extent cx="5359400" cy="6337935"/>
            <wp:effectExtent l="0" t="0" r="12700" b="5715"/>
            <wp:docPr id="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0"/>
                    <pic:cNvPicPr>
                      <a:picLocks noChangeAspect="1"/>
                    </pic:cNvPicPr>
                  </pic:nvPicPr>
                  <pic:blipFill>
                    <a:blip r:embed="rId41"/>
                    <a:stretch>
                      <a:fillRect/>
                    </a:stretch>
                  </pic:blipFill>
                  <pic:spPr>
                    <a:xfrm>
                      <a:off x="0" y="0"/>
                      <a:ext cx="5359400" cy="6337935"/>
                    </a:xfrm>
                    <a:prstGeom prst="rect">
                      <a:avLst/>
                    </a:prstGeom>
                    <a:noFill/>
                    <a:ln>
                      <a:noFill/>
                    </a:ln>
                  </pic:spPr>
                </pic:pic>
              </a:graphicData>
            </a:graphic>
          </wp:inline>
        </w:drawing>
      </w:r>
      <w:r>
        <w:rPr>
          <w:color w:val="auto"/>
        </w:rPr>
        <w:drawing>
          <wp:inline distT="0" distB="0" distL="114300" distR="114300">
            <wp:extent cx="5356860" cy="6029960"/>
            <wp:effectExtent l="0" t="0" r="15240" b="8890"/>
            <wp:docPr id="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1"/>
                    <pic:cNvPicPr>
                      <a:picLocks noChangeAspect="1"/>
                    </pic:cNvPicPr>
                  </pic:nvPicPr>
                  <pic:blipFill>
                    <a:blip r:embed="rId42"/>
                    <a:stretch>
                      <a:fillRect/>
                    </a:stretch>
                  </pic:blipFill>
                  <pic:spPr>
                    <a:xfrm>
                      <a:off x="0" y="0"/>
                      <a:ext cx="5356860" cy="6029960"/>
                    </a:xfrm>
                    <a:prstGeom prst="rect">
                      <a:avLst/>
                    </a:prstGeom>
                    <a:noFill/>
                    <a:ln>
                      <a:noFill/>
                    </a:ln>
                  </pic:spPr>
                </pic:pic>
              </a:graphicData>
            </a:graphic>
          </wp:inline>
        </w:drawing>
      </w:r>
    </w:p>
    <w:p w14:paraId="45674314">
      <w:pPr>
        <w:pStyle w:val="5"/>
        <w:ind w:left="0" w:leftChars="0" w:firstLine="0" w:firstLineChars="0"/>
        <w:rPr>
          <w:rFonts w:hint="eastAsia" w:eastAsia="宋体" w:cs="Times New Roman"/>
          <w:color w:val="auto"/>
          <w:sz w:val="21"/>
          <w:szCs w:val="21"/>
          <w:highlight w:val="none"/>
          <w:lang w:val="en-US" w:eastAsia="zh-CN"/>
        </w:rPr>
      </w:pPr>
    </w:p>
    <w:p w14:paraId="7AB1829C">
      <w:pPr>
        <w:pStyle w:val="5"/>
        <w:ind w:left="0" w:leftChars="0" w:firstLine="0" w:firstLineChars="0"/>
        <w:rPr>
          <w:rFonts w:hint="eastAsia" w:eastAsia="宋体" w:cs="Times New Roman"/>
          <w:color w:val="auto"/>
          <w:sz w:val="21"/>
          <w:szCs w:val="21"/>
          <w:highlight w:val="none"/>
          <w:lang w:val="en-US" w:eastAsia="zh-CN"/>
        </w:rPr>
      </w:pPr>
    </w:p>
    <w:p w14:paraId="17EF3AA8">
      <w:pPr>
        <w:rPr>
          <w:rFonts w:hint="eastAsia" w:eastAsia="宋体" w:cs="Times New Roman"/>
          <w:color w:val="auto"/>
          <w:sz w:val="21"/>
          <w:szCs w:val="21"/>
          <w:highlight w:val="none"/>
          <w:lang w:val="en-US" w:eastAsia="zh-CN"/>
        </w:rPr>
      </w:pPr>
    </w:p>
    <w:p w14:paraId="3D978BD6">
      <w:pPr>
        <w:pStyle w:val="15"/>
        <w:rPr>
          <w:rFonts w:hint="eastAsia" w:eastAsia="宋体" w:cs="Times New Roman"/>
          <w:color w:val="auto"/>
          <w:sz w:val="21"/>
          <w:szCs w:val="21"/>
          <w:highlight w:val="none"/>
          <w:lang w:val="en-US" w:eastAsia="zh-CN"/>
        </w:rPr>
      </w:pPr>
    </w:p>
    <w:p w14:paraId="699595D3">
      <w:pPr>
        <w:pStyle w:val="43"/>
        <w:rPr>
          <w:rFonts w:hint="eastAsia" w:eastAsia="宋体" w:cs="Times New Roman"/>
          <w:color w:val="auto"/>
          <w:sz w:val="21"/>
          <w:szCs w:val="21"/>
          <w:highlight w:val="none"/>
          <w:lang w:val="en-US" w:eastAsia="zh-CN"/>
        </w:rPr>
      </w:pPr>
    </w:p>
    <w:p w14:paraId="11C831A5">
      <w:pPr>
        <w:pStyle w:val="44"/>
        <w:rPr>
          <w:rFonts w:hint="eastAsia" w:eastAsia="宋体" w:cs="Times New Roman"/>
          <w:color w:val="auto"/>
          <w:sz w:val="21"/>
          <w:szCs w:val="21"/>
          <w:highlight w:val="none"/>
          <w:lang w:val="en-US" w:eastAsia="zh-CN"/>
        </w:rPr>
      </w:pPr>
    </w:p>
    <w:p w14:paraId="679AD1B9">
      <w:pPr>
        <w:pStyle w:val="5"/>
        <w:ind w:left="0" w:leftChars="0" w:firstLine="0" w:firstLineChars="0"/>
        <w:rPr>
          <w:rFonts w:hint="eastAsia" w:eastAsia="宋体" w:cs="Times New Roman"/>
          <w:color w:val="auto"/>
          <w:sz w:val="21"/>
          <w:szCs w:val="21"/>
          <w:highlight w:val="none"/>
          <w:lang w:val="en-US" w:eastAsia="zh-CN"/>
        </w:rPr>
      </w:pPr>
    </w:p>
    <w:p w14:paraId="5D1139E9">
      <w:pPr>
        <w:pStyle w:val="5"/>
        <w:ind w:left="0" w:leftChars="0" w:firstLine="0" w:firstLineChars="0"/>
        <w:jc w:val="left"/>
        <w:rPr>
          <w:rFonts w:hint="eastAsia" w:eastAsia="宋体" w:cs="Times New Roman"/>
          <w:color w:val="auto"/>
          <w:sz w:val="21"/>
          <w:szCs w:val="21"/>
          <w:highlight w:val="none"/>
          <w:lang w:val="en-US" w:eastAsia="zh-CN"/>
        </w:rPr>
      </w:pPr>
    </w:p>
    <w:p w14:paraId="1B8DEF9D">
      <w:pPr>
        <w:rPr>
          <w:rFonts w:hint="eastAsia"/>
          <w:color w:val="auto"/>
          <w:lang w:val="en-US" w:eastAsia="zh-CN"/>
        </w:rPr>
      </w:pPr>
    </w:p>
    <w:p w14:paraId="43FB24DD">
      <w:pPr>
        <w:pStyle w:val="5"/>
        <w:ind w:left="0" w:leftChars="0" w:firstLine="0" w:firstLineChars="0"/>
        <w:jc w:val="left"/>
        <w:rPr>
          <w:rFonts w:hint="eastAsia"/>
          <w:color w:val="auto"/>
          <w:highlight w:val="none"/>
        </w:rPr>
      </w:pPr>
      <w:r>
        <w:rPr>
          <w:rFonts w:hint="eastAsia" w:eastAsia="宋体" w:cs="Times New Roman"/>
          <w:color w:val="auto"/>
          <w:sz w:val="21"/>
          <w:szCs w:val="21"/>
          <w:highlight w:val="none"/>
          <w:lang w:val="en-US" w:eastAsia="zh-CN"/>
        </w:rPr>
        <w:t>附件3</w:t>
      </w:r>
      <w:r>
        <w:rPr>
          <w:rFonts w:hint="eastAsia" w:ascii="宋体" w:hAnsi="宋体" w:eastAsia="宋体" w:cs="宋体"/>
          <w:color w:val="auto"/>
          <w:sz w:val="21"/>
          <w:szCs w:val="21"/>
          <w:highlight w:val="none"/>
        </w:rPr>
        <w:t>生物质成型</w:t>
      </w:r>
      <w:r>
        <w:rPr>
          <w:rFonts w:hint="eastAsia" w:ascii="宋体" w:hAnsi="宋体" w:eastAsia="宋体" w:cs="宋体"/>
          <w:color w:val="auto"/>
          <w:sz w:val="21"/>
          <w:szCs w:val="21"/>
          <w:highlight w:val="none"/>
          <w:lang w:val="en-US" w:eastAsia="zh-CN"/>
        </w:rPr>
        <w:t>燃料</w:t>
      </w:r>
      <w:r>
        <w:rPr>
          <w:rFonts w:hint="eastAsia" w:ascii="宋体" w:hAnsi="宋体" w:eastAsia="宋体" w:cs="宋体"/>
          <w:color w:val="auto"/>
          <w:sz w:val="21"/>
          <w:szCs w:val="21"/>
          <w:highlight w:val="none"/>
        </w:rPr>
        <w:t>分析报告</w:t>
      </w:r>
      <w:r>
        <w:rPr>
          <w:rFonts w:hint="eastAsia"/>
          <w:color w:val="auto"/>
          <w:highlight w:val="none"/>
        </w:rPr>
        <w:drawing>
          <wp:inline distT="0" distB="0" distL="114300" distR="114300">
            <wp:extent cx="5457825" cy="7362825"/>
            <wp:effectExtent l="0" t="0" r="9525" b="9525"/>
            <wp:docPr id="35" name="图片 35" descr="63317402007aae8d41b795b440a7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63317402007aae8d41b795b440a7030"/>
                    <pic:cNvPicPr>
                      <a:picLocks noChangeAspect="1"/>
                    </pic:cNvPicPr>
                  </pic:nvPicPr>
                  <pic:blipFill>
                    <a:blip r:embed="rId43"/>
                    <a:stretch>
                      <a:fillRect/>
                    </a:stretch>
                  </pic:blipFill>
                  <pic:spPr>
                    <a:xfrm>
                      <a:off x="0" y="0"/>
                      <a:ext cx="5457825" cy="7362825"/>
                    </a:xfrm>
                    <a:prstGeom prst="rect">
                      <a:avLst/>
                    </a:prstGeom>
                  </pic:spPr>
                </pic:pic>
              </a:graphicData>
            </a:graphic>
          </wp:inline>
        </w:drawing>
      </w:r>
    </w:p>
    <w:p w14:paraId="3BE5384D">
      <w:pPr>
        <w:bidi w:val="0"/>
        <w:rPr>
          <w:rFonts w:hint="default" w:ascii="Times New Roman" w:hAnsi="Times New Roman" w:eastAsia="宋体" w:cs="Times New Roman"/>
          <w:color w:val="auto"/>
          <w:sz w:val="21"/>
          <w:szCs w:val="21"/>
          <w:highlight w:val="none"/>
        </w:rPr>
      </w:pPr>
    </w:p>
    <w:p w14:paraId="3DD690AF">
      <w:pPr>
        <w:pStyle w:val="5"/>
        <w:spacing w:line="260" w:lineRule="auto"/>
        <w:ind w:left="0" w:firstLine="0"/>
        <w:rPr>
          <w:rFonts w:hint="default" w:ascii="Times New Roman" w:hAnsi="Times New Roman" w:eastAsia="宋体" w:cs="Times New Roman"/>
          <w:color w:val="auto"/>
          <w:sz w:val="21"/>
          <w:szCs w:val="21"/>
          <w:highlight w:val="none"/>
        </w:rPr>
      </w:pPr>
    </w:p>
    <w:p w14:paraId="18575018">
      <w:pPr>
        <w:rPr>
          <w:rFonts w:hint="default"/>
          <w:color w:val="auto"/>
        </w:rPr>
      </w:pPr>
    </w:p>
    <w:p w14:paraId="63A2810E">
      <w:pPr>
        <w:pStyle w:val="5"/>
        <w:spacing w:line="260" w:lineRule="auto"/>
        <w:ind w:left="0" w:firstLine="0"/>
        <w:rPr>
          <w:rFonts w:hint="default" w:ascii="Times New Roman" w:hAnsi="Times New Roman" w:eastAsia="黑体" w:cs="Times New Roman"/>
          <w:color w:val="auto"/>
          <w:highlight w:val="none"/>
          <w:lang w:val="en-US" w:eastAsia="zh-CN"/>
        </w:rPr>
      </w:pPr>
      <w:r>
        <w:rPr>
          <w:rFonts w:hint="default" w:ascii="Times New Roman" w:hAnsi="Times New Roman" w:eastAsia="宋体" w:cs="Times New Roman"/>
          <w:color w:val="auto"/>
          <w:sz w:val="21"/>
          <w:szCs w:val="21"/>
          <w:highlight w:val="none"/>
        </w:rPr>
        <w:t>附件</w:t>
      </w:r>
      <w:r>
        <w:rPr>
          <w:rFonts w:hint="eastAsia" w:eastAsia="宋体" w:cs="Times New Roman"/>
          <w:color w:val="auto"/>
          <w:sz w:val="21"/>
          <w:szCs w:val="21"/>
          <w:highlight w:val="none"/>
          <w:lang w:val="en-US" w:eastAsia="zh-CN"/>
        </w:rPr>
        <w:t>4核定排放量计算说明</w:t>
      </w:r>
    </w:p>
    <w:p w14:paraId="4427A506">
      <w:pPr>
        <w:numPr>
          <w:ilvl w:val="0"/>
          <w:numId w:val="6"/>
        </w:numPr>
        <w:spacing w:line="360" w:lineRule="auto"/>
        <w:ind w:firstLine="422" w:firstLineChars="200"/>
        <w:rPr>
          <w:rFonts w:hint="eastAsia" w:ascii="宋体" w:hAnsi="宋体" w:cs="宋体"/>
          <w:b/>
          <w:color w:val="auto"/>
          <w:szCs w:val="21"/>
          <w:highlight w:val="none"/>
        </w:rPr>
      </w:pPr>
      <w:r>
        <w:rPr>
          <w:rFonts w:hint="eastAsia" w:ascii="宋体" w:hAnsi="宋体" w:cs="宋体"/>
          <w:b/>
          <w:color w:val="auto"/>
          <w:szCs w:val="21"/>
          <w:highlight w:val="none"/>
        </w:rPr>
        <w:t>废气排放总量</w:t>
      </w:r>
    </w:p>
    <w:p w14:paraId="3F14DE53">
      <w:pPr>
        <w:pStyle w:val="159"/>
        <w:adjustRightInd w:val="0"/>
        <w:snapToGrid w:val="0"/>
        <w:spacing w:line="360" w:lineRule="auto"/>
        <w:ind w:firstLineChars="200"/>
        <w:rPr>
          <w:rFonts w:eastAsia="宋体"/>
          <w:color w:val="auto"/>
          <w:sz w:val="21"/>
          <w:szCs w:val="21"/>
          <w:highlight w:val="none"/>
        </w:rPr>
      </w:pPr>
      <w:r>
        <w:rPr>
          <w:rFonts w:eastAsia="宋体"/>
          <w:color w:val="auto"/>
          <w:sz w:val="21"/>
          <w:szCs w:val="21"/>
          <w:highlight w:val="none"/>
        </w:rPr>
        <w:t>根据《排污许可证申请与核发技术规范 工业炉窑》（HJ1121-2020）中表6取值表计算本项目</w:t>
      </w:r>
      <w:r>
        <w:rPr>
          <w:rFonts w:hint="eastAsia"/>
          <w:color w:val="auto"/>
          <w:sz w:val="21"/>
          <w:szCs w:val="21"/>
          <w:highlight w:val="none"/>
          <w:lang w:eastAsia="zh-CN"/>
        </w:rPr>
        <w:t>颗粒物、二氧化硫、</w:t>
      </w:r>
      <w:r>
        <w:rPr>
          <w:rFonts w:eastAsia="宋体"/>
          <w:color w:val="auto"/>
          <w:sz w:val="21"/>
          <w:szCs w:val="21"/>
          <w:highlight w:val="none"/>
        </w:rPr>
        <w:t>氮氧化物绩效值。</w:t>
      </w:r>
      <w:r>
        <w:rPr>
          <w:rFonts w:hint="default" w:ascii="Times New Roman" w:hAnsi="Times New Roman" w:cs="Times New Roman"/>
          <w:color w:val="auto"/>
          <w:sz w:val="21"/>
          <w:szCs w:val="21"/>
          <w:highlight w:val="none"/>
        </w:rPr>
        <w:t>本项目低位发热量（Q</w:t>
      </w:r>
      <w:r>
        <w:rPr>
          <w:rFonts w:hint="default" w:ascii="Times New Roman" w:hAnsi="Times New Roman" w:cs="Times New Roman"/>
          <w:color w:val="auto"/>
          <w:sz w:val="21"/>
          <w:szCs w:val="21"/>
          <w:highlight w:val="none"/>
          <w:vertAlign w:val="subscript"/>
        </w:rPr>
        <w:t>net，ar</w:t>
      </w:r>
      <w:r>
        <w:rPr>
          <w:rFonts w:hint="default" w:ascii="Times New Roman" w:hAnsi="Times New Roman" w:cs="Times New Roman"/>
          <w:color w:val="auto"/>
          <w:sz w:val="21"/>
          <w:szCs w:val="21"/>
          <w:highlight w:val="none"/>
        </w:rPr>
        <w:t>）为</w:t>
      </w:r>
      <w:r>
        <w:rPr>
          <w:rFonts w:hint="eastAsia" w:cs="Times New Roman"/>
          <w:color w:val="auto"/>
          <w:sz w:val="21"/>
          <w:szCs w:val="21"/>
          <w:highlight w:val="none"/>
          <w:lang w:val="en-US" w:eastAsia="zh-CN"/>
        </w:rPr>
        <w:t>17.52</w:t>
      </w:r>
      <w:r>
        <w:rPr>
          <w:rFonts w:hint="default" w:ascii="Times New Roman" w:hAnsi="Times New Roman" w:cs="Times New Roman"/>
          <w:color w:val="auto"/>
          <w:sz w:val="21"/>
          <w:szCs w:val="21"/>
          <w:highlight w:val="none"/>
        </w:rPr>
        <w:t>MJ/kg</w:t>
      </w:r>
      <w:r>
        <w:rPr>
          <w:rFonts w:eastAsia="宋体"/>
          <w:color w:val="auto"/>
          <w:sz w:val="21"/>
          <w:szCs w:val="21"/>
          <w:highlight w:val="none"/>
        </w:rPr>
        <w:t>，采用插值法计算绩效值：</w:t>
      </w:r>
    </w:p>
    <w:p w14:paraId="5D2A3557">
      <w:pPr>
        <w:pStyle w:val="159"/>
        <w:adjustRightInd w:val="0"/>
        <w:snapToGrid w:val="0"/>
        <w:spacing w:line="360" w:lineRule="auto"/>
        <w:ind w:left="0" w:leftChars="0" w:firstLine="0" w:firstLineChars="0"/>
        <w:rPr>
          <w:rFonts w:eastAsia="宋体"/>
          <w:color w:val="auto"/>
          <w:sz w:val="21"/>
          <w:szCs w:val="21"/>
          <w:highlight w:val="none"/>
        </w:rPr>
      </w:pPr>
      <w:r>
        <w:rPr>
          <w:rFonts w:hint="eastAsia"/>
          <w:color w:val="auto"/>
          <w:sz w:val="21"/>
          <w:szCs w:val="21"/>
          <w:highlight w:val="none"/>
          <w:lang w:eastAsia="zh-CN"/>
        </w:rPr>
        <w:t>颗粒物</w:t>
      </w:r>
      <w:r>
        <w:rPr>
          <w:rFonts w:eastAsia="宋体"/>
          <w:color w:val="auto"/>
          <w:sz w:val="21"/>
          <w:szCs w:val="21"/>
          <w:highlight w:val="none"/>
        </w:rPr>
        <w:t>绩效值=0.</w:t>
      </w:r>
      <w:r>
        <w:rPr>
          <w:rFonts w:hint="eastAsia" w:eastAsia="宋体"/>
          <w:color w:val="auto"/>
          <w:sz w:val="21"/>
          <w:szCs w:val="21"/>
          <w:highlight w:val="none"/>
          <w:lang w:val="en-US" w:eastAsia="zh-CN"/>
        </w:rPr>
        <w:t>252</w:t>
      </w:r>
      <w:r>
        <w:rPr>
          <w:rFonts w:eastAsia="宋体"/>
          <w:color w:val="auto"/>
          <w:sz w:val="21"/>
          <w:szCs w:val="21"/>
          <w:highlight w:val="none"/>
        </w:rPr>
        <w:t>+（</w:t>
      </w:r>
      <w:r>
        <w:rPr>
          <w:rFonts w:hint="eastAsia" w:eastAsia="宋体"/>
          <w:color w:val="auto"/>
          <w:sz w:val="21"/>
          <w:szCs w:val="21"/>
          <w:highlight w:val="none"/>
          <w:lang w:val="en-US" w:eastAsia="zh-CN"/>
        </w:rPr>
        <w:t>0.276</w:t>
      </w:r>
      <w:r>
        <w:rPr>
          <w:rFonts w:eastAsia="宋体"/>
          <w:color w:val="auto"/>
          <w:sz w:val="21"/>
          <w:szCs w:val="21"/>
          <w:highlight w:val="none"/>
        </w:rPr>
        <w:t>-0.</w:t>
      </w:r>
      <w:r>
        <w:rPr>
          <w:rFonts w:hint="eastAsia" w:eastAsia="宋体"/>
          <w:color w:val="auto"/>
          <w:sz w:val="21"/>
          <w:szCs w:val="21"/>
          <w:highlight w:val="none"/>
          <w:lang w:val="en-US" w:eastAsia="zh-CN"/>
        </w:rPr>
        <w:t>252</w:t>
      </w:r>
      <w:r>
        <w:rPr>
          <w:rFonts w:eastAsia="宋体"/>
          <w:color w:val="auto"/>
          <w:sz w:val="21"/>
          <w:szCs w:val="21"/>
          <w:highlight w:val="none"/>
        </w:rPr>
        <w:t>）×（</w:t>
      </w:r>
      <w:r>
        <w:rPr>
          <w:rFonts w:hint="eastAsia"/>
          <w:color w:val="auto"/>
          <w:sz w:val="21"/>
          <w:szCs w:val="21"/>
          <w:highlight w:val="none"/>
          <w:lang w:val="en-US" w:eastAsia="zh-CN"/>
        </w:rPr>
        <w:t>17.52</w:t>
      </w:r>
      <w:r>
        <w:rPr>
          <w:rFonts w:eastAsia="宋体"/>
          <w:color w:val="auto"/>
          <w:sz w:val="21"/>
          <w:szCs w:val="21"/>
          <w:highlight w:val="none"/>
        </w:rPr>
        <w:t>-</w:t>
      </w:r>
      <w:r>
        <w:rPr>
          <w:rFonts w:hint="eastAsia" w:eastAsia="宋体"/>
          <w:color w:val="auto"/>
          <w:sz w:val="21"/>
          <w:szCs w:val="21"/>
          <w:highlight w:val="none"/>
          <w:lang w:val="en-US" w:eastAsia="zh-CN"/>
        </w:rPr>
        <w:t>16.75</w:t>
      </w:r>
      <w:r>
        <w:rPr>
          <w:rFonts w:eastAsia="宋体"/>
          <w:color w:val="auto"/>
          <w:sz w:val="21"/>
          <w:szCs w:val="21"/>
          <w:highlight w:val="none"/>
        </w:rPr>
        <w:t>）÷（</w:t>
      </w:r>
      <w:r>
        <w:rPr>
          <w:rFonts w:hint="eastAsia" w:eastAsia="宋体"/>
          <w:color w:val="auto"/>
          <w:sz w:val="21"/>
          <w:szCs w:val="21"/>
          <w:highlight w:val="none"/>
          <w:lang w:val="en-US" w:eastAsia="zh-CN"/>
        </w:rPr>
        <w:t>18.84</w:t>
      </w:r>
      <w:r>
        <w:rPr>
          <w:rFonts w:eastAsia="宋体"/>
          <w:color w:val="auto"/>
          <w:sz w:val="21"/>
          <w:szCs w:val="21"/>
          <w:highlight w:val="none"/>
        </w:rPr>
        <w:t>-</w:t>
      </w:r>
      <w:r>
        <w:rPr>
          <w:rFonts w:hint="eastAsia" w:eastAsia="宋体"/>
          <w:color w:val="auto"/>
          <w:sz w:val="21"/>
          <w:szCs w:val="21"/>
          <w:highlight w:val="none"/>
          <w:lang w:val="en-US" w:eastAsia="zh-CN"/>
        </w:rPr>
        <w:t>16.75</w:t>
      </w:r>
      <w:r>
        <w:rPr>
          <w:rFonts w:eastAsia="宋体"/>
          <w:color w:val="auto"/>
          <w:sz w:val="21"/>
          <w:szCs w:val="21"/>
          <w:highlight w:val="none"/>
        </w:rPr>
        <w:t>）=0.</w:t>
      </w:r>
      <w:r>
        <w:rPr>
          <w:rFonts w:hint="eastAsia" w:eastAsia="宋体"/>
          <w:color w:val="auto"/>
          <w:sz w:val="21"/>
          <w:szCs w:val="21"/>
          <w:highlight w:val="none"/>
          <w:lang w:val="en-US" w:eastAsia="zh-CN"/>
        </w:rPr>
        <w:t>25</w:t>
      </w:r>
      <w:r>
        <w:rPr>
          <w:rFonts w:hint="eastAsia"/>
          <w:color w:val="auto"/>
          <w:sz w:val="21"/>
          <w:szCs w:val="21"/>
          <w:highlight w:val="none"/>
          <w:lang w:val="en-US" w:eastAsia="zh-CN"/>
        </w:rPr>
        <w:t>22</w:t>
      </w:r>
      <w:r>
        <w:rPr>
          <w:rFonts w:eastAsia="宋体"/>
          <w:color w:val="auto"/>
          <w:sz w:val="21"/>
          <w:szCs w:val="21"/>
          <w:highlight w:val="none"/>
        </w:rPr>
        <w:t>kg/t原料</w:t>
      </w:r>
    </w:p>
    <w:p w14:paraId="337C8AA5">
      <w:pPr>
        <w:pStyle w:val="159"/>
        <w:adjustRightInd w:val="0"/>
        <w:snapToGrid w:val="0"/>
        <w:spacing w:line="360" w:lineRule="auto"/>
        <w:ind w:left="0" w:leftChars="0" w:firstLine="0" w:firstLineChars="0"/>
        <w:rPr>
          <w:rFonts w:hint="default" w:eastAsia="宋体"/>
          <w:color w:val="auto"/>
          <w:sz w:val="21"/>
          <w:szCs w:val="21"/>
          <w:highlight w:val="none"/>
          <w:lang w:val="en-US" w:eastAsia="zh-CN"/>
        </w:rPr>
      </w:pPr>
      <w:r>
        <w:rPr>
          <w:rFonts w:hint="eastAsia"/>
          <w:color w:val="auto"/>
          <w:sz w:val="21"/>
          <w:szCs w:val="21"/>
          <w:highlight w:val="none"/>
          <w:lang w:eastAsia="zh-CN"/>
        </w:rPr>
        <w:t>二氧化硫绩效值</w:t>
      </w:r>
      <w:r>
        <w:rPr>
          <w:rFonts w:hint="eastAsia"/>
          <w:color w:val="auto"/>
          <w:sz w:val="21"/>
          <w:szCs w:val="21"/>
          <w:highlight w:val="none"/>
          <w:lang w:val="en-US" w:eastAsia="zh-CN"/>
        </w:rPr>
        <w:t>=0.839+（0.919-0.839）</w:t>
      </w:r>
      <w:r>
        <w:rPr>
          <w:rFonts w:eastAsia="宋体"/>
          <w:color w:val="auto"/>
          <w:sz w:val="21"/>
          <w:szCs w:val="21"/>
          <w:highlight w:val="none"/>
        </w:rPr>
        <w:t>×（</w:t>
      </w:r>
      <w:r>
        <w:rPr>
          <w:rFonts w:hint="eastAsia"/>
          <w:color w:val="auto"/>
          <w:sz w:val="21"/>
          <w:szCs w:val="21"/>
          <w:highlight w:val="none"/>
          <w:lang w:val="en-US" w:eastAsia="zh-CN"/>
        </w:rPr>
        <w:t>17.52</w:t>
      </w:r>
      <w:r>
        <w:rPr>
          <w:rFonts w:eastAsia="宋体"/>
          <w:color w:val="auto"/>
          <w:sz w:val="21"/>
          <w:szCs w:val="21"/>
          <w:highlight w:val="none"/>
        </w:rPr>
        <w:t>-</w:t>
      </w:r>
      <w:r>
        <w:rPr>
          <w:rFonts w:hint="eastAsia" w:eastAsia="宋体"/>
          <w:color w:val="auto"/>
          <w:sz w:val="21"/>
          <w:szCs w:val="21"/>
          <w:highlight w:val="none"/>
          <w:lang w:val="en-US" w:eastAsia="zh-CN"/>
        </w:rPr>
        <w:t>16.75</w:t>
      </w:r>
      <w:r>
        <w:rPr>
          <w:rFonts w:eastAsia="宋体"/>
          <w:color w:val="auto"/>
          <w:sz w:val="21"/>
          <w:szCs w:val="21"/>
          <w:highlight w:val="none"/>
        </w:rPr>
        <w:t>）÷（</w:t>
      </w:r>
      <w:r>
        <w:rPr>
          <w:rFonts w:hint="eastAsia" w:eastAsia="宋体"/>
          <w:color w:val="auto"/>
          <w:sz w:val="21"/>
          <w:szCs w:val="21"/>
          <w:highlight w:val="none"/>
          <w:lang w:val="en-US" w:eastAsia="zh-CN"/>
        </w:rPr>
        <w:t>18.84</w:t>
      </w:r>
      <w:r>
        <w:rPr>
          <w:rFonts w:eastAsia="宋体"/>
          <w:color w:val="auto"/>
          <w:sz w:val="21"/>
          <w:szCs w:val="21"/>
          <w:highlight w:val="none"/>
        </w:rPr>
        <w:t>-</w:t>
      </w:r>
      <w:r>
        <w:rPr>
          <w:rFonts w:hint="eastAsia" w:eastAsia="宋体"/>
          <w:color w:val="auto"/>
          <w:sz w:val="21"/>
          <w:szCs w:val="21"/>
          <w:highlight w:val="none"/>
          <w:lang w:val="en-US" w:eastAsia="zh-CN"/>
        </w:rPr>
        <w:t>16.75</w:t>
      </w:r>
      <w:r>
        <w:rPr>
          <w:rFonts w:eastAsia="宋体"/>
          <w:color w:val="auto"/>
          <w:sz w:val="21"/>
          <w:szCs w:val="21"/>
          <w:highlight w:val="none"/>
        </w:rPr>
        <w:t>）</w:t>
      </w:r>
      <w:r>
        <w:rPr>
          <w:rFonts w:hint="eastAsia" w:eastAsia="宋体"/>
          <w:color w:val="auto"/>
          <w:sz w:val="21"/>
          <w:szCs w:val="21"/>
          <w:highlight w:val="none"/>
          <w:lang w:val="en-US" w:eastAsia="zh-CN"/>
        </w:rPr>
        <w:t>=0.8</w:t>
      </w:r>
      <w:r>
        <w:rPr>
          <w:rFonts w:hint="eastAsia"/>
          <w:color w:val="auto"/>
          <w:sz w:val="21"/>
          <w:szCs w:val="21"/>
          <w:highlight w:val="none"/>
          <w:lang w:val="en-US" w:eastAsia="zh-CN"/>
        </w:rPr>
        <w:t>39</w:t>
      </w:r>
      <w:r>
        <w:rPr>
          <w:rFonts w:hint="eastAsia" w:eastAsia="宋体"/>
          <w:color w:val="auto"/>
          <w:sz w:val="21"/>
          <w:szCs w:val="21"/>
          <w:highlight w:val="none"/>
          <w:lang w:val="en-US" w:eastAsia="zh-CN"/>
        </w:rPr>
        <w:t>8</w:t>
      </w:r>
      <w:r>
        <w:rPr>
          <w:rFonts w:eastAsia="宋体"/>
          <w:color w:val="auto"/>
          <w:sz w:val="21"/>
          <w:szCs w:val="21"/>
          <w:highlight w:val="none"/>
        </w:rPr>
        <w:t>kg/t原料</w:t>
      </w:r>
    </w:p>
    <w:p w14:paraId="61179291">
      <w:pPr>
        <w:pStyle w:val="159"/>
        <w:adjustRightInd w:val="0"/>
        <w:snapToGrid w:val="0"/>
        <w:spacing w:line="360" w:lineRule="auto"/>
        <w:ind w:left="0" w:leftChars="0" w:firstLine="0" w:firstLineChars="0"/>
        <w:rPr>
          <w:rFonts w:eastAsia="宋体"/>
          <w:color w:val="auto"/>
          <w:sz w:val="21"/>
          <w:szCs w:val="21"/>
          <w:highlight w:val="none"/>
        </w:rPr>
      </w:pPr>
      <w:r>
        <w:rPr>
          <w:rFonts w:eastAsia="宋体"/>
          <w:color w:val="auto"/>
          <w:sz w:val="21"/>
          <w:szCs w:val="21"/>
          <w:highlight w:val="none"/>
        </w:rPr>
        <w:t>氮氧化合物绩效值=</w:t>
      </w:r>
      <w:r>
        <w:rPr>
          <w:rFonts w:hint="eastAsia" w:eastAsia="宋体"/>
          <w:color w:val="auto"/>
          <w:sz w:val="21"/>
          <w:szCs w:val="21"/>
          <w:highlight w:val="none"/>
          <w:lang w:val="en-US" w:eastAsia="zh-CN"/>
        </w:rPr>
        <w:t>2.516</w:t>
      </w:r>
      <w:r>
        <w:rPr>
          <w:rFonts w:eastAsia="宋体"/>
          <w:color w:val="auto"/>
          <w:sz w:val="21"/>
          <w:szCs w:val="21"/>
          <w:highlight w:val="none"/>
        </w:rPr>
        <w:t>+（</w:t>
      </w:r>
      <w:r>
        <w:rPr>
          <w:rFonts w:hint="eastAsia" w:eastAsia="宋体"/>
          <w:color w:val="auto"/>
          <w:sz w:val="21"/>
          <w:szCs w:val="21"/>
          <w:highlight w:val="none"/>
          <w:lang w:val="en-US" w:eastAsia="zh-CN"/>
        </w:rPr>
        <w:t>2.756</w:t>
      </w:r>
      <w:r>
        <w:rPr>
          <w:rFonts w:eastAsia="宋体"/>
          <w:color w:val="auto"/>
          <w:sz w:val="21"/>
          <w:szCs w:val="21"/>
          <w:highlight w:val="none"/>
        </w:rPr>
        <w:t>-</w:t>
      </w:r>
      <w:r>
        <w:rPr>
          <w:rFonts w:hint="eastAsia" w:eastAsia="宋体"/>
          <w:color w:val="auto"/>
          <w:sz w:val="21"/>
          <w:szCs w:val="21"/>
          <w:highlight w:val="none"/>
          <w:lang w:val="en-US" w:eastAsia="zh-CN"/>
        </w:rPr>
        <w:t>2.516</w:t>
      </w:r>
      <w:r>
        <w:rPr>
          <w:rFonts w:eastAsia="宋体"/>
          <w:color w:val="auto"/>
          <w:sz w:val="21"/>
          <w:szCs w:val="21"/>
          <w:highlight w:val="none"/>
        </w:rPr>
        <w:t>）×（</w:t>
      </w:r>
      <w:r>
        <w:rPr>
          <w:rFonts w:hint="eastAsia"/>
          <w:color w:val="auto"/>
          <w:sz w:val="21"/>
          <w:szCs w:val="21"/>
          <w:highlight w:val="none"/>
          <w:lang w:val="en-US" w:eastAsia="zh-CN"/>
        </w:rPr>
        <w:t>17.52</w:t>
      </w:r>
      <w:r>
        <w:rPr>
          <w:rFonts w:eastAsia="宋体"/>
          <w:color w:val="auto"/>
          <w:sz w:val="21"/>
          <w:szCs w:val="21"/>
          <w:highlight w:val="none"/>
        </w:rPr>
        <w:t>-</w:t>
      </w:r>
      <w:r>
        <w:rPr>
          <w:rFonts w:hint="eastAsia" w:eastAsia="宋体"/>
          <w:color w:val="auto"/>
          <w:sz w:val="21"/>
          <w:szCs w:val="21"/>
          <w:highlight w:val="none"/>
          <w:lang w:val="en-US" w:eastAsia="zh-CN"/>
        </w:rPr>
        <w:t>16.75</w:t>
      </w:r>
      <w:r>
        <w:rPr>
          <w:rFonts w:eastAsia="宋体"/>
          <w:color w:val="auto"/>
          <w:sz w:val="21"/>
          <w:szCs w:val="21"/>
          <w:highlight w:val="none"/>
        </w:rPr>
        <w:t>）÷（</w:t>
      </w:r>
      <w:r>
        <w:rPr>
          <w:rFonts w:hint="eastAsia" w:eastAsia="宋体"/>
          <w:color w:val="auto"/>
          <w:sz w:val="21"/>
          <w:szCs w:val="21"/>
          <w:highlight w:val="none"/>
          <w:lang w:val="en-US" w:eastAsia="zh-CN"/>
        </w:rPr>
        <w:t>18.84</w:t>
      </w:r>
      <w:r>
        <w:rPr>
          <w:rFonts w:eastAsia="宋体"/>
          <w:color w:val="auto"/>
          <w:sz w:val="21"/>
          <w:szCs w:val="21"/>
          <w:highlight w:val="none"/>
        </w:rPr>
        <w:t>-</w:t>
      </w:r>
      <w:r>
        <w:rPr>
          <w:rFonts w:hint="eastAsia" w:eastAsia="宋体"/>
          <w:color w:val="auto"/>
          <w:sz w:val="21"/>
          <w:szCs w:val="21"/>
          <w:highlight w:val="none"/>
          <w:lang w:val="en-US" w:eastAsia="zh-CN"/>
        </w:rPr>
        <w:t>16.75</w:t>
      </w:r>
      <w:r>
        <w:rPr>
          <w:rFonts w:eastAsia="宋体"/>
          <w:color w:val="auto"/>
          <w:sz w:val="21"/>
          <w:szCs w:val="21"/>
          <w:highlight w:val="none"/>
        </w:rPr>
        <w:t>）=</w:t>
      </w:r>
      <w:r>
        <w:rPr>
          <w:rFonts w:hint="eastAsia" w:eastAsia="宋体"/>
          <w:color w:val="auto"/>
          <w:sz w:val="21"/>
          <w:szCs w:val="21"/>
          <w:highlight w:val="none"/>
          <w:lang w:val="en-US" w:eastAsia="zh-CN"/>
        </w:rPr>
        <w:t>2.5</w:t>
      </w:r>
      <w:r>
        <w:rPr>
          <w:rFonts w:hint="eastAsia"/>
          <w:color w:val="auto"/>
          <w:sz w:val="21"/>
          <w:szCs w:val="21"/>
          <w:highlight w:val="none"/>
          <w:lang w:val="en-US" w:eastAsia="zh-CN"/>
        </w:rPr>
        <w:t>18</w:t>
      </w:r>
      <w:r>
        <w:rPr>
          <w:rFonts w:eastAsia="宋体"/>
          <w:color w:val="auto"/>
          <w:sz w:val="21"/>
          <w:szCs w:val="21"/>
          <w:highlight w:val="none"/>
        </w:rPr>
        <w:t>kg/t原料</w:t>
      </w:r>
    </w:p>
    <w:p w14:paraId="73DA5E39">
      <w:pPr>
        <w:pStyle w:val="159"/>
        <w:adjustRightInd w:val="0"/>
        <w:snapToGrid w:val="0"/>
        <w:spacing w:line="500" w:lineRule="exact"/>
        <w:ind w:firstLine="0"/>
        <w:jc w:val="center"/>
        <w:rPr>
          <w:rFonts w:eastAsia="宋体"/>
          <w:b/>
          <w:bCs/>
          <w:color w:val="auto"/>
          <w:sz w:val="21"/>
          <w:szCs w:val="21"/>
          <w:highlight w:val="none"/>
        </w:rPr>
      </w:pPr>
      <w:r>
        <w:rPr>
          <w:rFonts w:eastAsia="宋体"/>
          <w:b/>
          <w:bCs/>
          <w:color w:val="auto"/>
          <w:sz w:val="21"/>
          <w:szCs w:val="21"/>
          <w:highlight w:val="none"/>
        </w:rPr>
        <w:t>表1加热炉、热处理炉、干燥炉（窑）排放口参考绩效值表</w:t>
      </w:r>
    </w:p>
    <w:p w14:paraId="42707A40">
      <w:pPr>
        <w:pStyle w:val="159"/>
        <w:adjustRightInd w:val="0"/>
        <w:snapToGrid w:val="0"/>
        <w:ind w:firstLine="0"/>
        <w:jc w:val="center"/>
        <w:rPr>
          <w:rFonts w:eastAsia="宋体"/>
          <w:color w:val="auto"/>
          <w:sz w:val="21"/>
          <w:szCs w:val="21"/>
          <w:highlight w:val="none"/>
        </w:rPr>
      </w:pPr>
      <w:r>
        <w:rPr>
          <w:color w:val="auto"/>
          <w:highlight w:val="none"/>
        </w:rPr>
        <w:drawing>
          <wp:inline distT="0" distB="0" distL="114300" distR="114300">
            <wp:extent cx="5274310" cy="1818640"/>
            <wp:effectExtent l="0" t="0" r="2540" b="10160"/>
            <wp:docPr id="5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0"/>
                    <pic:cNvPicPr>
                      <a:picLocks noChangeAspect="1"/>
                    </pic:cNvPicPr>
                  </pic:nvPicPr>
                  <pic:blipFill>
                    <a:blip r:embed="rId44"/>
                    <a:stretch>
                      <a:fillRect/>
                    </a:stretch>
                  </pic:blipFill>
                  <pic:spPr>
                    <a:xfrm>
                      <a:off x="0" y="0"/>
                      <a:ext cx="5274310" cy="1818640"/>
                    </a:xfrm>
                    <a:prstGeom prst="rect">
                      <a:avLst/>
                    </a:prstGeom>
                    <a:noFill/>
                    <a:ln>
                      <a:noFill/>
                    </a:ln>
                  </pic:spPr>
                </pic:pic>
              </a:graphicData>
            </a:graphic>
          </wp:inline>
        </w:drawing>
      </w:r>
    </w:p>
    <w:p w14:paraId="6EF463CF">
      <w:pPr>
        <w:pStyle w:val="159"/>
        <w:adjustRightInd w:val="0"/>
        <w:snapToGrid w:val="0"/>
        <w:spacing w:line="360" w:lineRule="auto"/>
        <w:ind w:firstLineChars="200"/>
        <w:rPr>
          <w:rFonts w:eastAsia="宋体"/>
          <w:color w:val="auto"/>
          <w:sz w:val="21"/>
          <w:szCs w:val="21"/>
          <w:highlight w:val="none"/>
        </w:rPr>
      </w:pPr>
      <w:r>
        <w:rPr>
          <w:rFonts w:eastAsia="宋体"/>
          <w:color w:val="auto"/>
          <w:sz w:val="21"/>
          <w:szCs w:val="21"/>
          <w:highlight w:val="none"/>
        </w:rPr>
        <w:t>根据《排污许可证申请与核发技术规范 工业炉窑》（HJ1121-2020）绩效值法核算方法</w:t>
      </w:r>
    </w:p>
    <w:p w14:paraId="52A6BEF6">
      <w:pPr>
        <w:spacing w:line="360" w:lineRule="auto"/>
        <w:jc w:val="center"/>
        <w:rPr>
          <w:color w:val="auto"/>
          <w:szCs w:val="21"/>
          <w:highlight w:val="none"/>
        </w:rPr>
      </w:pPr>
      <w:r>
        <w:rPr>
          <w:color w:val="auto"/>
          <w:szCs w:val="21"/>
          <w:highlight w:val="none"/>
        </w:rPr>
        <w:drawing>
          <wp:inline distT="0" distB="0" distL="114300" distR="114300">
            <wp:extent cx="1423035" cy="742315"/>
            <wp:effectExtent l="0" t="0" r="5715" b="635"/>
            <wp:docPr id="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1"/>
                    <pic:cNvPicPr>
                      <a:picLocks noChangeAspect="1"/>
                    </pic:cNvPicPr>
                  </pic:nvPicPr>
                  <pic:blipFill>
                    <a:blip r:embed="rId45"/>
                    <a:stretch>
                      <a:fillRect/>
                    </a:stretch>
                  </pic:blipFill>
                  <pic:spPr>
                    <a:xfrm>
                      <a:off x="0" y="0"/>
                      <a:ext cx="1423035" cy="742315"/>
                    </a:xfrm>
                    <a:prstGeom prst="rect">
                      <a:avLst/>
                    </a:prstGeom>
                    <a:noFill/>
                    <a:ln>
                      <a:noFill/>
                    </a:ln>
                  </pic:spPr>
                </pic:pic>
              </a:graphicData>
            </a:graphic>
          </wp:inline>
        </w:drawing>
      </w:r>
    </w:p>
    <w:p w14:paraId="65F60D5D">
      <w:pPr>
        <w:pStyle w:val="159"/>
        <w:adjustRightInd w:val="0"/>
        <w:snapToGrid w:val="0"/>
        <w:spacing w:line="360" w:lineRule="auto"/>
        <w:ind w:firstLineChars="200"/>
        <w:rPr>
          <w:rFonts w:eastAsia="宋体"/>
          <w:color w:val="auto"/>
          <w:sz w:val="21"/>
          <w:szCs w:val="21"/>
          <w:highlight w:val="none"/>
        </w:rPr>
      </w:pPr>
      <w:r>
        <w:rPr>
          <w:rFonts w:eastAsia="宋体"/>
          <w:color w:val="auto"/>
          <w:sz w:val="21"/>
          <w:szCs w:val="21"/>
          <w:highlight w:val="none"/>
        </w:rPr>
        <w:t>式中：Mi——第i个排放口污染物年许可排放量，t；</w:t>
      </w:r>
    </w:p>
    <w:p w14:paraId="4C6D99D9">
      <w:pPr>
        <w:pStyle w:val="159"/>
        <w:adjustRightInd w:val="0"/>
        <w:snapToGrid w:val="0"/>
        <w:spacing w:line="360" w:lineRule="auto"/>
        <w:ind w:firstLine="1050" w:firstLineChars="500"/>
        <w:rPr>
          <w:rFonts w:eastAsia="宋体"/>
          <w:color w:val="auto"/>
          <w:sz w:val="21"/>
          <w:szCs w:val="21"/>
          <w:highlight w:val="none"/>
        </w:rPr>
      </w:pPr>
      <w:r>
        <w:rPr>
          <w:rFonts w:eastAsia="宋体"/>
          <w:color w:val="auto"/>
          <w:sz w:val="21"/>
          <w:szCs w:val="21"/>
          <w:highlight w:val="none"/>
        </w:rPr>
        <w:t>R——第i个排放口对应工业炉窑前三年实际产量最大值（若不足一年或前三年实际产量最大值超过设计产能，则以设计产能为准）或前三年实际燃料消耗量最大值（若不足一年或前三年实际燃料消耗量最大值超过设计消耗量，则以设计消耗量为准），万t或万m</w:t>
      </w:r>
      <w:r>
        <w:rPr>
          <w:rFonts w:eastAsia="宋体"/>
          <w:color w:val="auto"/>
          <w:sz w:val="21"/>
          <w:szCs w:val="21"/>
          <w:highlight w:val="none"/>
          <w:vertAlign w:val="superscript"/>
        </w:rPr>
        <w:t>3</w:t>
      </w:r>
      <w:r>
        <w:rPr>
          <w:rFonts w:eastAsia="宋体"/>
          <w:color w:val="auto"/>
          <w:sz w:val="21"/>
          <w:szCs w:val="21"/>
          <w:highlight w:val="none"/>
        </w:rPr>
        <w:t>；</w:t>
      </w:r>
    </w:p>
    <w:p w14:paraId="5498517F">
      <w:pPr>
        <w:pStyle w:val="159"/>
        <w:adjustRightInd w:val="0"/>
        <w:snapToGrid w:val="0"/>
        <w:spacing w:line="360" w:lineRule="auto"/>
        <w:ind w:firstLine="1050" w:firstLineChars="500"/>
        <w:rPr>
          <w:rFonts w:eastAsia="宋体"/>
          <w:color w:val="auto"/>
          <w:sz w:val="21"/>
          <w:szCs w:val="21"/>
          <w:highlight w:val="none"/>
        </w:rPr>
      </w:pPr>
      <w:r>
        <w:rPr>
          <w:rFonts w:eastAsia="宋体"/>
          <w:color w:val="auto"/>
          <w:sz w:val="21"/>
          <w:szCs w:val="21"/>
          <w:highlight w:val="none"/>
        </w:rPr>
        <w:t>G——绩效值，kg/t产品，kg/t燃料或kg/m</w:t>
      </w:r>
      <w:r>
        <w:rPr>
          <w:rFonts w:eastAsia="宋体"/>
          <w:color w:val="auto"/>
          <w:sz w:val="21"/>
          <w:szCs w:val="21"/>
          <w:highlight w:val="none"/>
          <w:vertAlign w:val="superscript"/>
        </w:rPr>
        <w:t>3</w:t>
      </w:r>
      <w:r>
        <w:rPr>
          <w:rFonts w:eastAsia="宋体"/>
          <w:color w:val="auto"/>
          <w:sz w:val="21"/>
          <w:szCs w:val="21"/>
          <w:highlight w:val="none"/>
        </w:rPr>
        <w:t>燃料；</w:t>
      </w:r>
    </w:p>
    <w:p w14:paraId="041CD272">
      <w:pPr>
        <w:pStyle w:val="159"/>
        <w:adjustRightInd w:val="0"/>
        <w:snapToGrid w:val="0"/>
        <w:spacing w:line="360" w:lineRule="auto"/>
        <w:ind w:firstLine="1050" w:firstLineChars="500"/>
        <w:rPr>
          <w:rFonts w:eastAsia="宋体"/>
          <w:color w:val="auto"/>
          <w:sz w:val="21"/>
          <w:szCs w:val="21"/>
          <w:highlight w:val="none"/>
        </w:rPr>
      </w:pPr>
      <w:r>
        <w:rPr>
          <w:rFonts w:eastAsia="宋体"/>
          <w:color w:val="auto"/>
          <w:sz w:val="21"/>
          <w:szCs w:val="21"/>
          <w:highlight w:val="none"/>
        </w:rPr>
        <w:t>E</w:t>
      </w:r>
      <w:r>
        <w:rPr>
          <w:rFonts w:eastAsia="宋体"/>
          <w:color w:val="auto"/>
          <w:sz w:val="21"/>
          <w:szCs w:val="21"/>
          <w:highlight w:val="none"/>
          <w:vertAlign w:val="subscript"/>
        </w:rPr>
        <w:t>年许可</w:t>
      </w:r>
      <w:r>
        <w:rPr>
          <w:rFonts w:eastAsia="宋体"/>
          <w:color w:val="auto"/>
          <w:sz w:val="21"/>
          <w:szCs w:val="21"/>
          <w:highlight w:val="none"/>
        </w:rPr>
        <w:t>——污染物年许可排放量，t。</w:t>
      </w:r>
    </w:p>
    <w:p w14:paraId="4E57979D">
      <w:pPr>
        <w:pStyle w:val="159"/>
        <w:adjustRightInd w:val="0"/>
        <w:snapToGrid w:val="0"/>
        <w:spacing w:line="360" w:lineRule="auto"/>
        <w:ind w:firstLineChars="200"/>
        <w:rPr>
          <w:rFonts w:hint="eastAsia" w:eastAsia="宋体"/>
          <w:color w:val="auto"/>
          <w:sz w:val="21"/>
          <w:szCs w:val="21"/>
          <w:highlight w:val="none"/>
          <w:lang w:eastAsia="zh-CN"/>
        </w:rPr>
      </w:pPr>
      <w:r>
        <w:rPr>
          <w:rFonts w:eastAsia="宋体"/>
          <w:color w:val="auto"/>
          <w:sz w:val="21"/>
          <w:szCs w:val="21"/>
          <w:highlight w:val="none"/>
        </w:rPr>
        <w:t>本项目</w:t>
      </w:r>
      <w:r>
        <w:rPr>
          <w:rFonts w:hint="eastAsia"/>
          <w:color w:val="auto"/>
          <w:sz w:val="21"/>
          <w:szCs w:val="21"/>
          <w:highlight w:val="none"/>
          <w:lang w:val="en-US" w:eastAsia="zh-CN"/>
        </w:rPr>
        <w:t>2台烘干燃烧器</w:t>
      </w:r>
      <w:r>
        <w:rPr>
          <w:rFonts w:eastAsia="宋体"/>
          <w:color w:val="auto"/>
          <w:sz w:val="21"/>
          <w:szCs w:val="21"/>
          <w:highlight w:val="none"/>
        </w:rPr>
        <w:t>设计消耗量</w:t>
      </w:r>
      <w:r>
        <w:rPr>
          <w:rFonts w:hint="eastAsia"/>
          <w:color w:val="auto"/>
          <w:sz w:val="21"/>
          <w:szCs w:val="21"/>
          <w:highlight w:val="none"/>
          <w:lang w:eastAsia="zh-CN"/>
        </w:rPr>
        <w:t>均为</w:t>
      </w:r>
      <w:r>
        <w:rPr>
          <w:rFonts w:hint="eastAsia" w:cs="Times New Roman"/>
          <w:color w:val="auto"/>
          <w:sz w:val="21"/>
          <w:szCs w:val="21"/>
          <w:highlight w:val="none"/>
          <w:lang w:val="en-US" w:eastAsia="zh-CN"/>
        </w:rPr>
        <w:t>4041</w:t>
      </w:r>
      <w:r>
        <w:rPr>
          <w:rFonts w:eastAsia="宋体"/>
          <w:color w:val="auto"/>
          <w:sz w:val="21"/>
          <w:szCs w:val="21"/>
          <w:highlight w:val="none"/>
        </w:rPr>
        <w:t>t/a</w:t>
      </w:r>
    </w:p>
    <w:p w14:paraId="451938A9">
      <w:pPr>
        <w:pStyle w:val="159"/>
        <w:adjustRightInd w:val="0"/>
        <w:snapToGrid w:val="0"/>
        <w:spacing w:line="360" w:lineRule="auto"/>
        <w:ind w:firstLineChars="200"/>
        <w:rPr>
          <w:rFonts w:hint="default" w:eastAsia="宋体"/>
          <w:color w:val="auto"/>
          <w:sz w:val="21"/>
          <w:szCs w:val="21"/>
          <w:highlight w:val="none"/>
          <w:lang w:val="en-US" w:eastAsia="zh-CN"/>
        </w:rPr>
      </w:pPr>
      <w:r>
        <w:rPr>
          <w:rFonts w:eastAsia="宋体"/>
          <w:color w:val="auto"/>
          <w:sz w:val="21"/>
          <w:szCs w:val="21"/>
          <w:highlight w:val="none"/>
        </w:rPr>
        <w:t>则E</w:t>
      </w:r>
      <w:r>
        <w:rPr>
          <w:rFonts w:hint="eastAsia"/>
          <w:color w:val="auto"/>
          <w:sz w:val="21"/>
          <w:szCs w:val="21"/>
          <w:highlight w:val="none"/>
          <w:vertAlign w:val="subscript"/>
          <w:lang w:eastAsia="zh-CN"/>
        </w:rPr>
        <w:t>颗粒物</w:t>
      </w:r>
      <w:r>
        <w:rPr>
          <w:rFonts w:eastAsia="宋体"/>
          <w:color w:val="auto"/>
          <w:sz w:val="21"/>
          <w:szCs w:val="21"/>
          <w:highlight w:val="none"/>
        </w:rPr>
        <w:t>=</w:t>
      </w:r>
      <w:r>
        <w:rPr>
          <w:rFonts w:hint="eastAsia"/>
          <w:color w:val="auto"/>
          <w:sz w:val="21"/>
          <w:szCs w:val="21"/>
          <w:highlight w:val="none"/>
          <w:lang w:val="en-US" w:eastAsia="zh-CN"/>
        </w:rPr>
        <w:t>0.</w:t>
      </w:r>
      <w:r>
        <w:rPr>
          <w:rFonts w:hint="eastAsia" w:cs="Times New Roman"/>
          <w:color w:val="auto"/>
          <w:sz w:val="21"/>
          <w:szCs w:val="21"/>
          <w:highlight w:val="none"/>
          <w:lang w:val="en-US" w:eastAsia="zh-CN"/>
        </w:rPr>
        <w:t>4041</w:t>
      </w:r>
      <w:r>
        <w:rPr>
          <w:rFonts w:eastAsia="宋体"/>
          <w:color w:val="auto"/>
          <w:sz w:val="21"/>
          <w:szCs w:val="21"/>
          <w:highlight w:val="none"/>
        </w:rPr>
        <w:t>t×0.</w:t>
      </w:r>
      <w:r>
        <w:rPr>
          <w:rFonts w:hint="eastAsia" w:eastAsia="宋体"/>
          <w:color w:val="auto"/>
          <w:sz w:val="21"/>
          <w:szCs w:val="21"/>
          <w:highlight w:val="none"/>
          <w:lang w:val="en-US" w:eastAsia="zh-CN"/>
        </w:rPr>
        <w:t>25</w:t>
      </w:r>
      <w:r>
        <w:rPr>
          <w:rFonts w:hint="eastAsia"/>
          <w:color w:val="auto"/>
          <w:sz w:val="21"/>
          <w:szCs w:val="21"/>
          <w:highlight w:val="none"/>
          <w:lang w:val="en-US" w:eastAsia="zh-CN"/>
        </w:rPr>
        <w:t>22</w:t>
      </w:r>
      <w:r>
        <w:rPr>
          <w:rFonts w:eastAsia="宋体"/>
          <w:color w:val="auto"/>
          <w:sz w:val="21"/>
          <w:szCs w:val="21"/>
          <w:highlight w:val="none"/>
        </w:rPr>
        <w:t>×10=</w:t>
      </w:r>
      <w:r>
        <w:rPr>
          <w:rFonts w:hint="eastAsia"/>
          <w:color w:val="auto"/>
          <w:sz w:val="21"/>
          <w:szCs w:val="21"/>
          <w:highlight w:val="none"/>
          <w:lang w:val="en-US" w:eastAsia="zh-CN"/>
        </w:rPr>
        <w:t>1.019t/a</w:t>
      </w:r>
    </w:p>
    <w:p w14:paraId="5311AF99">
      <w:pPr>
        <w:pStyle w:val="159"/>
        <w:adjustRightInd w:val="0"/>
        <w:snapToGrid w:val="0"/>
        <w:spacing w:line="360" w:lineRule="auto"/>
        <w:ind w:firstLine="630" w:firstLineChars="300"/>
        <w:rPr>
          <w:rFonts w:hint="default" w:eastAsia="宋体"/>
          <w:color w:val="auto"/>
          <w:sz w:val="21"/>
          <w:szCs w:val="21"/>
          <w:highlight w:val="none"/>
          <w:lang w:val="en-US"/>
        </w:rPr>
      </w:pPr>
      <w:r>
        <w:rPr>
          <w:rFonts w:eastAsia="宋体"/>
          <w:color w:val="auto"/>
          <w:sz w:val="21"/>
          <w:szCs w:val="21"/>
          <w:highlight w:val="none"/>
        </w:rPr>
        <w:t>E</w:t>
      </w:r>
      <w:r>
        <w:rPr>
          <w:rFonts w:hint="eastAsia" w:eastAsia="宋体"/>
          <w:color w:val="auto"/>
          <w:sz w:val="21"/>
          <w:szCs w:val="21"/>
          <w:highlight w:val="none"/>
          <w:vertAlign w:val="subscript"/>
          <w:lang w:val="en-US" w:eastAsia="zh-CN"/>
        </w:rPr>
        <w:t>SO2</w:t>
      </w:r>
      <w:r>
        <w:rPr>
          <w:rFonts w:eastAsia="宋体"/>
          <w:color w:val="auto"/>
          <w:sz w:val="21"/>
          <w:szCs w:val="21"/>
          <w:highlight w:val="none"/>
        </w:rPr>
        <w:t>=</w:t>
      </w:r>
      <w:r>
        <w:rPr>
          <w:rFonts w:hint="eastAsia"/>
          <w:color w:val="auto"/>
          <w:sz w:val="21"/>
          <w:szCs w:val="21"/>
          <w:highlight w:val="none"/>
          <w:lang w:val="en-US" w:eastAsia="zh-CN"/>
        </w:rPr>
        <w:t>0.</w:t>
      </w:r>
      <w:r>
        <w:rPr>
          <w:rFonts w:hint="eastAsia" w:cs="Times New Roman"/>
          <w:color w:val="auto"/>
          <w:sz w:val="21"/>
          <w:szCs w:val="21"/>
          <w:highlight w:val="none"/>
          <w:lang w:val="en-US" w:eastAsia="zh-CN"/>
        </w:rPr>
        <w:t>4041</w:t>
      </w:r>
      <w:r>
        <w:rPr>
          <w:rFonts w:eastAsia="宋体"/>
          <w:color w:val="auto"/>
          <w:sz w:val="21"/>
          <w:szCs w:val="21"/>
          <w:highlight w:val="none"/>
        </w:rPr>
        <w:t>t×</w:t>
      </w:r>
      <w:r>
        <w:rPr>
          <w:rFonts w:hint="eastAsia" w:eastAsia="宋体"/>
          <w:color w:val="auto"/>
          <w:sz w:val="21"/>
          <w:szCs w:val="21"/>
          <w:highlight w:val="none"/>
          <w:lang w:val="en-US" w:eastAsia="zh-CN"/>
        </w:rPr>
        <w:t>0.8</w:t>
      </w:r>
      <w:r>
        <w:rPr>
          <w:rFonts w:hint="eastAsia"/>
          <w:color w:val="auto"/>
          <w:sz w:val="21"/>
          <w:szCs w:val="21"/>
          <w:highlight w:val="none"/>
          <w:lang w:val="en-US" w:eastAsia="zh-CN"/>
        </w:rPr>
        <w:t>39</w:t>
      </w:r>
      <w:r>
        <w:rPr>
          <w:rFonts w:hint="eastAsia" w:eastAsia="宋体"/>
          <w:color w:val="auto"/>
          <w:sz w:val="21"/>
          <w:szCs w:val="21"/>
          <w:highlight w:val="none"/>
          <w:lang w:val="en-US" w:eastAsia="zh-CN"/>
        </w:rPr>
        <w:t>8</w:t>
      </w:r>
      <w:r>
        <w:rPr>
          <w:rFonts w:eastAsia="宋体"/>
          <w:color w:val="auto"/>
          <w:sz w:val="21"/>
          <w:szCs w:val="21"/>
          <w:highlight w:val="none"/>
        </w:rPr>
        <w:t>×10=</w:t>
      </w:r>
      <w:r>
        <w:rPr>
          <w:rFonts w:hint="eastAsia"/>
          <w:color w:val="auto"/>
          <w:sz w:val="21"/>
          <w:szCs w:val="21"/>
          <w:highlight w:val="none"/>
          <w:lang w:val="en-US" w:eastAsia="zh-CN"/>
        </w:rPr>
        <w:t>3.394t/a</w:t>
      </w:r>
    </w:p>
    <w:p w14:paraId="3F14C880">
      <w:pPr>
        <w:pStyle w:val="159"/>
        <w:adjustRightInd w:val="0"/>
        <w:snapToGrid w:val="0"/>
        <w:spacing w:line="360" w:lineRule="auto"/>
        <w:ind w:firstLine="630" w:firstLineChars="300"/>
        <w:rPr>
          <w:rFonts w:eastAsia="宋体"/>
          <w:color w:val="auto"/>
          <w:sz w:val="21"/>
          <w:szCs w:val="21"/>
          <w:highlight w:val="none"/>
        </w:rPr>
      </w:pPr>
      <w:r>
        <w:rPr>
          <w:rFonts w:eastAsia="宋体"/>
          <w:color w:val="auto"/>
          <w:sz w:val="21"/>
          <w:szCs w:val="21"/>
          <w:highlight w:val="none"/>
        </w:rPr>
        <w:t>E</w:t>
      </w:r>
      <w:r>
        <w:rPr>
          <w:rFonts w:eastAsia="宋体"/>
          <w:color w:val="auto"/>
          <w:sz w:val="21"/>
          <w:szCs w:val="21"/>
          <w:highlight w:val="none"/>
          <w:vertAlign w:val="subscript"/>
        </w:rPr>
        <w:t>NOX</w:t>
      </w:r>
      <w:r>
        <w:rPr>
          <w:rFonts w:eastAsia="宋体"/>
          <w:color w:val="auto"/>
          <w:sz w:val="21"/>
          <w:szCs w:val="21"/>
          <w:highlight w:val="none"/>
        </w:rPr>
        <w:t>=</w:t>
      </w:r>
      <w:r>
        <w:rPr>
          <w:rFonts w:hint="eastAsia"/>
          <w:color w:val="auto"/>
          <w:sz w:val="21"/>
          <w:szCs w:val="21"/>
          <w:highlight w:val="none"/>
          <w:lang w:val="en-US" w:eastAsia="zh-CN"/>
        </w:rPr>
        <w:t>0.</w:t>
      </w:r>
      <w:r>
        <w:rPr>
          <w:rFonts w:hint="eastAsia" w:cs="Times New Roman"/>
          <w:color w:val="auto"/>
          <w:sz w:val="21"/>
          <w:szCs w:val="21"/>
          <w:highlight w:val="none"/>
          <w:lang w:val="en-US" w:eastAsia="zh-CN"/>
        </w:rPr>
        <w:t>4041</w:t>
      </w:r>
      <w:r>
        <w:rPr>
          <w:rFonts w:eastAsia="宋体"/>
          <w:color w:val="auto"/>
          <w:sz w:val="21"/>
          <w:szCs w:val="21"/>
          <w:highlight w:val="none"/>
        </w:rPr>
        <w:t>t×</w:t>
      </w:r>
      <w:r>
        <w:rPr>
          <w:rFonts w:hint="eastAsia" w:eastAsia="宋体"/>
          <w:color w:val="auto"/>
          <w:sz w:val="21"/>
          <w:szCs w:val="21"/>
          <w:highlight w:val="none"/>
          <w:lang w:val="en-US" w:eastAsia="zh-CN"/>
        </w:rPr>
        <w:t>2.5</w:t>
      </w:r>
      <w:r>
        <w:rPr>
          <w:rFonts w:hint="eastAsia"/>
          <w:color w:val="auto"/>
          <w:sz w:val="21"/>
          <w:szCs w:val="21"/>
          <w:highlight w:val="none"/>
          <w:lang w:val="en-US" w:eastAsia="zh-CN"/>
        </w:rPr>
        <w:t>18</w:t>
      </w:r>
      <w:r>
        <w:rPr>
          <w:rFonts w:eastAsia="宋体"/>
          <w:color w:val="auto"/>
          <w:sz w:val="21"/>
          <w:szCs w:val="21"/>
          <w:highlight w:val="none"/>
        </w:rPr>
        <w:t>×10=</w:t>
      </w:r>
      <w:r>
        <w:rPr>
          <w:rFonts w:hint="eastAsia"/>
          <w:color w:val="auto"/>
          <w:sz w:val="21"/>
          <w:szCs w:val="21"/>
          <w:highlight w:val="none"/>
          <w:lang w:val="en-US" w:eastAsia="zh-CN"/>
        </w:rPr>
        <w:t>10.175t/a</w:t>
      </w:r>
    </w:p>
    <w:p w14:paraId="619DF7BD">
      <w:pPr>
        <w:pStyle w:val="159"/>
        <w:adjustRightInd w:val="0"/>
        <w:snapToGrid w:val="0"/>
        <w:spacing w:line="360" w:lineRule="auto"/>
        <w:rPr>
          <w:rFonts w:hint="default" w:eastAsia="宋体"/>
          <w:color w:val="auto"/>
          <w:sz w:val="21"/>
          <w:szCs w:val="21"/>
          <w:highlight w:val="none"/>
          <w:lang w:val="en-US" w:eastAsia="zh-CN"/>
        </w:rPr>
      </w:pPr>
      <w:r>
        <w:rPr>
          <w:rFonts w:hint="eastAsia"/>
          <w:color w:val="auto"/>
          <w:sz w:val="21"/>
          <w:szCs w:val="21"/>
          <w:highlight w:val="none"/>
          <w:lang w:eastAsia="zh-CN"/>
        </w:rPr>
        <w:t>则</w:t>
      </w:r>
      <w:r>
        <w:rPr>
          <w:rFonts w:hint="eastAsia"/>
          <w:color w:val="auto"/>
          <w:sz w:val="21"/>
          <w:szCs w:val="21"/>
          <w:highlight w:val="none"/>
          <w:lang w:val="en-US" w:eastAsia="zh-CN"/>
        </w:rPr>
        <w:t>2台烘干燃烧器</w:t>
      </w:r>
      <w:r>
        <w:rPr>
          <w:rFonts w:hint="eastAsia"/>
          <w:color w:val="auto"/>
          <w:sz w:val="21"/>
          <w:szCs w:val="21"/>
          <w:highlight w:val="none"/>
          <w:lang w:eastAsia="zh-CN"/>
        </w:rPr>
        <w:t>总核定排放量为：颗粒物</w:t>
      </w:r>
      <w:r>
        <w:rPr>
          <w:rFonts w:hint="eastAsia"/>
          <w:color w:val="auto"/>
          <w:sz w:val="21"/>
          <w:szCs w:val="21"/>
          <w:highlight w:val="none"/>
          <w:lang w:val="en-US" w:eastAsia="zh-CN"/>
        </w:rPr>
        <w:t>2.038t/a，SO</w:t>
      </w:r>
      <w:r>
        <w:rPr>
          <w:rFonts w:hint="eastAsia"/>
          <w:color w:val="auto"/>
          <w:sz w:val="21"/>
          <w:szCs w:val="21"/>
          <w:highlight w:val="none"/>
          <w:vertAlign w:val="subscript"/>
          <w:lang w:val="en-US" w:eastAsia="zh-CN"/>
        </w:rPr>
        <w:t>2</w:t>
      </w:r>
      <w:r>
        <w:rPr>
          <w:rFonts w:hint="eastAsia"/>
          <w:color w:val="auto"/>
          <w:sz w:val="21"/>
          <w:szCs w:val="21"/>
          <w:highlight w:val="none"/>
          <w:lang w:val="en-US" w:eastAsia="zh-CN"/>
        </w:rPr>
        <w:t xml:space="preserve"> 6.788t/a，NOx 20.35t/a</w:t>
      </w:r>
    </w:p>
    <w:p w14:paraId="227E2125">
      <w:pPr>
        <w:pStyle w:val="159"/>
        <w:numPr>
          <w:ilvl w:val="0"/>
          <w:numId w:val="5"/>
        </w:numPr>
        <w:adjustRightInd w:val="0"/>
        <w:snapToGrid w:val="0"/>
        <w:spacing w:line="360" w:lineRule="auto"/>
        <w:ind w:left="0" w:leftChars="0" w:firstLine="420" w:firstLineChars="200"/>
        <w:rPr>
          <w:rFonts w:hint="eastAsia"/>
          <w:color w:val="auto"/>
          <w:sz w:val="21"/>
          <w:szCs w:val="21"/>
          <w:highlight w:val="none"/>
          <w:lang w:val="en-US" w:eastAsia="zh-CN"/>
        </w:rPr>
      </w:pPr>
      <w:r>
        <w:rPr>
          <w:rFonts w:hint="eastAsia"/>
          <w:color w:val="auto"/>
          <w:sz w:val="21"/>
          <w:szCs w:val="21"/>
          <w:highlight w:val="none"/>
          <w:lang w:val="en-US" w:eastAsia="zh-CN"/>
        </w:rPr>
        <w:t>生产工序颗粒物</w:t>
      </w:r>
    </w:p>
    <w:p w14:paraId="387BAD0F">
      <w:pPr>
        <w:pStyle w:val="159"/>
        <w:keepNext w:val="0"/>
        <w:keepLines w:val="0"/>
        <w:pageBreakBefore w:val="0"/>
        <w:widowControl/>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eastAsia="宋体" w:cs="Times New Roman"/>
          <w:color w:val="auto"/>
          <w:sz w:val="21"/>
          <w:szCs w:val="21"/>
          <w:highlight w:val="none"/>
          <w:lang w:val="en-US"/>
        </w:rPr>
      </w:pPr>
      <w:r>
        <w:rPr>
          <w:rFonts w:hint="eastAsia" w:cs="Times New Roman"/>
          <w:color w:val="auto"/>
          <w:sz w:val="21"/>
          <w:szCs w:val="21"/>
          <w:highlight w:val="none"/>
          <w:lang w:val="en-US" w:eastAsia="zh-CN"/>
        </w:rPr>
        <w:t>根据前文计算，</w:t>
      </w:r>
      <w:r>
        <w:rPr>
          <w:rFonts w:hint="default" w:ascii="Times New Roman" w:hAnsi="Times New Roman" w:eastAsia="宋体" w:cs="Times New Roman"/>
          <w:color w:val="auto"/>
          <w:sz w:val="21"/>
          <w:szCs w:val="21"/>
          <w:highlight w:val="none"/>
          <w:lang w:val="en-US" w:eastAsia="zh-CN"/>
        </w:rPr>
        <w:t>本项目</w:t>
      </w:r>
      <w:r>
        <w:rPr>
          <w:rFonts w:hint="eastAsia" w:cs="Times New Roman"/>
          <w:color w:val="auto"/>
          <w:sz w:val="21"/>
          <w:szCs w:val="21"/>
          <w:highlight w:val="none"/>
          <w:lang w:val="en-US" w:eastAsia="zh-CN"/>
        </w:rPr>
        <w:t>2个生产车间有组织颗粒物排放量为0.964t/a，烘干工序颗粒物排放量为0.802t/a。</w:t>
      </w:r>
    </w:p>
    <w:p w14:paraId="7393AB6C">
      <w:pPr>
        <w:pStyle w:val="160"/>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20" w:firstLineChars="200"/>
        <w:textAlignment w:val="auto"/>
        <w:rPr>
          <w:rFonts w:cs="Times New Roman"/>
          <w:color w:val="auto"/>
          <w:spacing w:val="0"/>
          <w:sz w:val="21"/>
          <w:szCs w:val="21"/>
          <w:highlight w:val="none"/>
        </w:rPr>
      </w:pPr>
      <w:r>
        <w:rPr>
          <w:rFonts w:cs="Times New Roman"/>
          <w:color w:val="auto"/>
          <w:spacing w:val="0"/>
          <w:sz w:val="21"/>
          <w:szCs w:val="21"/>
          <w:highlight w:val="none"/>
        </w:rPr>
        <w:t>厂区无组织排放</w:t>
      </w:r>
    </w:p>
    <w:p w14:paraId="3395CC8C">
      <w:pPr>
        <w:pStyle w:val="153"/>
        <w:keepNext w:val="0"/>
        <w:keepLines w:val="0"/>
        <w:pageBreakBefore w:val="0"/>
        <w:kinsoku/>
        <w:wordWrap/>
        <w:overflowPunct/>
        <w:topLinePunct w:val="0"/>
        <w:autoSpaceDE/>
        <w:autoSpaceDN/>
        <w:bidi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根据前文计算，本项目2个生产车间无组织颗粒物排放量为0.268</w:t>
      </w:r>
      <w:r>
        <w:rPr>
          <w:rFonts w:hint="eastAsia" w:ascii="Times New Roman" w:hAnsi="Times New Roman" w:eastAsia="宋体" w:cs="Times New Roman"/>
          <w:color w:val="auto"/>
          <w:sz w:val="21"/>
          <w:szCs w:val="21"/>
          <w:highlight w:val="none"/>
          <w:lang w:val="en-US" w:eastAsia="zh-CN"/>
        </w:rPr>
        <w:t>t/a，原料堆场装卸过程颗粒物排放量为0.44t/a。</w:t>
      </w:r>
    </w:p>
    <w:p w14:paraId="7E6CC6C3">
      <w:pPr>
        <w:pStyle w:val="153"/>
        <w:keepNext w:val="0"/>
        <w:keepLines w:val="0"/>
        <w:pageBreakBefore w:val="0"/>
        <w:kinsoku/>
        <w:wordWrap/>
        <w:overflowPunct/>
        <w:topLinePunct w:val="0"/>
        <w:autoSpaceDE/>
        <w:autoSpaceDN/>
        <w:bidi w:val="0"/>
        <w:spacing w:line="360" w:lineRule="auto"/>
        <w:ind w:firstLine="420" w:firstLineChars="200"/>
        <w:jc w:val="both"/>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则本项目</w:t>
      </w:r>
      <w:r>
        <w:rPr>
          <w:rFonts w:hint="eastAsia" w:ascii="Times New Roman" w:hAnsi="Times New Roman" w:eastAsia="宋体" w:cs="Times New Roman"/>
          <w:color w:val="auto"/>
          <w:sz w:val="21"/>
          <w:szCs w:val="21"/>
          <w:highlight w:val="none"/>
          <w:lang w:val="en-US" w:eastAsia="zh-CN"/>
        </w:rPr>
        <w:t>项目建成后全厂</w:t>
      </w:r>
      <w:r>
        <w:rPr>
          <w:rFonts w:hint="default" w:ascii="Times New Roman" w:hAnsi="Times New Roman" w:eastAsia="宋体" w:cs="Times New Roman"/>
          <w:color w:val="auto"/>
          <w:sz w:val="21"/>
          <w:szCs w:val="21"/>
          <w:highlight w:val="none"/>
          <w:lang w:val="en-US" w:eastAsia="zh-CN"/>
        </w:rPr>
        <w:t>颗粒物核定排放总量为</w:t>
      </w:r>
      <w:r>
        <w:rPr>
          <w:rFonts w:hint="eastAsia" w:ascii="Times New Roman" w:hAnsi="Times New Roman" w:eastAsia="宋体" w:cs="Times New Roman"/>
          <w:color w:val="auto"/>
          <w:sz w:val="21"/>
          <w:szCs w:val="21"/>
          <w:highlight w:val="none"/>
          <w:lang w:val="en-US" w:eastAsia="zh-CN"/>
        </w:rPr>
        <w:t>4.512</w:t>
      </w:r>
      <w:r>
        <w:rPr>
          <w:rFonts w:hint="default" w:ascii="Times New Roman" w:hAnsi="Times New Roman" w:eastAsia="宋体" w:cs="Times New Roman"/>
          <w:color w:val="auto"/>
          <w:spacing w:val="0"/>
          <w:sz w:val="21"/>
          <w:szCs w:val="21"/>
          <w:highlight w:val="none"/>
          <w:lang w:val="en-US" w:eastAsia="zh-CN"/>
        </w:rPr>
        <w:t>t/a，二氧化硫</w:t>
      </w:r>
      <w:r>
        <w:rPr>
          <w:rFonts w:hint="default" w:ascii="Times New Roman" w:hAnsi="Times New Roman" w:eastAsia="宋体" w:cs="Times New Roman"/>
          <w:color w:val="auto"/>
          <w:sz w:val="21"/>
          <w:szCs w:val="21"/>
          <w:highlight w:val="none"/>
          <w:lang w:val="en-US" w:eastAsia="zh-CN"/>
        </w:rPr>
        <w:t>核定排放总量为</w:t>
      </w:r>
      <w:r>
        <w:rPr>
          <w:rFonts w:hint="eastAsia" w:ascii="Times New Roman" w:hAnsi="Times New Roman" w:cs="Times New Roman"/>
          <w:color w:val="auto"/>
          <w:sz w:val="21"/>
          <w:szCs w:val="21"/>
          <w:highlight w:val="none"/>
          <w:lang w:val="en-US" w:eastAsia="zh-CN"/>
        </w:rPr>
        <w:t>6.788</w:t>
      </w:r>
      <w:r>
        <w:rPr>
          <w:rFonts w:hint="default" w:ascii="Times New Roman" w:hAnsi="Times New Roman" w:cs="Times New Roman"/>
          <w:color w:val="auto"/>
          <w:sz w:val="21"/>
          <w:szCs w:val="21"/>
          <w:highlight w:val="none"/>
          <w:lang w:val="en-US" w:eastAsia="zh-CN"/>
        </w:rPr>
        <w:t>t</w:t>
      </w:r>
      <w:r>
        <w:rPr>
          <w:rFonts w:hint="default" w:ascii="Times New Roman" w:hAnsi="Times New Roman" w:eastAsia="宋体" w:cs="Times New Roman"/>
          <w:color w:val="auto"/>
          <w:spacing w:val="0"/>
          <w:sz w:val="21"/>
          <w:szCs w:val="21"/>
          <w:highlight w:val="none"/>
          <w:lang w:val="en-US" w:eastAsia="zh-CN"/>
        </w:rPr>
        <w:t>/a，氮氧化物</w:t>
      </w:r>
      <w:r>
        <w:rPr>
          <w:rFonts w:hint="default" w:ascii="Times New Roman" w:hAnsi="Times New Roman" w:eastAsia="宋体" w:cs="Times New Roman"/>
          <w:color w:val="auto"/>
          <w:sz w:val="21"/>
          <w:szCs w:val="21"/>
          <w:highlight w:val="none"/>
          <w:lang w:val="en-US" w:eastAsia="zh-CN"/>
        </w:rPr>
        <w:t>核定排放总量为</w:t>
      </w:r>
      <w:r>
        <w:rPr>
          <w:rFonts w:hint="eastAsia" w:ascii="Times New Roman" w:hAnsi="Times New Roman" w:cs="Times New Roman"/>
          <w:color w:val="auto"/>
          <w:sz w:val="21"/>
          <w:szCs w:val="21"/>
          <w:highlight w:val="none"/>
          <w:lang w:val="en-US" w:eastAsia="zh-CN"/>
        </w:rPr>
        <w:t>20.35</w:t>
      </w:r>
      <w:r>
        <w:rPr>
          <w:rFonts w:hint="default" w:ascii="Times New Roman" w:hAnsi="Times New Roman" w:eastAsia="宋体" w:cs="Times New Roman"/>
          <w:color w:val="auto"/>
          <w:spacing w:val="0"/>
          <w:sz w:val="21"/>
          <w:szCs w:val="21"/>
          <w:highlight w:val="none"/>
          <w:lang w:val="en-US" w:eastAsia="zh-CN"/>
        </w:rPr>
        <w:t>t/a。</w:t>
      </w:r>
    </w:p>
    <w:p w14:paraId="39AA9180">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eastAsia" w:eastAsia="宋体"/>
          <w:color w:val="auto"/>
          <w:highlight w:val="none"/>
          <w:lang w:eastAsia="zh-CN"/>
        </w:rPr>
      </w:pPr>
      <w:bookmarkStart w:id="14" w:name="_Toc219"/>
      <w:r>
        <w:rPr>
          <w:rFonts w:hint="eastAsia"/>
          <w:b/>
          <w:bCs/>
          <w:color w:val="auto"/>
          <w:highlight w:val="none"/>
          <w:lang w:val="en-US" w:eastAsia="zh-CN"/>
        </w:rPr>
        <w:br w:type="page"/>
      </w:r>
    </w:p>
    <w:p w14:paraId="2E72B9F7">
      <w:pPr>
        <w:pStyle w:val="47"/>
        <w:rPr>
          <w:rFonts w:hint="default"/>
          <w:color w:val="auto"/>
          <w:highlight w:val="none"/>
          <w:lang w:val="en-US" w:eastAsia="zh-CN"/>
        </w:rPr>
        <w:sectPr>
          <w:pgSz w:w="11849" w:h="16781"/>
          <w:pgMar w:top="1531" w:right="1701" w:bottom="1531" w:left="1701" w:header="851" w:footer="1077" w:gutter="0"/>
          <w:pgBorders>
            <w:top w:val="none" w:sz="0" w:space="0"/>
            <w:left w:val="none" w:sz="0" w:space="0"/>
            <w:bottom w:val="none" w:sz="0" w:space="0"/>
            <w:right w:val="none" w:sz="0" w:space="0"/>
          </w:pgBorders>
          <w:pgNumType w:fmt="numberInDash"/>
          <w:cols w:space="0" w:num="1"/>
          <w:docGrid w:type="lines" w:linePitch="316" w:charSpace="0"/>
        </w:sectPr>
      </w:pPr>
    </w:p>
    <w:p w14:paraId="5C4B6CCA">
      <w:pPr>
        <w:pStyle w:val="47"/>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附件</w:t>
      </w:r>
      <w:r>
        <w:rPr>
          <w:rFonts w:hint="eastAsia" w:ascii="Times New Roman" w:hAnsi="Times New Roman" w:cs="Times New Roman"/>
          <w:b/>
          <w:bCs/>
          <w:color w:val="auto"/>
          <w:highlight w:val="none"/>
          <w:lang w:val="en-US" w:eastAsia="zh-CN"/>
        </w:rPr>
        <w:t>5</w:t>
      </w:r>
      <w:r>
        <w:rPr>
          <w:rFonts w:hint="default" w:ascii="Times New Roman" w:hAnsi="Times New Roman" w:cs="Times New Roman"/>
          <w:b/>
          <w:bCs/>
          <w:color w:val="auto"/>
          <w:highlight w:val="none"/>
          <w:lang w:val="en-US" w:eastAsia="zh-CN"/>
        </w:rPr>
        <w:t xml:space="preserve"> </w:t>
      </w:r>
      <w:r>
        <w:rPr>
          <w:rFonts w:hint="eastAsia" w:ascii="Times New Roman" w:hAnsi="Times New Roman" w:cs="Times New Roman"/>
          <w:b/>
          <w:bCs/>
          <w:color w:val="auto"/>
          <w:highlight w:val="none"/>
          <w:lang w:val="en-US" w:eastAsia="zh-CN"/>
        </w:rPr>
        <w:t>环境质量现状</w:t>
      </w:r>
      <w:r>
        <w:rPr>
          <w:rFonts w:hint="default" w:ascii="Times New Roman" w:hAnsi="Times New Roman" w:cs="Times New Roman"/>
          <w:b/>
          <w:bCs/>
          <w:color w:val="auto"/>
          <w:highlight w:val="none"/>
          <w:lang w:val="en-US" w:eastAsia="zh-CN"/>
        </w:rPr>
        <w:t>监测报告</w:t>
      </w:r>
    </w:p>
    <w:p w14:paraId="3BF2DA4C">
      <w:pPr>
        <w:pStyle w:val="47"/>
        <w:rPr>
          <w:color w:val="auto"/>
        </w:rPr>
      </w:pPr>
      <w:r>
        <w:rPr>
          <w:color w:val="auto"/>
        </w:rPr>
        <w:drawing>
          <wp:inline distT="0" distB="0" distL="114300" distR="114300">
            <wp:extent cx="5362575" cy="7420610"/>
            <wp:effectExtent l="0" t="0" r="9525" b="8890"/>
            <wp:docPr id="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
                    <pic:cNvPicPr>
                      <a:picLocks noChangeAspect="1"/>
                    </pic:cNvPicPr>
                  </pic:nvPicPr>
                  <pic:blipFill>
                    <a:blip r:embed="rId46"/>
                    <a:stretch>
                      <a:fillRect/>
                    </a:stretch>
                  </pic:blipFill>
                  <pic:spPr>
                    <a:xfrm>
                      <a:off x="0" y="0"/>
                      <a:ext cx="5362575" cy="7420610"/>
                    </a:xfrm>
                    <a:prstGeom prst="rect">
                      <a:avLst/>
                    </a:prstGeom>
                    <a:noFill/>
                    <a:ln>
                      <a:noFill/>
                    </a:ln>
                  </pic:spPr>
                </pic:pic>
              </a:graphicData>
            </a:graphic>
          </wp:inline>
        </w:drawing>
      </w:r>
      <w:r>
        <w:rPr>
          <w:color w:val="auto"/>
        </w:rPr>
        <w:drawing>
          <wp:inline distT="0" distB="0" distL="114300" distR="114300">
            <wp:extent cx="5362575" cy="7532370"/>
            <wp:effectExtent l="0" t="0" r="9525" b="11430"/>
            <wp:docPr id="1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3"/>
                    <pic:cNvPicPr>
                      <a:picLocks noChangeAspect="1"/>
                    </pic:cNvPicPr>
                  </pic:nvPicPr>
                  <pic:blipFill>
                    <a:blip r:embed="rId47"/>
                    <a:stretch>
                      <a:fillRect/>
                    </a:stretch>
                  </pic:blipFill>
                  <pic:spPr>
                    <a:xfrm>
                      <a:off x="0" y="0"/>
                      <a:ext cx="5362575" cy="7532370"/>
                    </a:xfrm>
                    <a:prstGeom prst="rect">
                      <a:avLst/>
                    </a:prstGeom>
                    <a:noFill/>
                    <a:ln>
                      <a:noFill/>
                    </a:ln>
                  </pic:spPr>
                </pic:pic>
              </a:graphicData>
            </a:graphic>
          </wp:inline>
        </w:drawing>
      </w:r>
      <w:r>
        <w:rPr>
          <w:color w:val="auto"/>
        </w:rPr>
        <w:drawing>
          <wp:inline distT="0" distB="0" distL="114300" distR="114300">
            <wp:extent cx="5360670" cy="7497445"/>
            <wp:effectExtent l="0" t="0" r="11430" b="8255"/>
            <wp:docPr id="1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
                    <pic:cNvPicPr>
                      <a:picLocks noChangeAspect="1"/>
                    </pic:cNvPicPr>
                  </pic:nvPicPr>
                  <pic:blipFill>
                    <a:blip r:embed="rId48"/>
                    <a:stretch>
                      <a:fillRect/>
                    </a:stretch>
                  </pic:blipFill>
                  <pic:spPr>
                    <a:xfrm>
                      <a:off x="0" y="0"/>
                      <a:ext cx="5360670" cy="7497445"/>
                    </a:xfrm>
                    <a:prstGeom prst="rect">
                      <a:avLst/>
                    </a:prstGeom>
                    <a:noFill/>
                    <a:ln>
                      <a:noFill/>
                    </a:ln>
                  </pic:spPr>
                </pic:pic>
              </a:graphicData>
            </a:graphic>
          </wp:inline>
        </w:drawing>
      </w:r>
      <w:r>
        <w:rPr>
          <w:color w:val="auto"/>
        </w:rPr>
        <w:drawing>
          <wp:inline distT="0" distB="0" distL="114300" distR="114300">
            <wp:extent cx="5362575" cy="7585710"/>
            <wp:effectExtent l="0" t="0" r="9525" b="15240"/>
            <wp:docPr id="2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7"/>
                    <pic:cNvPicPr>
                      <a:picLocks noChangeAspect="1"/>
                    </pic:cNvPicPr>
                  </pic:nvPicPr>
                  <pic:blipFill>
                    <a:blip r:embed="rId49"/>
                    <a:stretch>
                      <a:fillRect/>
                    </a:stretch>
                  </pic:blipFill>
                  <pic:spPr>
                    <a:xfrm>
                      <a:off x="0" y="0"/>
                      <a:ext cx="5362575" cy="7585710"/>
                    </a:xfrm>
                    <a:prstGeom prst="rect">
                      <a:avLst/>
                    </a:prstGeom>
                    <a:noFill/>
                    <a:ln>
                      <a:noFill/>
                    </a:ln>
                  </pic:spPr>
                </pic:pic>
              </a:graphicData>
            </a:graphic>
          </wp:inline>
        </w:drawing>
      </w:r>
      <w:r>
        <w:rPr>
          <w:color w:val="auto"/>
        </w:rPr>
        <w:drawing>
          <wp:inline distT="0" distB="0" distL="114300" distR="114300">
            <wp:extent cx="5358765" cy="7493000"/>
            <wp:effectExtent l="0" t="0" r="13335" b="12700"/>
            <wp:docPr id="1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6"/>
                    <pic:cNvPicPr>
                      <a:picLocks noChangeAspect="1"/>
                    </pic:cNvPicPr>
                  </pic:nvPicPr>
                  <pic:blipFill>
                    <a:blip r:embed="rId50"/>
                    <a:stretch>
                      <a:fillRect/>
                    </a:stretch>
                  </pic:blipFill>
                  <pic:spPr>
                    <a:xfrm>
                      <a:off x="0" y="0"/>
                      <a:ext cx="5358765" cy="7493000"/>
                    </a:xfrm>
                    <a:prstGeom prst="rect">
                      <a:avLst/>
                    </a:prstGeom>
                    <a:noFill/>
                    <a:ln>
                      <a:noFill/>
                    </a:ln>
                  </pic:spPr>
                </pic:pic>
              </a:graphicData>
            </a:graphic>
          </wp:inline>
        </w:drawing>
      </w:r>
    </w:p>
    <w:p w14:paraId="170D6615">
      <w:pPr>
        <w:pStyle w:val="47"/>
        <w:rPr>
          <w:color w:val="auto"/>
        </w:rPr>
      </w:pPr>
    </w:p>
    <w:p w14:paraId="4150470E">
      <w:pPr>
        <w:pStyle w:val="47"/>
        <w:rPr>
          <w:color w:val="auto"/>
        </w:rPr>
      </w:pPr>
    </w:p>
    <w:p w14:paraId="6C9ABCAB">
      <w:pPr>
        <w:pStyle w:val="47"/>
        <w:rPr>
          <w:color w:val="auto"/>
        </w:rPr>
      </w:pPr>
    </w:p>
    <w:p w14:paraId="7779A288">
      <w:pPr>
        <w:pStyle w:val="47"/>
        <w:rPr>
          <w:color w:val="auto"/>
        </w:rPr>
      </w:pPr>
    </w:p>
    <w:p w14:paraId="6547BAE4">
      <w:pPr>
        <w:pStyle w:val="47"/>
        <w:rPr>
          <w:color w:val="auto"/>
        </w:rPr>
      </w:pPr>
    </w:p>
    <w:p w14:paraId="0926CC38">
      <w:pPr>
        <w:pStyle w:val="47"/>
        <w:rPr>
          <w:rFonts w:hint="eastAsia"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附件</w:t>
      </w:r>
      <w:r>
        <w:rPr>
          <w:rFonts w:hint="eastAsia" w:ascii="Times New Roman" w:hAnsi="Times New Roman" w:cs="Times New Roman"/>
          <w:b/>
          <w:bCs/>
          <w:color w:val="auto"/>
          <w:highlight w:val="none"/>
          <w:lang w:val="en-US" w:eastAsia="zh-CN"/>
        </w:rPr>
        <w:t>6</w:t>
      </w:r>
      <w:r>
        <w:rPr>
          <w:rFonts w:hint="default" w:ascii="Times New Roman" w:hAnsi="Times New Roman" w:cs="Times New Roman"/>
          <w:b/>
          <w:bCs/>
          <w:color w:val="auto"/>
          <w:highlight w:val="none"/>
          <w:lang w:val="en-US" w:eastAsia="zh-CN"/>
        </w:rPr>
        <w:t xml:space="preserve"> </w:t>
      </w:r>
      <w:r>
        <w:rPr>
          <w:rFonts w:hint="eastAsia" w:ascii="Times New Roman" w:hAnsi="Times New Roman" w:cs="Times New Roman"/>
          <w:b/>
          <w:bCs/>
          <w:color w:val="auto"/>
          <w:highlight w:val="none"/>
          <w:lang w:val="en-US" w:eastAsia="zh-CN"/>
        </w:rPr>
        <w:t>原料采购协议</w:t>
      </w:r>
    </w:p>
    <w:p w14:paraId="72FC304C">
      <w:pPr>
        <w:pStyle w:val="47"/>
        <w:rPr>
          <w:rFonts w:hint="default" w:ascii="Times New Roman" w:hAnsi="Times New Roman" w:cs="Times New Roman"/>
          <w:b/>
          <w:bCs/>
          <w:color w:val="auto"/>
          <w:highlight w:val="none"/>
          <w:lang w:val="en-US" w:eastAsia="zh-CN"/>
        </w:rPr>
      </w:pPr>
      <w:r>
        <w:rPr>
          <w:color w:val="auto"/>
        </w:rPr>
        <w:drawing>
          <wp:inline distT="0" distB="0" distL="114300" distR="114300">
            <wp:extent cx="5052060" cy="6219190"/>
            <wp:effectExtent l="0" t="0" r="15240" b="10160"/>
            <wp:docPr id="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pic:cNvPicPr>
                      <a:picLocks noChangeAspect="1"/>
                    </pic:cNvPicPr>
                  </pic:nvPicPr>
                  <pic:blipFill>
                    <a:blip r:embed="rId51"/>
                    <a:stretch>
                      <a:fillRect/>
                    </a:stretch>
                  </pic:blipFill>
                  <pic:spPr>
                    <a:xfrm>
                      <a:off x="0" y="0"/>
                      <a:ext cx="5052060" cy="6219190"/>
                    </a:xfrm>
                    <a:prstGeom prst="rect">
                      <a:avLst/>
                    </a:prstGeom>
                    <a:noFill/>
                    <a:ln>
                      <a:noFill/>
                    </a:ln>
                  </pic:spPr>
                </pic:pic>
              </a:graphicData>
            </a:graphic>
          </wp:inline>
        </w:drawing>
      </w:r>
    </w:p>
    <w:p w14:paraId="79C1B6CF">
      <w:pPr>
        <w:pStyle w:val="47"/>
        <w:rPr>
          <w:rFonts w:hint="default"/>
          <w:color w:val="auto"/>
          <w:lang w:val="en-US" w:eastAsia="zh-CN"/>
        </w:rPr>
        <w:sectPr>
          <w:pgSz w:w="11849" w:h="16781"/>
          <w:pgMar w:top="1531" w:right="1701" w:bottom="1531" w:left="170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color w:val="auto"/>
        </w:rPr>
        <w:drawing>
          <wp:inline distT="0" distB="0" distL="114300" distR="114300">
            <wp:extent cx="5360035" cy="5901055"/>
            <wp:effectExtent l="0" t="0" r="12065" b="4445"/>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52"/>
                    <a:stretch>
                      <a:fillRect/>
                    </a:stretch>
                  </pic:blipFill>
                  <pic:spPr>
                    <a:xfrm>
                      <a:off x="0" y="0"/>
                      <a:ext cx="5360035" cy="5901055"/>
                    </a:xfrm>
                    <a:prstGeom prst="rect">
                      <a:avLst/>
                    </a:prstGeom>
                    <a:noFill/>
                    <a:ln>
                      <a:noFill/>
                    </a:ln>
                  </pic:spPr>
                </pic:pic>
              </a:graphicData>
            </a:graphic>
          </wp:inline>
        </w:drawing>
      </w:r>
    </w:p>
    <w:p w14:paraId="7C383B03">
      <w:pPr>
        <w:spacing w:line="240" w:lineRule="auto"/>
        <w:jc w:val="center"/>
        <w:outlineLvl w:val="9"/>
        <w:rPr>
          <w:rFonts w:hint="eastAsia" w:eastAsia="宋体"/>
          <w:color w:val="auto"/>
          <w:highlight w:val="none"/>
          <w:lang w:eastAsia="zh-CN"/>
        </w:rPr>
      </w:pPr>
      <w:r>
        <w:rPr>
          <w:rFonts w:hint="eastAsia" w:ascii="宋体" w:hAnsi="宋体" w:eastAsia="宋体" w:cs="宋体"/>
          <w:b/>
          <w:bCs/>
          <w:color w:val="auto"/>
          <w:kern w:val="44"/>
          <w:sz w:val="30"/>
          <w:szCs w:val="30"/>
          <w:highlight w:val="none"/>
          <w:lang w:val="en-US" w:eastAsia="zh-CN" w:bidi="ar-SA"/>
        </w:rPr>
        <w:drawing>
          <wp:anchor distT="0" distB="0" distL="114300" distR="114300" simplePos="0" relativeHeight="251672576" behindDoc="0" locked="0" layoutInCell="1" allowOverlap="1">
            <wp:simplePos x="0" y="0"/>
            <wp:positionH relativeFrom="column">
              <wp:posOffset>8032115</wp:posOffset>
            </wp:positionH>
            <wp:positionV relativeFrom="paragraph">
              <wp:posOffset>94615</wp:posOffset>
            </wp:positionV>
            <wp:extent cx="663575" cy="654685"/>
            <wp:effectExtent l="0" t="0" r="3175" b="12065"/>
            <wp:wrapNone/>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53"/>
                    <a:stretch>
                      <a:fillRect/>
                    </a:stretch>
                  </pic:blipFill>
                  <pic:spPr>
                    <a:xfrm>
                      <a:off x="0" y="0"/>
                      <a:ext cx="663575" cy="65468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65408" behindDoc="0" locked="0" layoutInCell="1" allowOverlap="1">
                <wp:simplePos x="0" y="0"/>
                <wp:positionH relativeFrom="column">
                  <wp:posOffset>7378700</wp:posOffset>
                </wp:positionH>
                <wp:positionV relativeFrom="paragraph">
                  <wp:posOffset>3994785</wp:posOffset>
                </wp:positionV>
                <wp:extent cx="1315720" cy="915670"/>
                <wp:effectExtent l="4445" t="4445" r="13335" b="13335"/>
                <wp:wrapNone/>
                <wp:docPr id="18" name="文本框 18"/>
                <wp:cNvGraphicFramePr/>
                <a:graphic xmlns:a="http://schemas.openxmlformats.org/drawingml/2006/main">
                  <a:graphicData uri="http://schemas.microsoft.com/office/word/2010/wordprocessingShape">
                    <wps:wsp>
                      <wps:cNvSpPr txBox="1"/>
                      <wps:spPr>
                        <a:xfrm>
                          <a:off x="7828280" y="4952365"/>
                          <a:ext cx="1315720" cy="91567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89BBAEF">
                            <w:pPr>
                              <w:keepNext w:val="0"/>
                              <w:keepLines w:val="0"/>
                              <w:pageBreakBefore w:val="0"/>
                              <w:kinsoku/>
                              <w:wordWrap/>
                              <w:overflowPunct/>
                              <w:topLinePunct w:val="0"/>
                              <w:bidi w:val="0"/>
                              <w:adjustRightInd/>
                              <w:snapToGrid w:val="0"/>
                              <w:spacing w:line="360" w:lineRule="auto"/>
                              <w:ind w:right="0"/>
                              <w:jc w:val="center"/>
                              <w:textAlignment w:val="auto"/>
                              <w:rPr>
                                <w:rFonts w:hint="eastAsia"/>
                                <w:b/>
                                <w:bCs/>
                                <w:sz w:val="24"/>
                                <w:szCs w:val="24"/>
                                <w:lang w:val="en-US" w:eastAsia="zh-CN"/>
                              </w:rPr>
                            </w:pPr>
                            <w:r>
                              <w:rPr>
                                <w:rFonts w:hint="eastAsia"/>
                                <w:b/>
                                <w:bCs/>
                                <w:sz w:val="24"/>
                                <w:szCs w:val="24"/>
                                <w:lang w:val="en-US" w:eastAsia="zh-CN"/>
                              </w:rPr>
                              <w:t>图例</w:t>
                            </w:r>
                          </w:p>
                          <w:p w14:paraId="26743971">
                            <w:pPr>
                              <w:pStyle w:val="15"/>
                              <w:keepNext w:val="0"/>
                              <w:keepLines w:val="0"/>
                              <w:pageBreakBefore w:val="0"/>
                              <w:kinsoku/>
                              <w:wordWrap/>
                              <w:overflowPunct/>
                              <w:topLinePunct w:val="0"/>
                              <w:bidi w:val="0"/>
                              <w:adjustRightInd/>
                              <w:snapToGrid w:val="0"/>
                              <w:spacing w:before="0" w:after="0" w:line="360" w:lineRule="auto"/>
                              <w:ind w:right="0"/>
                              <w:jc w:val="center"/>
                              <w:textAlignment w:val="auto"/>
                              <w:rPr>
                                <w:rFonts w:hint="eastAsia"/>
                                <w:sz w:val="24"/>
                                <w:szCs w:val="24"/>
                                <w:lang w:val="en-US" w:eastAsia="zh-CN"/>
                              </w:rPr>
                            </w:pPr>
                            <w:r>
                              <w:rPr>
                                <w:rFonts w:hint="eastAsia"/>
                                <w:sz w:val="24"/>
                                <w:szCs w:val="24"/>
                                <w:lang w:val="en-US" w:eastAsia="zh-CN"/>
                              </w:rPr>
                              <w:t>项目位置</w:t>
                            </w:r>
                          </w:p>
                          <w:p w14:paraId="3D35B461">
                            <w:pPr>
                              <w:pStyle w:val="43"/>
                              <w:keepNext w:val="0"/>
                              <w:keepLines w:val="0"/>
                              <w:pageBreakBefore w:val="0"/>
                              <w:kinsoku/>
                              <w:wordWrap/>
                              <w:overflowPunct/>
                              <w:topLinePunct w:val="0"/>
                              <w:bidi w:val="0"/>
                              <w:adjustRightInd/>
                              <w:snapToGrid w:val="0"/>
                              <w:spacing w:line="360" w:lineRule="auto"/>
                              <w:ind w:right="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比例尺：1:72223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1pt;margin-top:314.55pt;height:72.1pt;width:103.6pt;z-index:251665408;mso-width-relative:page;mso-height-relative:page;" fillcolor="#FFFFFF [3201]" filled="t" stroked="t" coordsize="21600,21600" o:gfxdata="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5mtjwNgAAAANAQAADwAAAAAAAAABACAAAAAiAAAAZHJzL2Rvd25yZXYueG1sUEsBAhQA&#10;FAAAAAgAh07iQHH6IkVkAgAAxQQAAA4AAAAAAAAAAQAgAAAAJwEAAGRycy9lMm9Eb2MueG1sUEsF&#10;BgAAAAAGAAYAWQEAAP0FAAAAAA==&#10;">
                <v:fill on="t" focussize="0,0"/>
                <v:stroke weight="0.5pt" color="#000000 [3204]" joinstyle="round"/>
                <v:imagedata o:title=""/>
                <o:lock v:ext="edit" aspectratio="f"/>
                <v:textbox>
                  <w:txbxContent>
                    <w:p w14:paraId="289BBAEF">
                      <w:pPr>
                        <w:keepNext w:val="0"/>
                        <w:keepLines w:val="0"/>
                        <w:pageBreakBefore w:val="0"/>
                        <w:kinsoku/>
                        <w:wordWrap/>
                        <w:overflowPunct/>
                        <w:topLinePunct w:val="0"/>
                        <w:bidi w:val="0"/>
                        <w:adjustRightInd/>
                        <w:snapToGrid w:val="0"/>
                        <w:spacing w:line="360" w:lineRule="auto"/>
                        <w:ind w:right="0"/>
                        <w:jc w:val="center"/>
                        <w:textAlignment w:val="auto"/>
                        <w:rPr>
                          <w:rFonts w:hint="eastAsia"/>
                          <w:b/>
                          <w:bCs/>
                          <w:sz w:val="24"/>
                          <w:szCs w:val="24"/>
                          <w:lang w:val="en-US" w:eastAsia="zh-CN"/>
                        </w:rPr>
                      </w:pPr>
                      <w:r>
                        <w:rPr>
                          <w:rFonts w:hint="eastAsia"/>
                          <w:b/>
                          <w:bCs/>
                          <w:sz w:val="24"/>
                          <w:szCs w:val="24"/>
                          <w:lang w:val="en-US" w:eastAsia="zh-CN"/>
                        </w:rPr>
                        <w:t>图例</w:t>
                      </w:r>
                    </w:p>
                    <w:p w14:paraId="26743971">
                      <w:pPr>
                        <w:pStyle w:val="15"/>
                        <w:keepNext w:val="0"/>
                        <w:keepLines w:val="0"/>
                        <w:pageBreakBefore w:val="0"/>
                        <w:kinsoku/>
                        <w:wordWrap/>
                        <w:overflowPunct/>
                        <w:topLinePunct w:val="0"/>
                        <w:bidi w:val="0"/>
                        <w:adjustRightInd/>
                        <w:snapToGrid w:val="0"/>
                        <w:spacing w:before="0" w:after="0" w:line="360" w:lineRule="auto"/>
                        <w:ind w:right="0"/>
                        <w:jc w:val="center"/>
                        <w:textAlignment w:val="auto"/>
                        <w:rPr>
                          <w:rFonts w:hint="eastAsia"/>
                          <w:sz w:val="24"/>
                          <w:szCs w:val="24"/>
                          <w:lang w:val="en-US" w:eastAsia="zh-CN"/>
                        </w:rPr>
                      </w:pPr>
                      <w:r>
                        <w:rPr>
                          <w:rFonts w:hint="eastAsia"/>
                          <w:sz w:val="24"/>
                          <w:szCs w:val="24"/>
                          <w:lang w:val="en-US" w:eastAsia="zh-CN"/>
                        </w:rPr>
                        <w:t>项目位置</w:t>
                      </w:r>
                    </w:p>
                    <w:p w14:paraId="3D35B461">
                      <w:pPr>
                        <w:pStyle w:val="43"/>
                        <w:keepNext w:val="0"/>
                        <w:keepLines w:val="0"/>
                        <w:pageBreakBefore w:val="0"/>
                        <w:kinsoku/>
                        <w:wordWrap/>
                        <w:overflowPunct/>
                        <w:topLinePunct w:val="0"/>
                        <w:bidi w:val="0"/>
                        <w:adjustRightInd/>
                        <w:snapToGrid w:val="0"/>
                        <w:spacing w:line="360" w:lineRule="auto"/>
                        <w:ind w:right="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比例尺：1:72223</w:t>
                      </w:r>
                    </w:p>
                  </w:txbxContent>
                </v:textbox>
              </v:shape>
            </w:pict>
          </mc:Fallback>
        </mc:AlternateContent>
      </w:r>
      <w:r>
        <w:rPr>
          <w:color w:val="auto"/>
        </w:rPr>
        <w:drawing>
          <wp:inline distT="0" distB="0" distL="114300" distR="114300">
            <wp:extent cx="8710295" cy="4846320"/>
            <wp:effectExtent l="0" t="0" r="14605" b="11430"/>
            <wp:docPr id="1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0"/>
                    <pic:cNvPicPr>
                      <a:picLocks noChangeAspect="1"/>
                    </pic:cNvPicPr>
                  </pic:nvPicPr>
                  <pic:blipFill>
                    <a:blip r:embed="rId54"/>
                    <a:stretch>
                      <a:fillRect/>
                    </a:stretch>
                  </pic:blipFill>
                  <pic:spPr>
                    <a:xfrm>
                      <a:off x="0" y="0"/>
                      <a:ext cx="8710295" cy="4846320"/>
                    </a:xfrm>
                    <a:prstGeom prst="rect">
                      <a:avLst/>
                    </a:prstGeom>
                    <a:noFill/>
                    <a:ln>
                      <a:noFill/>
                    </a:ln>
                  </pic:spPr>
                </pic:pic>
              </a:graphicData>
            </a:graphic>
          </wp:inline>
        </w:drawing>
      </w:r>
    </w:p>
    <w:p w14:paraId="006B1875">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431" w:hanging="431"/>
        <w:jc w:val="center"/>
        <w:textAlignment w:val="auto"/>
        <w:rPr>
          <w:rFonts w:hint="default" w:ascii="Times New Roman" w:hAnsi="Times New Roman" w:eastAsia="黑体" w:cs="Times New Roman"/>
          <w:snapToGrid w:val="0"/>
          <w:color w:val="auto"/>
          <w:kern w:val="21"/>
          <w:sz w:val="30"/>
          <w:szCs w:val="30"/>
          <w:highlight w:val="none"/>
        </w:rPr>
        <w:sectPr>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hint="default" w:ascii="Times New Roman" w:hAnsi="Times New Roman" w:eastAsia="宋体" w:cs="Times New Roman"/>
          <w:color w:val="auto"/>
          <w:sz w:val="21"/>
          <w:szCs w:val="21"/>
          <w:highlight w:val="none"/>
        </w:rPr>
        <w:t>附图</w:t>
      </w:r>
      <w:r>
        <w:rPr>
          <w:rFonts w:hint="eastAsia" w:eastAsia="宋体" w:cs="Times New Roman"/>
          <w:color w:val="auto"/>
          <w:sz w:val="21"/>
          <w:szCs w:val="21"/>
          <w:highlight w:val="none"/>
          <w:lang w:val="en-US" w:eastAsia="zh-CN"/>
        </w:rPr>
        <w:t xml:space="preserve">1 </w:t>
      </w:r>
      <w:r>
        <w:rPr>
          <w:rFonts w:hint="default" w:ascii="Times New Roman" w:hAnsi="Times New Roman" w:eastAsia="宋体" w:cs="Times New Roman"/>
          <w:color w:val="auto"/>
          <w:sz w:val="21"/>
          <w:szCs w:val="21"/>
          <w:highlight w:val="none"/>
        </w:rPr>
        <w:t>项目地理位置图</w:t>
      </w:r>
      <w:r>
        <w:rPr>
          <w:color w:val="auto"/>
          <w:highlight w:val="none"/>
        </w:rPr>
        <mc:AlternateContent>
          <mc:Choice Requires="wps">
            <w:drawing>
              <wp:anchor distT="0" distB="0" distL="114300" distR="114300" simplePos="0" relativeHeight="251666432" behindDoc="0" locked="1" layoutInCell="1" allowOverlap="1">
                <wp:simplePos x="0" y="0"/>
                <wp:positionH relativeFrom="column">
                  <wp:posOffset>7473315</wp:posOffset>
                </wp:positionH>
                <wp:positionV relativeFrom="paragraph">
                  <wp:posOffset>-679450</wp:posOffset>
                </wp:positionV>
                <wp:extent cx="197485" cy="172085"/>
                <wp:effectExtent l="15875" t="13970" r="34290" b="23495"/>
                <wp:wrapNone/>
                <wp:docPr id="19" name="五角星 19"/>
                <wp:cNvGraphicFramePr/>
                <a:graphic xmlns:a="http://schemas.openxmlformats.org/drawingml/2006/main">
                  <a:graphicData uri="http://schemas.microsoft.com/office/word/2010/wordprocessingShape">
                    <wps:wsp>
                      <wps:cNvSpPr/>
                      <wps:spPr>
                        <a:xfrm>
                          <a:off x="0" y="0"/>
                          <a:ext cx="197485" cy="172085"/>
                        </a:xfrm>
                        <a:prstGeom prst="star5">
                          <a:avLst/>
                        </a:prstGeom>
                        <a:solidFill>
                          <a:srgbClr val="FF0000"/>
                        </a:solidFill>
                        <a:ln w="9525" cap="flat" cmpd="sng">
                          <a:solidFill>
                            <a:srgbClr val="FF0000"/>
                          </a:solidFill>
                          <a:prstDash val="solid"/>
                          <a:miter/>
                          <a:headEnd type="none" w="med" len="med"/>
                          <a:tailEnd type="none" w="med" len="med"/>
                        </a:ln>
                      </wps:spPr>
                      <wps:txbx>
                        <w:txbxContent>
                          <w:p w14:paraId="043C1192"/>
                        </w:txbxContent>
                      </wps:txbx>
                      <wps:bodyPr upright="1"/>
                    </wps:wsp>
                  </a:graphicData>
                </a:graphic>
              </wp:anchor>
            </w:drawing>
          </mc:Choice>
          <mc:Fallback>
            <w:pict>
              <v:shape id="_x0000_s1026" o:spid="_x0000_s1026" style="position:absolute;left:0pt;margin-left:588.45pt;margin-top:-53.5pt;height:13.55pt;width:15.55pt;z-index:251666432;mso-width-relative:page;mso-height-relative:page;" fillcolor="#FF0000" filled="t" stroked="t" coordsize="197485,172085" o:gfxdata="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9LpbIN0AAAAOAQAADwAAAAAAAAABACAAAAAi&#10;AAAAZHJzL2Rvd25yZXYueG1sUEsBAhQAFAAAAAgAh07iQOea0pUFAgAALgQAAA4AAAAAAAAAAQAg&#10;AAAALAEAAGRycy9lMm9Eb2MueG1sUEsFBgAAAAAGAAYAWQEAAKMFAAAAAA==&#10;" path="m0,65730l75432,65730,98742,0,122052,65730,197484,65730,136458,106353,159768,172084,98742,131460,37716,172084,61026,106353xe">
                <v:path textboxrect="0,0,197485,172085" o:connectlocs="98742,0;0,65730;37716,172084;159768,172084;197484,65730" o:connectangles="247,164,82,82,0"/>
                <v:fill on="t" focussize="0,0"/>
                <v:stroke color="#FF0000" joinstyle="miter"/>
                <v:imagedata o:title=""/>
                <o:lock v:ext="edit" aspectratio="f"/>
                <v:textbox>
                  <w:txbxContent>
                    <w:p w14:paraId="043C1192"/>
                  </w:txbxContent>
                </v:textbox>
                <w10:anchorlock/>
              </v:shape>
            </w:pict>
          </mc:Fallback>
        </mc:AlternateContent>
      </w:r>
      <w:r>
        <w:rPr>
          <w:color w:val="auto"/>
          <w:highlight w:val="none"/>
        </w:rPr>
        <mc:AlternateContent>
          <mc:Choice Requires="wps">
            <w:drawing>
              <wp:anchor distT="0" distB="0" distL="114300" distR="114300" simplePos="0" relativeHeight="251663360" behindDoc="0" locked="1" layoutInCell="1" allowOverlap="1">
                <wp:simplePos x="0" y="0"/>
                <wp:positionH relativeFrom="column">
                  <wp:posOffset>5063490</wp:posOffset>
                </wp:positionH>
                <wp:positionV relativeFrom="paragraph">
                  <wp:posOffset>-1974850</wp:posOffset>
                </wp:positionV>
                <wp:extent cx="197485" cy="172085"/>
                <wp:effectExtent l="15875" t="13970" r="34290" b="23495"/>
                <wp:wrapNone/>
                <wp:docPr id="77" name="五角星 77"/>
                <wp:cNvGraphicFramePr/>
                <a:graphic xmlns:a="http://schemas.openxmlformats.org/drawingml/2006/main">
                  <a:graphicData uri="http://schemas.microsoft.com/office/word/2010/wordprocessingShape">
                    <wps:wsp>
                      <wps:cNvSpPr/>
                      <wps:spPr>
                        <a:xfrm>
                          <a:off x="0" y="0"/>
                          <a:ext cx="197485" cy="172085"/>
                        </a:xfrm>
                        <a:prstGeom prst="star5">
                          <a:avLst/>
                        </a:prstGeom>
                        <a:solidFill>
                          <a:srgbClr val="FF0000"/>
                        </a:solidFill>
                        <a:ln w="9525" cap="flat" cmpd="sng">
                          <a:solidFill>
                            <a:srgbClr val="FF0000"/>
                          </a:solidFill>
                          <a:prstDash val="solid"/>
                          <a:miter/>
                          <a:headEnd type="none" w="med" len="med"/>
                          <a:tailEnd type="none" w="med" len="med"/>
                        </a:ln>
                      </wps:spPr>
                      <wps:txbx>
                        <w:txbxContent>
                          <w:p w14:paraId="6FB82DB2"/>
                        </w:txbxContent>
                      </wps:txbx>
                      <wps:bodyPr upright="1"/>
                    </wps:wsp>
                  </a:graphicData>
                </a:graphic>
              </wp:anchor>
            </w:drawing>
          </mc:Choice>
          <mc:Fallback>
            <w:pict>
              <v:shape id="_x0000_s1026" o:spid="_x0000_s1026" style="position:absolute;left:0pt;margin-left:398.7pt;margin-top:-155.5pt;height:13.55pt;width:15.55pt;z-index:251663360;mso-width-relative:page;mso-height-relative:page;" fillcolor="#FF0000" filled="t" stroked="t" coordsize="197485,172085" o:gfxdata="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kLnzn3gAAAA0BAAAPAAAAAAAAAAEAIAAA&#10;ACIAAABkcnMvZG93bnJldi54bWxQSwECFAAUAAAACACHTuJAysplZgYCAAAuBAAADgAAAAAAAAAB&#10;ACAAAAAtAQAAZHJzL2Uyb0RvYy54bWxQSwUGAAAAAAYABgBZAQAApQUAAAAA&#10;" path="m0,65730l75432,65730,98742,0,122052,65730,197484,65730,136458,106353,159768,172084,98742,131460,37716,172084,61026,106353xe">
                <v:path textboxrect="0,0,197485,172085" o:connectlocs="98742,0;0,65730;37716,172084;159768,172084;197484,65730" o:connectangles="247,164,82,82,0"/>
                <v:fill on="t" focussize="0,0"/>
                <v:stroke color="#FF0000" joinstyle="miter"/>
                <v:imagedata o:title=""/>
                <o:lock v:ext="edit" aspectratio="f"/>
                <v:textbox>
                  <w:txbxContent>
                    <w:p w14:paraId="6FB82DB2"/>
                  </w:txbxContent>
                </v:textbox>
                <w10:anchorlock/>
              </v:shape>
            </w:pict>
          </mc:Fallback>
        </mc:AlternateContent>
      </w:r>
    </w:p>
    <w:bookmarkEnd w:id="14"/>
    <w:p w14:paraId="2ADD78E0">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0" w:firstLine="0"/>
        <w:jc w:val="center"/>
        <w:textAlignment w:val="auto"/>
        <w:rPr>
          <w:rFonts w:hint="default" w:eastAsia="宋体"/>
          <w:color w:val="auto"/>
          <w:sz w:val="21"/>
          <w:szCs w:val="21"/>
          <w:highlight w:val="none"/>
          <w:lang w:val="en-US" w:eastAsia="zh-CN"/>
        </w:rPr>
      </w:pPr>
      <w:bookmarkStart w:id="15" w:name="_Toc30150"/>
      <w:r>
        <w:rPr>
          <w:rFonts w:hint="default" w:ascii="Times New Roman" w:hAnsi="Times New Roman" w:eastAsia="宋体" w:cs="Times New Roman"/>
          <w:color w:val="auto"/>
          <w:sz w:val="21"/>
          <w:szCs w:val="21"/>
          <w:highlight w:val="none"/>
        </w:rPr>
        <w:t>附图</w:t>
      </w:r>
      <w:r>
        <w:rPr>
          <w:rFonts w:hint="eastAsia" w:eastAsia="宋体" w:cs="Times New Roman"/>
          <w:color w:val="auto"/>
          <w:sz w:val="21"/>
          <w:szCs w:val="21"/>
          <w:highlight w:val="none"/>
          <w:lang w:val="en-US" w:eastAsia="zh-CN"/>
        </w:rPr>
        <w:t>2 项目周边环境图</w:t>
      </w:r>
    </w:p>
    <w:bookmarkEnd w:id="15"/>
    <w:tbl>
      <w:tblPr>
        <w:tblStyle w:val="3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76"/>
        <w:gridCol w:w="5136"/>
      </w:tblGrid>
      <w:tr w14:paraId="1F332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2" w:hRule="atLeast"/>
          <w:jc w:val="center"/>
        </w:trPr>
        <w:tc>
          <w:tcPr>
            <w:tcW w:w="4530" w:type="dxa"/>
            <w:noWrap w:val="0"/>
            <w:vAlign w:val="center"/>
          </w:tcPr>
          <w:p w14:paraId="039AF7B1">
            <w:pPr>
              <w:keepNext w:val="0"/>
              <w:keepLines w:val="0"/>
              <w:suppressLineNumbers w:val="0"/>
              <w:spacing w:before="0" w:beforeAutospacing="0" w:after="0" w:afterAutospacing="0"/>
              <w:ind w:left="0" w:right="0"/>
              <w:jc w:val="center"/>
              <w:rPr>
                <w:rFonts w:hint="eastAsia" w:eastAsia="宋体"/>
                <w:b/>
                <w:bCs/>
                <w:color w:val="auto"/>
                <w:highlight w:val="none"/>
                <w:lang w:eastAsia="zh-CN"/>
              </w:rPr>
            </w:pPr>
            <w:r>
              <w:rPr>
                <w:rFonts w:hint="default"/>
                <w:color w:val="auto"/>
              </w:rPr>
              <w:drawing>
                <wp:inline distT="0" distB="0" distL="114300" distR="114300">
                  <wp:extent cx="3077845" cy="1996440"/>
                  <wp:effectExtent l="0" t="0" r="8255" b="3810"/>
                  <wp:docPr id="25" name="图片 24"/>
                  <wp:cNvGraphicFramePr/>
                  <a:graphic xmlns:a="http://schemas.openxmlformats.org/drawingml/2006/main">
                    <a:graphicData uri="http://schemas.openxmlformats.org/drawingml/2006/picture">
                      <pic:pic xmlns:pic="http://schemas.openxmlformats.org/drawingml/2006/picture">
                        <pic:nvPicPr>
                          <pic:cNvPr id="25" name="图片 24"/>
                          <pic:cNvPicPr/>
                        </pic:nvPicPr>
                        <pic:blipFill>
                          <a:blip r:embed="rId55"/>
                          <a:stretch>
                            <a:fillRect/>
                          </a:stretch>
                        </pic:blipFill>
                        <pic:spPr>
                          <a:xfrm>
                            <a:off x="0" y="0"/>
                            <a:ext cx="3077845" cy="1996440"/>
                          </a:xfrm>
                          <a:prstGeom prst="rect">
                            <a:avLst/>
                          </a:prstGeom>
                          <a:noFill/>
                          <a:ln>
                            <a:noFill/>
                          </a:ln>
                        </pic:spPr>
                      </pic:pic>
                    </a:graphicData>
                  </a:graphic>
                </wp:inline>
              </w:drawing>
            </w:r>
          </w:p>
        </w:tc>
        <w:tc>
          <w:tcPr>
            <w:tcW w:w="4530" w:type="dxa"/>
            <w:noWrap w:val="0"/>
            <w:vAlign w:val="center"/>
          </w:tcPr>
          <w:p w14:paraId="1734757D">
            <w:pPr>
              <w:keepNext w:val="0"/>
              <w:keepLines w:val="0"/>
              <w:suppressLineNumbers w:val="0"/>
              <w:spacing w:before="0" w:beforeAutospacing="0" w:after="0" w:afterAutospacing="0"/>
              <w:ind w:left="0" w:right="0"/>
              <w:jc w:val="both"/>
              <w:rPr>
                <w:rFonts w:hint="eastAsia" w:eastAsia="宋体"/>
                <w:b/>
                <w:bCs/>
                <w:color w:val="auto"/>
                <w:highlight w:val="none"/>
                <w:lang w:eastAsia="zh-CN"/>
              </w:rPr>
            </w:pPr>
            <w:r>
              <w:rPr>
                <w:rFonts w:hint="default"/>
                <w:color w:val="auto"/>
              </w:rPr>
              <w:drawing>
                <wp:inline distT="0" distB="0" distL="114300" distR="114300">
                  <wp:extent cx="3107055" cy="2009775"/>
                  <wp:effectExtent l="0" t="0" r="17145" b="9525"/>
                  <wp:docPr id="21" name="图片 22"/>
                  <wp:cNvGraphicFramePr/>
                  <a:graphic xmlns:a="http://schemas.openxmlformats.org/drawingml/2006/main">
                    <a:graphicData uri="http://schemas.openxmlformats.org/drawingml/2006/picture">
                      <pic:pic xmlns:pic="http://schemas.openxmlformats.org/drawingml/2006/picture">
                        <pic:nvPicPr>
                          <pic:cNvPr id="21" name="图片 22"/>
                          <pic:cNvPicPr/>
                        </pic:nvPicPr>
                        <pic:blipFill>
                          <a:blip r:embed="rId56"/>
                          <a:stretch>
                            <a:fillRect/>
                          </a:stretch>
                        </pic:blipFill>
                        <pic:spPr>
                          <a:xfrm>
                            <a:off x="0" y="0"/>
                            <a:ext cx="3107055" cy="2009775"/>
                          </a:xfrm>
                          <a:prstGeom prst="rect">
                            <a:avLst/>
                          </a:prstGeom>
                          <a:noFill/>
                          <a:ln>
                            <a:noFill/>
                          </a:ln>
                        </pic:spPr>
                      </pic:pic>
                    </a:graphicData>
                  </a:graphic>
                </wp:inline>
              </w:drawing>
            </w:r>
          </w:p>
        </w:tc>
      </w:tr>
      <w:tr w14:paraId="44D11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noWrap w:val="0"/>
            <w:vAlign w:val="center"/>
          </w:tcPr>
          <w:p w14:paraId="0C177C7E">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厂区东侧</w:t>
            </w:r>
          </w:p>
        </w:tc>
        <w:tc>
          <w:tcPr>
            <w:tcW w:w="4530" w:type="dxa"/>
            <w:noWrap w:val="0"/>
            <w:vAlign w:val="center"/>
          </w:tcPr>
          <w:p w14:paraId="55208DC9">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厂区西侧</w:t>
            </w:r>
          </w:p>
        </w:tc>
      </w:tr>
      <w:tr w14:paraId="3F881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12" w:hRule="atLeast"/>
          <w:jc w:val="center"/>
        </w:trPr>
        <w:tc>
          <w:tcPr>
            <w:tcW w:w="4530" w:type="dxa"/>
            <w:noWrap w:val="0"/>
            <w:vAlign w:val="center"/>
          </w:tcPr>
          <w:p w14:paraId="0FBA02E0">
            <w:pPr>
              <w:keepNext w:val="0"/>
              <w:keepLines w:val="0"/>
              <w:suppressLineNumbers w:val="0"/>
              <w:spacing w:before="0" w:beforeAutospacing="0" w:after="0" w:afterAutospacing="0"/>
              <w:ind w:left="0" w:right="0"/>
              <w:jc w:val="center"/>
              <w:rPr>
                <w:rFonts w:hint="eastAsia" w:eastAsia="宋体"/>
                <w:b/>
                <w:bCs/>
                <w:color w:val="auto"/>
                <w:highlight w:val="none"/>
                <w:lang w:eastAsia="zh-CN"/>
              </w:rPr>
            </w:pPr>
            <w:r>
              <w:rPr>
                <w:rFonts w:hint="default"/>
                <w:color w:val="auto"/>
              </w:rPr>
              <w:drawing>
                <wp:inline distT="0" distB="0" distL="114300" distR="114300">
                  <wp:extent cx="2945130" cy="2066925"/>
                  <wp:effectExtent l="0" t="0" r="7620" b="9525"/>
                  <wp:docPr id="20" name="图片 21"/>
                  <wp:cNvGraphicFramePr/>
                  <a:graphic xmlns:a="http://schemas.openxmlformats.org/drawingml/2006/main">
                    <a:graphicData uri="http://schemas.openxmlformats.org/drawingml/2006/picture">
                      <pic:pic xmlns:pic="http://schemas.openxmlformats.org/drawingml/2006/picture">
                        <pic:nvPicPr>
                          <pic:cNvPr id="20" name="图片 21"/>
                          <pic:cNvPicPr/>
                        </pic:nvPicPr>
                        <pic:blipFill>
                          <a:blip r:embed="rId57"/>
                          <a:stretch>
                            <a:fillRect/>
                          </a:stretch>
                        </pic:blipFill>
                        <pic:spPr>
                          <a:xfrm>
                            <a:off x="0" y="0"/>
                            <a:ext cx="2945130" cy="2066925"/>
                          </a:xfrm>
                          <a:prstGeom prst="rect">
                            <a:avLst/>
                          </a:prstGeom>
                          <a:noFill/>
                          <a:ln>
                            <a:noFill/>
                          </a:ln>
                        </pic:spPr>
                      </pic:pic>
                    </a:graphicData>
                  </a:graphic>
                </wp:inline>
              </w:drawing>
            </w:r>
          </w:p>
        </w:tc>
        <w:tc>
          <w:tcPr>
            <w:tcW w:w="4530" w:type="dxa"/>
            <w:noWrap w:val="0"/>
            <w:vAlign w:val="center"/>
          </w:tcPr>
          <w:p w14:paraId="1A9E2656">
            <w:pPr>
              <w:keepNext w:val="0"/>
              <w:keepLines w:val="0"/>
              <w:suppressLineNumbers w:val="0"/>
              <w:spacing w:before="0" w:beforeAutospacing="0" w:after="0" w:afterAutospacing="0"/>
              <w:ind w:left="0" w:right="0"/>
              <w:jc w:val="center"/>
              <w:rPr>
                <w:rFonts w:hint="eastAsia" w:eastAsia="宋体"/>
                <w:b/>
                <w:bCs/>
                <w:color w:val="auto"/>
                <w:highlight w:val="none"/>
                <w:lang w:eastAsia="zh-CN"/>
              </w:rPr>
            </w:pPr>
            <w:r>
              <w:rPr>
                <w:rFonts w:hint="default"/>
                <w:color w:val="auto"/>
              </w:rPr>
              <w:drawing>
                <wp:inline distT="0" distB="0" distL="114300" distR="114300">
                  <wp:extent cx="3114040" cy="2130425"/>
                  <wp:effectExtent l="0" t="0" r="10160" b="3175"/>
                  <wp:docPr id="24" name="图片 23"/>
                  <wp:cNvGraphicFramePr/>
                  <a:graphic xmlns:a="http://schemas.openxmlformats.org/drawingml/2006/main">
                    <a:graphicData uri="http://schemas.openxmlformats.org/drawingml/2006/picture">
                      <pic:pic xmlns:pic="http://schemas.openxmlformats.org/drawingml/2006/picture">
                        <pic:nvPicPr>
                          <pic:cNvPr id="24" name="图片 23"/>
                          <pic:cNvPicPr/>
                        </pic:nvPicPr>
                        <pic:blipFill>
                          <a:blip r:embed="rId58"/>
                          <a:stretch>
                            <a:fillRect/>
                          </a:stretch>
                        </pic:blipFill>
                        <pic:spPr>
                          <a:xfrm>
                            <a:off x="0" y="0"/>
                            <a:ext cx="3114040" cy="2130425"/>
                          </a:xfrm>
                          <a:prstGeom prst="rect">
                            <a:avLst/>
                          </a:prstGeom>
                          <a:noFill/>
                          <a:ln>
                            <a:noFill/>
                          </a:ln>
                        </pic:spPr>
                      </pic:pic>
                    </a:graphicData>
                  </a:graphic>
                </wp:inline>
              </w:drawing>
            </w:r>
          </w:p>
        </w:tc>
      </w:tr>
      <w:tr w14:paraId="2F70A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noWrap w:val="0"/>
            <w:vAlign w:val="center"/>
          </w:tcPr>
          <w:p w14:paraId="5899BEB7">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厂区南侧</w:t>
            </w:r>
          </w:p>
        </w:tc>
        <w:tc>
          <w:tcPr>
            <w:tcW w:w="4530" w:type="dxa"/>
            <w:noWrap w:val="0"/>
            <w:vAlign w:val="center"/>
          </w:tcPr>
          <w:p w14:paraId="3800C273">
            <w:pPr>
              <w:keepNext w:val="0"/>
              <w:keepLines w:val="0"/>
              <w:suppressLineNumbers w:val="0"/>
              <w:spacing w:before="0" w:beforeAutospacing="0" w:after="0" w:afterAutospacing="0"/>
              <w:ind w:left="0" w:right="0"/>
              <w:jc w:val="center"/>
              <w:rPr>
                <w:rFonts w:hint="default" w:eastAsia="宋体"/>
                <w:b/>
                <w:bCs/>
                <w:color w:val="auto"/>
                <w:highlight w:val="none"/>
                <w:lang w:val="en-US" w:eastAsia="zh-CN"/>
              </w:rPr>
            </w:pPr>
            <w:r>
              <w:rPr>
                <w:rFonts w:hint="eastAsia"/>
                <w:b/>
                <w:bCs/>
                <w:color w:val="auto"/>
                <w:highlight w:val="none"/>
                <w:lang w:val="en-US" w:eastAsia="zh-CN"/>
              </w:rPr>
              <w:t>厂区北侧</w:t>
            </w:r>
          </w:p>
        </w:tc>
      </w:tr>
    </w:tbl>
    <w:p w14:paraId="3DBF5B74">
      <w:pPr>
        <w:pStyle w:val="5"/>
        <w:bidi w:val="0"/>
        <w:jc w:val="center"/>
        <w:rPr>
          <w:rFonts w:hint="default"/>
          <w:color w:val="auto"/>
          <w:lang w:val="en-US" w:eastAsia="zh-CN"/>
        </w:rPr>
        <w:sectPr>
          <w:footerReference r:id="rId6" w:type="default"/>
          <w:pgSz w:w="16781" w:h="11849" w:orient="landscape"/>
          <w:pgMar w:top="1701" w:right="1531" w:bottom="1701" w:left="1531" w:header="851" w:footer="1077" w:gutter="0"/>
          <w:pgBorders>
            <w:top w:val="none" w:sz="0" w:space="0"/>
            <w:left w:val="none" w:sz="0" w:space="0"/>
            <w:bottom w:val="none" w:sz="0" w:space="0"/>
            <w:right w:val="none" w:sz="0" w:space="0"/>
          </w:pgBorders>
          <w:pgNumType w:fmt="numberInDash"/>
          <w:cols w:space="0" w:num="1"/>
          <w:docGrid w:type="lines" w:linePitch="316" w:charSpace="0"/>
        </w:sectPr>
      </w:pPr>
      <w:r>
        <w:rPr>
          <w:rFonts w:hint="default" w:ascii="Times New Roman" w:hAnsi="Times New Roman" w:eastAsia="宋体" w:cs="Times New Roman"/>
          <w:color w:val="auto"/>
          <w:sz w:val="21"/>
          <w:szCs w:val="21"/>
          <w:highlight w:val="none"/>
          <w:lang w:val="en-US" w:eastAsia="zh-CN"/>
        </w:rPr>
        <w:t>附图3 厂区四周</w:t>
      </w:r>
      <w:r>
        <w:rPr>
          <w:rFonts w:hint="eastAsia" w:eastAsia="宋体" w:cs="Times New Roman"/>
          <w:color w:val="auto"/>
          <w:sz w:val="21"/>
          <w:szCs w:val="21"/>
          <w:highlight w:val="none"/>
          <w:lang w:val="en-US" w:eastAsia="zh-CN"/>
        </w:rPr>
        <w:t>图</w:t>
      </w:r>
    </w:p>
    <w:p w14:paraId="02121FBC">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431" w:hanging="431"/>
        <w:jc w:val="center"/>
        <w:textAlignment w:val="auto"/>
        <w:rPr>
          <w:color w:val="auto"/>
        </w:rPr>
      </w:pPr>
      <w:r>
        <w:rPr>
          <w:rFonts w:hint="eastAsia" w:ascii="宋体" w:hAnsi="宋体" w:eastAsia="宋体" w:cs="宋体"/>
          <w:b/>
          <w:bCs/>
          <w:color w:val="auto"/>
          <w:kern w:val="44"/>
          <w:sz w:val="30"/>
          <w:szCs w:val="30"/>
          <w:highlight w:val="none"/>
          <w:lang w:val="en-US" w:eastAsia="zh-CN" w:bidi="ar-SA"/>
        </w:rPr>
        <w:drawing>
          <wp:anchor distT="0" distB="0" distL="114300" distR="114300" simplePos="0" relativeHeight="251671552" behindDoc="0" locked="0" layoutInCell="1" allowOverlap="1">
            <wp:simplePos x="0" y="0"/>
            <wp:positionH relativeFrom="column">
              <wp:posOffset>7527290</wp:posOffset>
            </wp:positionH>
            <wp:positionV relativeFrom="paragraph">
              <wp:posOffset>6350</wp:posOffset>
            </wp:positionV>
            <wp:extent cx="692150" cy="682625"/>
            <wp:effectExtent l="0" t="0" r="12700" b="3175"/>
            <wp:wrapNone/>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53"/>
                    <a:stretch>
                      <a:fillRect/>
                    </a:stretch>
                  </pic:blipFill>
                  <pic:spPr>
                    <a:xfrm>
                      <a:off x="0" y="0"/>
                      <a:ext cx="692150" cy="682625"/>
                    </a:xfrm>
                    <a:prstGeom prst="rect">
                      <a:avLst/>
                    </a:prstGeom>
                    <a:noFill/>
                    <a:ln>
                      <a:noFill/>
                    </a:ln>
                  </pic:spPr>
                </pic:pic>
              </a:graphicData>
            </a:graphic>
          </wp:anchor>
        </w:drawing>
      </w:r>
      <w:r>
        <w:rPr>
          <w:color w:val="auto"/>
          <w:sz w:val="30"/>
        </w:rPr>
        <mc:AlternateContent>
          <mc:Choice Requires="wps">
            <w:drawing>
              <wp:anchor distT="0" distB="0" distL="114300" distR="114300" simplePos="0" relativeHeight="251667456" behindDoc="0" locked="0" layoutInCell="1" allowOverlap="1">
                <wp:simplePos x="0" y="0"/>
                <wp:positionH relativeFrom="column">
                  <wp:posOffset>6405245</wp:posOffset>
                </wp:positionH>
                <wp:positionV relativeFrom="paragraph">
                  <wp:posOffset>3710940</wp:posOffset>
                </wp:positionV>
                <wp:extent cx="1809750" cy="1370965"/>
                <wp:effectExtent l="4445" t="4445" r="14605" b="15240"/>
                <wp:wrapNone/>
                <wp:docPr id="68" name="文本框 68"/>
                <wp:cNvGraphicFramePr/>
                <a:graphic xmlns:a="http://schemas.openxmlformats.org/drawingml/2006/main">
                  <a:graphicData uri="http://schemas.microsoft.com/office/word/2010/wordprocessingShape">
                    <wps:wsp>
                      <wps:cNvSpPr txBox="1"/>
                      <wps:spPr>
                        <a:xfrm>
                          <a:off x="7552055" y="5025390"/>
                          <a:ext cx="1809750" cy="137096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F5D02E5">
                            <w:pPr>
                              <w:keepNext w:val="0"/>
                              <w:keepLines w:val="0"/>
                              <w:pageBreakBefore w:val="0"/>
                              <w:kinsoku/>
                              <w:wordWrap/>
                              <w:overflowPunct/>
                              <w:topLinePunct w:val="0"/>
                              <w:bidi w:val="0"/>
                              <w:adjustRightInd/>
                              <w:snapToGrid w:val="0"/>
                              <w:spacing w:line="360" w:lineRule="auto"/>
                              <w:ind w:right="0"/>
                              <w:jc w:val="center"/>
                              <w:textAlignment w:val="auto"/>
                              <w:rPr>
                                <w:rFonts w:hint="eastAsia"/>
                                <w:b/>
                                <w:bCs/>
                                <w:sz w:val="21"/>
                                <w:szCs w:val="21"/>
                                <w:lang w:val="en-US" w:eastAsia="zh-CN"/>
                              </w:rPr>
                            </w:pPr>
                            <w:r>
                              <w:rPr>
                                <w:rFonts w:hint="eastAsia"/>
                                <w:b/>
                                <w:bCs/>
                                <w:sz w:val="21"/>
                                <w:szCs w:val="21"/>
                                <w:lang w:val="en-US" w:eastAsia="zh-CN"/>
                              </w:rPr>
                              <w:t>图  例</w:t>
                            </w:r>
                          </w:p>
                          <w:p w14:paraId="012911F1">
                            <w:pPr>
                              <w:pStyle w:val="15"/>
                              <w:keepNext w:val="0"/>
                              <w:keepLines w:val="0"/>
                              <w:pageBreakBefore w:val="0"/>
                              <w:kinsoku/>
                              <w:wordWrap/>
                              <w:overflowPunct/>
                              <w:topLinePunct w:val="0"/>
                              <w:bidi w:val="0"/>
                              <w:adjustRightInd/>
                              <w:snapToGrid w:val="0"/>
                              <w:spacing w:before="0" w:after="0" w:line="360" w:lineRule="auto"/>
                              <w:ind w:right="0" w:firstLine="420" w:firstLineChars="200"/>
                              <w:jc w:val="both"/>
                              <w:textAlignment w:val="auto"/>
                              <w:rPr>
                                <w:rFonts w:hint="eastAsia"/>
                                <w:sz w:val="21"/>
                                <w:szCs w:val="21"/>
                                <w:lang w:val="en-US" w:eastAsia="zh-CN"/>
                              </w:rPr>
                            </w:pPr>
                            <w:r>
                              <w:rPr>
                                <w:rFonts w:hint="eastAsia"/>
                                <w:sz w:val="21"/>
                                <w:szCs w:val="21"/>
                                <w:lang w:val="en-US" w:eastAsia="zh-CN"/>
                              </w:rPr>
                              <w:t>项目位置</w:t>
                            </w:r>
                          </w:p>
                          <w:p w14:paraId="28FA2624">
                            <w:pPr>
                              <w:pStyle w:val="43"/>
                              <w:keepNext w:val="0"/>
                              <w:keepLines w:val="0"/>
                              <w:pageBreakBefore w:val="0"/>
                              <w:kinsoku/>
                              <w:wordWrap/>
                              <w:overflowPunct/>
                              <w:topLinePunct w:val="0"/>
                              <w:bidi w:val="0"/>
                              <w:adjustRightInd/>
                              <w:snapToGrid w:val="0"/>
                              <w:spacing w:line="360" w:lineRule="auto"/>
                              <w:ind w:right="0"/>
                              <w:jc w:val="right"/>
                              <w:textAlignment w:val="auto"/>
                              <w:rPr>
                                <w:rFonts w:hint="eastAsia"/>
                                <w:sz w:val="21"/>
                                <w:szCs w:val="21"/>
                                <w:lang w:val="en-US" w:eastAsia="zh-CN"/>
                              </w:rPr>
                            </w:pPr>
                            <w:r>
                              <w:rPr>
                                <w:rFonts w:hint="eastAsia"/>
                                <w:sz w:val="21"/>
                                <w:szCs w:val="21"/>
                                <w:lang w:val="en-US" w:eastAsia="zh-CN"/>
                              </w:rPr>
                              <w:t>大气环境保护目标范围</w:t>
                            </w:r>
                          </w:p>
                          <w:p w14:paraId="6EC3912B">
                            <w:pPr>
                              <w:pStyle w:val="43"/>
                              <w:keepNext w:val="0"/>
                              <w:keepLines w:val="0"/>
                              <w:pageBreakBefore w:val="0"/>
                              <w:kinsoku/>
                              <w:wordWrap/>
                              <w:overflowPunct/>
                              <w:topLinePunct w:val="0"/>
                              <w:bidi w:val="0"/>
                              <w:adjustRightInd/>
                              <w:snapToGrid w:val="0"/>
                              <w:spacing w:line="360" w:lineRule="auto"/>
                              <w:ind w:right="0"/>
                              <w:jc w:val="center"/>
                              <w:textAlignment w:val="auto"/>
                              <w:rPr>
                                <w:rFonts w:hint="eastAsia"/>
                                <w:sz w:val="21"/>
                                <w:szCs w:val="21"/>
                                <w:lang w:val="en-US" w:eastAsia="zh-CN"/>
                              </w:rPr>
                            </w:pPr>
                            <w:r>
                              <w:rPr>
                                <w:rFonts w:hint="eastAsia"/>
                                <w:sz w:val="21"/>
                                <w:szCs w:val="21"/>
                                <w:lang w:val="en-US" w:eastAsia="zh-CN"/>
                              </w:rPr>
                              <w:t>大气环境保护目标</w:t>
                            </w:r>
                          </w:p>
                          <w:p w14:paraId="671ED4AF">
                            <w:pPr>
                              <w:ind w:firstLine="420" w:firstLineChars="200"/>
                              <w:jc w:val="both"/>
                              <w:rPr>
                                <w:rFonts w:hint="default"/>
                                <w:lang w:val="en-US" w:eastAsia="zh-CN"/>
                              </w:rPr>
                            </w:pPr>
                            <w:r>
                              <w:rPr>
                                <w:rFonts w:hint="eastAsia"/>
                                <w:lang w:val="en-US" w:eastAsia="zh-CN"/>
                              </w:rPr>
                              <w:t>比例尺：1:9027</w:t>
                            </w:r>
                          </w:p>
                          <w:p w14:paraId="2B7E78F3">
                            <w:pPr>
                              <w:pStyle w:val="44"/>
                              <w:rPr>
                                <w:rFonts w:hint="default"/>
                                <w:lang w:val="en-US" w:eastAsia="zh-CN"/>
                              </w:rPr>
                            </w:pPr>
                          </w:p>
                          <w:p w14:paraId="58EBBDB6">
                            <w:pPr>
                              <w:pStyle w:val="44"/>
                              <w:rPr>
                                <w:rFonts w:hint="default"/>
                                <w:lang w:val="en-US" w:eastAsia="zh-CN"/>
                              </w:rPr>
                            </w:pPr>
                            <w:r>
                              <w:rPr>
                                <w:rFonts w:hint="eastAsia"/>
                                <w:lang w:val="en-US" w:eastAsia="zh-CN"/>
                              </w:rPr>
                              <w:t>大</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4.35pt;margin-top:292.2pt;height:107.95pt;width:142.5pt;z-index:251667456;mso-width-relative:page;mso-height-relative:page;" fillcolor="#FFFFFF [3201]" filled="t" stroked="t" coordsize="21600,21600" o:gfxdata="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2YHI09gAAAANAQAADwAAAAAAAAABACAAAAAiAAAAZHJzL2Rvd25yZXYueG1sUEsBAhQA&#10;FAAAAAgAh07iQEM4M5pkAgAAxgQAAA4AAAAAAAAAAQAgAAAAJwEAAGRycy9lMm9Eb2MueG1sUEsF&#10;BgAAAAAGAAYAWQEAAP0FAAAAAA==&#10;">
                <v:fill on="t" focussize="0,0"/>
                <v:stroke weight="0.5pt" color="#000000 [3204]" joinstyle="round"/>
                <v:imagedata o:title=""/>
                <o:lock v:ext="edit" aspectratio="f"/>
                <v:textbox>
                  <w:txbxContent>
                    <w:p w14:paraId="2F5D02E5">
                      <w:pPr>
                        <w:keepNext w:val="0"/>
                        <w:keepLines w:val="0"/>
                        <w:pageBreakBefore w:val="0"/>
                        <w:kinsoku/>
                        <w:wordWrap/>
                        <w:overflowPunct/>
                        <w:topLinePunct w:val="0"/>
                        <w:bidi w:val="0"/>
                        <w:adjustRightInd/>
                        <w:snapToGrid w:val="0"/>
                        <w:spacing w:line="360" w:lineRule="auto"/>
                        <w:ind w:right="0"/>
                        <w:jc w:val="center"/>
                        <w:textAlignment w:val="auto"/>
                        <w:rPr>
                          <w:rFonts w:hint="eastAsia"/>
                          <w:b/>
                          <w:bCs/>
                          <w:sz w:val="21"/>
                          <w:szCs w:val="21"/>
                          <w:lang w:val="en-US" w:eastAsia="zh-CN"/>
                        </w:rPr>
                      </w:pPr>
                      <w:r>
                        <w:rPr>
                          <w:rFonts w:hint="eastAsia"/>
                          <w:b/>
                          <w:bCs/>
                          <w:sz w:val="21"/>
                          <w:szCs w:val="21"/>
                          <w:lang w:val="en-US" w:eastAsia="zh-CN"/>
                        </w:rPr>
                        <w:t>图  例</w:t>
                      </w:r>
                    </w:p>
                    <w:p w14:paraId="012911F1">
                      <w:pPr>
                        <w:pStyle w:val="15"/>
                        <w:keepNext w:val="0"/>
                        <w:keepLines w:val="0"/>
                        <w:pageBreakBefore w:val="0"/>
                        <w:kinsoku/>
                        <w:wordWrap/>
                        <w:overflowPunct/>
                        <w:topLinePunct w:val="0"/>
                        <w:bidi w:val="0"/>
                        <w:adjustRightInd/>
                        <w:snapToGrid w:val="0"/>
                        <w:spacing w:before="0" w:after="0" w:line="360" w:lineRule="auto"/>
                        <w:ind w:right="0" w:firstLine="420" w:firstLineChars="200"/>
                        <w:jc w:val="both"/>
                        <w:textAlignment w:val="auto"/>
                        <w:rPr>
                          <w:rFonts w:hint="eastAsia"/>
                          <w:sz w:val="21"/>
                          <w:szCs w:val="21"/>
                          <w:lang w:val="en-US" w:eastAsia="zh-CN"/>
                        </w:rPr>
                      </w:pPr>
                      <w:r>
                        <w:rPr>
                          <w:rFonts w:hint="eastAsia"/>
                          <w:sz w:val="21"/>
                          <w:szCs w:val="21"/>
                          <w:lang w:val="en-US" w:eastAsia="zh-CN"/>
                        </w:rPr>
                        <w:t>项目位置</w:t>
                      </w:r>
                    </w:p>
                    <w:p w14:paraId="28FA2624">
                      <w:pPr>
                        <w:pStyle w:val="43"/>
                        <w:keepNext w:val="0"/>
                        <w:keepLines w:val="0"/>
                        <w:pageBreakBefore w:val="0"/>
                        <w:kinsoku/>
                        <w:wordWrap/>
                        <w:overflowPunct/>
                        <w:topLinePunct w:val="0"/>
                        <w:bidi w:val="0"/>
                        <w:adjustRightInd/>
                        <w:snapToGrid w:val="0"/>
                        <w:spacing w:line="360" w:lineRule="auto"/>
                        <w:ind w:right="0"/>
                        <w:jc w:val="right"/>
                        <w:textAlignment w:val="auto"/>
                        <w:rPr>
                          <w:rFonts w:hint="eastAsia"/>
                          <w:sz w:val="21"/>
                          <w:szCs w:val="21"/>
                          <w:lang w:val="en-US" w:eastAsia="zh-CN"/>
                        </w:rPr>
                      </w:pPr>
                      <w:r>
                        <w:rPr>
                          <w:rFonts w:hint="eastAsia"/>
                          <w:sz w:val="21"/>
                          <w:szCs w:val="21"/>
                          <w:lang w:val="en-US" w:eastAsia="zh-CN"/>
                        </w:rPr>
                        <w:t>大气环境保护目标范围</w:t>
                      </w:r>
                    </w:p>
                    <w:p w14:paraId="6EC3912B">
                      <w:pPr>
                        <w:pStyle w:val="43"/>
                        <w:keepNext w:val="0"/>
                        <w:keepLines w:val="0"/>
                        <w:pageBreakBefore w:val="0"/>
                        <w:kinsoku/>
                        <w:wordWrap/>
                        <w:overflowPunct/>
                        <w:topLinePunct w:val="0"/>
                        <w:bidi w:val="0"/>
                        <w:adjustRightInd/>
                        <w:snapToGrid w:val="0"/>
                        <w:spacing w:line="360" w:lineRule="auto"/>
                        <w:ind w:right="0"/>
                        <w:jc w:val="center"/>
                        <w:textAlignment w:val="auto"/>
                        <w:rPr>
                          <w:rFonts w:hint="eastAsia"/>
                          <w:sz w:val="21"/>
                          <w:szCs w:val="21"/>
                          <w:lang w:val="en-US" w:eastAsia="zh-CN"/>
                        </w:rPr>
                      </w:pPr>
                      <w:r>
                        <w:rPr>
                          <w:rFonts w:hint="eastAsia"/>
                          <w:sz w:val="21"/>
                          <w:szCs w:val="21"/>
                          <w:lang w:val="en-US" w:eastAsia="zh-CN"/>
                        </w:rPr>
                        <w:t>大气环境保护目标</w:t>
                      </w:r>
                    </w:p>
                    <w:p w14:paraId="671ED4AF">
                      <w:pPr>
                        <w:ind w:firstLine="420" w:firstLineChars="200"/>
                        <w:jc w:val="both"/>
                        <w:rPr>
                          <w:rFonts w:hint="default"/>
                          <w:lang w:val="en-US" w:eastAsia="zh-CN"/>
                        </w:rPr>
                      </w:pPr>
                      <w:r>
                        <w:rPr>
                          <w:rFonts w:hint="eastAsia"/>
                          <w:lang w:val="en-US" w:eastAsia="zh-CN"/>
                        </w:rPr>
                        <w:t>比例尺：1:9027</w:t>
                      </w:r>
                    </w:p>
                    <w:p w14:paraId="2B7E78F3">
                      <w:pPr>
                        <w:pStyle w:val="44"/>
                        <w:rPr>
                          <w:rFonts w:hint="default"/>
                          <w:lang w:val="en-US" w:eastAsia="zh-CN"/>
                        </w:rPr>
                      </w:pPr>
                    </w:p>
                    <w:p w14:paraId="58EBBDB6">
                      <w:pPr>
                        <w:pStyle w:val="44"/>
                        <w:rPr>
                          <w:rFonts w:hint="default"/>
                          <w:lang w:val="en-US" w:eastAsia="zh-CN"/>
                        </w:rPr>
                      </w:pPr>
                      <w:r>
                        <w:rPr>
                          <w:rFonts w:hint="eastAsia"/>
                          <w:lang w:val="en-US" w:eastAsia="zh-CN"/>
                        </w:rPr>
                        <w:t>大</w:t>
                      </w:r>
                    </w:p>
                  </w:txbxContent>
                </v:textbox>
              </v:shape>
            </w:pict>
          </mc:Fallback>
        </mc:AlternateContent>
      </w:r>
      <w:r>
        <w:rPr>
          <w:color w:val="auto"/>
          <w:sz w:val="30"/>
        </w:rPr>
        <mc:AlternateContent>
          <mc:Choice Requires="wps">
            <w:drawing>
              <wp:anchor distT="0" distB="0" distL="114300" distR="114300" simplePos="0" relativeHeight="251670528" behindDoc="0" locked="0" layoutInCell="1" allowOverlap="1">
                <wp:simplePos x="0" y="0"/>
                <wp:positionH relativeFrom="column">
                  <wp:posOffset>6481445</wp:posOffset>
                </wp:positionH>
                <wp:positionV relativeFrom="paragraph">
                  <wp:posOffset>4567555</wp:posOffset>
                </wp:positionV>
                <wp:extent cx="180975" cy="114300"/>
                <wp:effectExtent l="12700" t="12700" r="15875" b="25400"/>
                <wp:wrapNone/>
                <wp:docPr id="71" name="矩形 71"/>
                <wp:cNvGraphicFramePr/>
                <a:graphic xmlns:a="http://schemas.openxmlformats.org/drawingml/2006/main">
                  <a:graphicData uri="http://schemas.microsoft.com/office/word/2010/wordprocessingShape">
                    <wps:wsp>
                      <wps:cNvSpPr/>
                      <wps:spPr>
                        <a:xfrm>
                          <a:off x="0" y="0"/>
                          <a:ext cx="180975" cy="114300"/>
                        </a:xfrm>
                        <a:prstGeom prst="rect">
                          <a:avLst/>
                        </a:prstGeom>
                        <a:solidFill>
                          <a:srgbClr val="FFFF00"/>
                        </a:solidFill>
                        <a:ln>
                          <a:solidFill>
                            <a:srgbClr val="FFFF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0.35pt;margin-top:359.65pt;height:9pt;width:14.25pt;z-index:251670528;v-text-anchor:middle;mso-width-relative:page;mso-height-relative:page;" fillcolor="#FFFF00" filled="t" stroked="t" coordsize="21600,21600" o:gfxdata="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E2dtd2wAAAA0BAAAPAAAAAAAAAAEAIAAAACIAAABkcnMvZG93bnJldi54bWxQSwECFAAU&#10;AAAACACHTuJAxlnJ2WACAADeBAAADgAAAAAAAAABACAAAAAqAQAAZHJzL2Uyb0RvYy54bWxQSwUG&#10;AAAAAAYABgBZAQAA/AUAAAAA&#10;">
                <v:fill on="t" focussize="0,0"/>
                <v:stroke weight="2pt" color="#FFFF00 [3204]" joinstyle="round"/>
                <v:imagedata o:title=""/>
                <o:lock v:ext="edit" aspectratio="f"/>
              </v:rect>
            </w:pict>
          </mc:Fallback>
        </mc:AlternateContent>
      </w:r>
      <w:r>
        <w:rPr>
          <w:color w:val="auto"/>
          <w:sz w:val="30"/>
        </w:rPr>
        <mc:AlternateContent>
          <mc:Choice Requires="wps">
            <w:drawing>
              <wp:anchor distT="0" distB="0" distL="114300" distR="114300" simplePos="0" relativeHeight="251669504" behindDoc="0" locked="0" layoutInCell="1" allowOverlap="1">
                <wp:simplePos x="0" y="0"/>
                <wp:positionH relativeFrom="column">
                  <wp:posOffset>6481445</wp:posOffset>
                </wp:positionH>
                <wp:positionV relativeFrom="paragraph">
                  <wp:posOffset>4291330</wp:posOffset>
                </wp:positionV>
                <wp:extent cx="180975" cy="114300"/>
                <wp:effectExtent l="12700" t="12700" r="15875" b="25400"/>
                <wp:wrapNone/>
                <wp:docPr id="70" name="矩形 70"/>
                <wp:cNvGraphicFramePr/>
                <a:graphic xmlns:a="http://schemas.openxmlformats.org/drawingml/2006/main">
                  <a:graphicData uri="http://schemas.microsoft.com/office/word/2010/wordprocessingShape">
                    <wps:wsp>
                      <wps:cNvSpPr/>
                      <wps:spPr>
                        <a:xfrm>
                          <a:off x="0" y="0"/>
                          <a:ext cx="180975" cy="114300"/>
                        </a:xfrm>
                        <a:prstGeom prst="rect">
                          <a:avLst/>
                        </a:prstGeom>
                        <a:ln>
                          <a:solidFill>
                            <a:srgbClr val="FFFF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0.35pt;margin-top:337.9pt;height:9pt;width:14.25pt;z-index:251669504;v-text-anchor:middle;mso-width-relative:page;mso-height-relative:page;" filled="f" stroked="t" coordsize="21600,21600" o:gfxdata="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wOXuP2gAAAA0BAAAPAAAAAAAAAAEAIAAAACIAAABkcnMvZG93bnJldi54bWxQSwECFAAUAAAA&#10;CACHTuJAbOq9NF4CAAC1BAAADgAAAAAAAAABACAAAAApAQAAZHJzL2Uyb0RvYy54bWxQSwUGAAAA&#10;AAYABgBZAQAA+QUAAAAA&#10;">
                <v:fill on="f" focussize="0,0"/>
                <v:stroke weight="2pt" color="#FFFF00 [3204]" joinstyle="round"/>
                <v:imagedata o:title=""/>
                <o:lock v:ext="edit" aspectratio="f"/>
              </v:rect>
            </w:pict>
          </mc:Fallback>
        </mc:AlternateContent>
      </w:r>
      <w:r>
        <w:rPr>
          <w:color w:val="auto"/>
          <w:sz w:val="30"/>
        </w:rPr>
        <mc:AlternateContent>
          <mc:Choice Requires="wps">
            <w:drawing>
              <wp:anchor distT="0" distB="0" distL="114300" distR="114300" simplePos="0" relativeHeight="251668480" behindDoc="0" locked="0" layoutInCell="1" allowOverlap="1">
                <wp:simplePos x="0" y="0"/>
                <wp:positionH relativeFrom="column">
                  <wp:posOffset>6481445</wp:posOffset>
                </wp:positionH>
                <wp:positionV relativeFrom="paragraph">
                  <wp:posOffset>4034155</wp:posOffset>
                </wp:positionV>
                <wp:extent cx="180975" cy="114300"/>
                <wp:effectExtent l="12700" t="12700" r="15875" b="25400"/>
                <wp:wrapNone/>
                <wp:docPr id="69" name="矩形 69"/>
                <wp:cNvGraphicFramePr/>
                <a:graphic xmlns:a="http://schemas.openxmlformats.org/drawingml/2006/main">
                  <a:graphicData uri="http://schemas.microsoft.com/office/word/2010/wordprocessingShape">
                    <wps:wsp>
                      <wps:cNvSpPr/>
                      <wps:spPr>
                        <a:xfrm>
                          <a:off x="7542530" y="5006340"/>
                          <a:ext cx="180975" cy="114300"/>
                        </a:xfrm>
                        <a:prstGeom prst="rect">
                          <a:avLst/>
                        </a:prstGeom>
                        <a:ln>
                          <a:solidFill>
                            <a:srgbClr val="FF0000"/>
                          </a:solidFill>
                        </a:ln>
                      </wps:spPr>
                      <wps:style>
                        <a:lnRef idx="2">
                          <a:schemeClr val="accent1"/>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10.35pt;margin-top:317.65pt;height:9pt;width:14.25pt;z-index:251668480;v-text-anchor:middle;mso-width-relative:page;mso-height-relative:page;" filled="f" stroked="t" coordsize="21600,21600" o:gfxdata="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JsZCL7aAAAADQEAAA8AAAAAAAAAAQAgAAAAIgAAAGRycy9kb3ducmV2&#10;LnhtbFBLAQIUABQAAAAIAIdO4kBKQoNCbAIAAMEEAAAOAAAAAAAAAAEAIAAAACkBAABkcnMvZTJv&#10;RG9jLnhtbFBLBQYAAAAABgAGAFkBAAAHBgAAAAA=&#10;">
                <v:fill on="f" focussize="0,0"/>
                <v:stroke weight="2pt" color="#FF0000 [3204]" joinstyle="round"/>
                <v:imagedata o:title=""/>
                <o:lock v:ext="edit" aspectratio="f"/>
              </v:rect>
            </w:pict>
          </mc:Fallback>
        </mc:AlternateContent>
      </w:r>
      <w:r>
        <w:rPr>
          <w:color w:val="auto"/>
        </w:rPr>
        <w:drawing>
          <wp:inline distT="0" distB="0" distL="114300" distR="114300">
            <wp:extent cx="7976870" cy="5085715"/>
            <wp:effectExtent l="0" t="0" r="5080" b="635"/>
            <wp:docPr id="6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0"/>
                    <pic:cNvPicPr>
                      <a:picLocks noChangeAspect="1"/>
                    </pic:cNvPicPr>
                  </pic:nvPicPr>
                  <pic:blipFill>
                    <a:blip r:embed="rId59"/>
                    <a:stretch>
                      <a:fillRect/>
                    </a:stretch>
                  </pic:blipFill>
                  <pic:spPr>
                    <a:xfrm>
                      <a:off x="0" y="0"/>
                      <a:ext cx="7976870" cy="5085715"/>
                    </a:xfrm>
                    <a:prstGeom prst="rect">
                      <a:avLst/>
                    </a:prstGeom>
                    <a:noFill/>
                    <a:ln>
                      <a:noFill/>
                    </a:ln>
                  </pic:spPr>
                </pic:pic>
              </a:graphicData>
            </a:graphic>
          </wp:inline>
        </w:drawing>
      </w:r>
    </w:p>
    <w:p w14:paraId="2F05BB91">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431" w:hanging="431"/>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eastAsia="宋体" w:cs="Times New Roman"/>
          <w:color w:val="auto"/>
          <w:sz w:val="21"/>
          <w:szCs w:val="21"/>
          <w:highlight w:val="none"/>
          <w:lang w:eastAsia="zh-CN"/>
        </w:rPr>
        <w:t>附图</w:t>
      </w:r>
      <w:r>
        <w:rPr>
          <w:rFonts w:hint="eastAsia" w:eastAsia="宋体" w:cs="Times New Roman"/>
          <w:color w:val="auto"/>
          <w:sz w:val="21"/>
          <w:szCs w:val="21"/>
          <w:highlight w:val="none"/>
          <w:lang w:val="en-US" w:eastAsia="zh-CN"/>
        </w:rPr>
        <w:t>4大气环境保护目标分布图</w:t>
      </w:r>
    </w:p>
    <w:p w14:paraId="65320102">
      <w:pPr>
        <w:bidi w:val="0"/>
        <w:jc w:val="center"/>
        <w:rPr>
          <w:color w:val="auto"/>
        </w:rPr>
      </w:pPr>
    </w:p>
    <w:p w14:paraId="7830DCDE">
      <w:pPr>
        <w:bidi w:val="0"/>
        <w:jc w:val="center"/>
        <w:rPr>
          <w:rFonts w:hint="eastAsia" w:eastAsia="宋体"/>
          <w:color w:val="auto"/>
          <w:highlight w:val="none"/>
          <w:lang w:eastAsia="zh-CN"/>
        </w:rPr>
      </w:pPr>
      <w:r>
        <w:rPr>
          <w:color w:val="auto"/>
        </w:rPr>
        <w:drawing>
          <wp:inline distT="0" distB="0" distL="114300" distR="114300">
            <wp:extent cx="8458200" cy="4962525"/>
            <wp:effectExtent l="0" t="0" r="0" b="9525"/>
            <wp:docPr id="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
                    <pic:cNvPicPr>
                      <a:picLocks noChangeAspect="1"/>
                    </pic:cNvPicPr>
                  </pic:nvPicPr>
                  <pic:blipFill>
                    <a:blip r:embed="rId60"/>
                    <a:stretch>
                      <a:fillRect/>
                    </a:stretch>
                  </pic:blipFill>
                  <pic:spPr>
                    <a:xfrm>
                      <a:off x="0" y="0"/>
                      <a:ext cx="8458200" cy="4962525"/>
                    </a:xfrm>
                    <a:prstGeom prst="rect">
                      <a:avLst/>
                    </a:prstGeom>
                    <a:noFill/>
                    <a:ln>
                      <a:noFill/>
                    </a:ln>
                  </pic:spPr>
                </pic:pic>
              </a:graphicData>
            </a:graphic>
          </wp:inline>
        </w:drawing>
      </w:r>
    </w:p>
    <w:p w14:paraId="049C42A2">
      <w:pPr>
        <w:pStyle w:val="5"/>
        <w:keepNext/>
        <w:keepLines w:val="0"/>
        <w:pageBreakBefore w:val="0"/>
        <w:widowControl w:val="0"/>
        <w:kinsoku/>
        <w:wordWrap/>
        <w:overflowPunct w:val="0"/>
        <w:topLinePunct w:val="0"/>
        <w:autoSpaceDE/>
        <w:autoSpaceDN/>
        <w:bidi w:val="0"/>
        <w:adjustRightInd/>
        <w:snapToGrid w:val="0"/>
        <w:spacing w:before="0" w:after="0" w:line="240" w:lineRule="auto"/>
        <w:ind w:left="431" w:hanging="431"/>
        <w:jc w:val="center"/>
        <w:textAlignment w:val="auto"/>
        <w:rPr>
          <w:rFonts w:hint="default" w:ascii="Times New Roman" w:hAnsi="Times New Roman" w:cs="Times New Roman"/>
          <w:b/>
          <w:bCs/>
          <w:color w:val="auto"/>
          <w:highlight w:val="none"/>
          <w:lang w:val="en-US" w:eastAsia="zh-CN"/>
        </w:rPr>
      </w:pPr>
      <w:r>
        <w:rPr>
          <w:rFonts w:hint="default" w:ascii="Times New Roman" w:hAnsi="Times New Roman" w:eastAsia="宋体" w:cs="Times New Roman"/>
          <w:color w:val="auto"/>
          <w:sz w:val="21"/>
          <w:szCs w:val="21"/>
          <w:highlight w:val="none"/>
          <w:lang w:eastAsia="zh-CN"/>
        </w:rPr>
        <w:t>附图</w:t>
      </w:r>
      <w:r>
        <w:rPr>
          <w:rFonts w:hint="eastAsia" w:eastAsia="宋体" w:cs="Times New Roman"/>
          <w:color w:val="auto"/>
          <w:sz w:val="21"/>
          <w:szCs w:val="21"/>
          <w:highlight w:val="none"/>
          <w:lang w:val="en-US" w:eastAsia="zh-CN"/>
        </w:rPr>
        <w:t>5 厂区平面布置图</w:t>
      </w:r>
    </w:p>
    <w:sectPr>
      <w:pgSz w:w="16781" w:h="11849" w:orient="landscape"/>
      <w:pgMar w:top="1531" w:right="1701" w:bottom="1531" w:left="1701" w:header="851" w:footer="1077" w:gutter="0"/>
      <w:pgBorders>
        <w:top w:val="none" w:sz="0" w:space="0"/>
        <w:left w:val="none" w:sz="0" w:space="0"/>
        <w:bottom w:val="none" w:sz="0" w:space="0"/>
        <w:right w:val="none" w:sz="0" w:space="0"/>
      </w:pgBorders>
      <w:pgNumType w:fmt="numberInDash"/>
      <w:cols w:space="0" w:num="1"/>
      <w:docGrid w:type="lines" w:linePitch="31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50"/>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华文行楷">
    <w:panose1 w:val="02010800040101010101"/>
    <w:charset w:val="86"/>
    <w:family w:val="auto"/>
    <w:pitch w:val="default"/>
    <w:sig w:usb0="00000001" w:usb1="080F0000" w:usb2="00000000" w:usb3="00000000" w:csb0="00040000" w:csb1="00000000"/>
  </w:font>
  <w:font w:name="Arial Unicode MS">
    <w:altName w:val="宋体"/>
    <w:panose1 w:val="020B0604020202020204"/>
    <w:charset w:val="86"/>
    <w:family w:val="auto"/>
    <w:pitch w:val="default"/>
    <w:sig w:usb0="00000000" w:usb1="00000000" w:usb2="0000003F" w:usb3="00000000" w:csb0="603F01FF" w:csb1="FFFF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new times roma">
    <w:altName w:val="Times New Roman"/>
    <w:panose1 w:val="00000000000000000000"/>
    <w:charset w:val="00"/>
    <w:family w:val="auto"/>
    <w:pitch w:val="default"/>
    <w:sig w:usb0="00000000" w:usb1="00000000" w:usb2="00000000" w:usb3="00000000" w:csb0="00040001" w:csb1="00000000"/>
  </w:font>
  <w:font w:name="Wingdings 2">
    <w:panose1 w:val="05020102010507070707"/>
    <w:charset w:val="02"/>
    <w:family w:val="roman"/>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30047D">
    <w:pPr>
      <w:pStyle w:val="21"/>
      <w:tabs>
        <w:tab w:val="center" w:pos="4121"/>
        <w:tab w:val="clear" w:pos="4153"/>
      </w:tabs>
      <w:ind w:right="360" w:firstLine="360"/>
    </w:pPr>
    <w:r>
      <w:rPr>
        <w:rFonts w:hint="eastAsia"/>
      </w:rP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C6EE1B">
    <w:pPr>
      <w:pStyle w:val="21"/>
      <w:tabs>
        <w:tab w:val="center" w:pos="4121"/>
        <w:tab w:val="clear" w:pos="4153"/>
      </w:tabs>
      <w:ind w:right="360"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4" name="文本框 4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7E965F">
                          <w:pPr>
                            <w:pStyle w:val="2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RkSwgzAgAAYw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dUaKZQsVP37+d&#10;fvw6/fxKcAaBWutniHuwiAzdW9OhbYZzj8PIu6ucil8wIvBD3uNFXtEFwuOl6WQ6zeHi8A0b4GeP&#10;163z4Z0wikSjoA71S7Kyw8aHPnQIidm0WTdSphpKTdqCXr9+k6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KRkSwgzAgAAYwQAAA4AAAAAAAAAAQAgAAAAHwEAAGRycy9lMm9Eb2MueG1sUEsF&#10;BgAAAAAGAAYAWQEAAMQFAAAAAA==&#10;">
              <v:fill on="f" focussize="0,0"/>
              <v:stroke on="f" weight="0.5pt"/>
              <v:imagedata o:title=""/>
              <o:lock v:ext="edit" aspectratio="f"/>
              <v:textbox inset="0mm,0mm,0mm,0mm" style="mso-fit-shape-to-text:t;">
                <w:txbxContent>
                  <w:p w14:paraId="437E965F">
                    <w:pPr>
                      <w:pStyle w:val="21"/>
                    </w:pPr>
                    <w:r>
                      <w:fldChar w:fldCharType="begin"/>
                    </w:r>
                    <w:r>
                      <w:instrText xml:space="preserve"> PAGE  \* MERGEFORMAT </w:instrText>
                    </w:r>
                    <w:r>
                      <w:fldChar w:fldCharType="separate"/>
                    </w:r>
                    <w:r>
                      <w:t>1</w:t>
                    </w:r>
                    <w:r>
                      <w:fldChar w:fldCharType="end"/>
                    </w:r>
                  </w:p>
                </w:txbxContent>
              </v:textbox>
            </v:shape>
          </w:pict>
        </mc:Fallback>
      </mc:AlternateContent>
    </w:r>
    <w:r>
      <w:rPr>
        <w:rFonts w:hint="eastAsia"/>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57D4F1">
    <w:pPr>
      <w:pStyle w:val="21"/>
      <w:tabs>
        <w:tab w:val="center" w:pos="4121"/>
        <w:tab w:val="clear" w:pos="4153"/>
      </w:tabs>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8" name="文本框 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2D953C">
                          <w:pPr>
                            <w:pStyle w:val="21"/>
                          </w:pPr>
                          <w:r>
                            <w:fldChar w:fldCharType="begin"/>
                          </w:r>
                          <w:r>
                            <w:instrText xml:space="preserve"> PAGE  \* MERGEFORMAT </w:instrText>
                          </w:r>
                          <w:r>
                            <w:fldChar w:fldCharType="separate"/>
                          </w:r>
                          <w:r>
                            <w:t>28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qSjhE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DqSjhEzAgAAYwQAAA4AAAAAAAAAAQAgAAAAHwEAAGRycy9lMm9Eb2MueG1sUEsF&#10;BgAAAAAGAAYAWQEAAMQFAAAAAA==&#10;">
              <v:fill on="f" focussize="0,0"/>
              <v:stroke on="f" weight="0.5pt"/>
              <v:imagedata o:title=""/>
              <o:lock v:ext="edit" aspectratio="f"/>
              <v:textbox inset="0mm,0mm,0mm,0mm" style="mso-fit-shape-to-text:t;">
                <w:txbxContent>
                  <w:p w14:paraId="662D953C">
                    <w:pPr>
                      <w:pStyle w:val="21"/>
                    </w:pPr>
                    <w:r>
                      <w:fldChar w:fldCharType="begin"/>
                    </w:r>
                    <w:r>
                      <w:instrText xml:space="preserve"> PAGE  \* MERGEFORMAT </w:instrText>
                    </w:r>
                    <w:r>
                      <w:fldChar w:fldCharType="separate"/>
                    </w:r>
                    <w:r>
                      <w:t>28</w:t>
                    </w:r>
                    <w:r>
                      <w:fldChar w:fldCharType="end"/>
                    </w:r>
                  </w:p>
                </w:txbxContent>
              </v:textbox>
            </v:shape>
          </w:pict>
        </mc:Fallback>
      </mc:AlternateContent>
    </w:r>
    <w:r>
      <w:rPr>
        <w:rFonts w:hint="eastAsia"/>
      </w:rP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D1DA44">
    <w:pPr>
      <w:pStyle w:val="21"/>
      <w:tabs>
        <w:tab w:val="center" w:pos="4121"/>
        <w:tab w:val="clear" w:pos="4153"/>
        <w:tab w:val="clear" w:pos="8306"/>
      </w:tabs>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FBB9592">
                          <w:pPr>
                            <w:pStyle w:val="21"/>
                          </w:pPr>
                          <w:r>
                            <w:fldChar w:fldCharType="begin"/>
                          </w:r>
                          <w:r>
                            <w:instrText xml:space="preserve"> PAGE  \* MERGEFORMAT </w:instrText>
                          </w:r>
                          <w:r>
                            <w:fldChar w:fldCharType="separate"/>
                          </w:r>
                          <w:r>
                            <w:t>93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s0lY7tAAAAAFAQAADwAAAAAAAAABACAAAAAiAAAAZHJzL2Rvd25yZXYueG1sUEsBAhQAFAAA&#10;AAgAh07iQDp+ypgwAgAAYwQAAA4AAAAAAAAAAQAgAAAAHwEAAGRycy9lMm9Eb2MueG1sUEsFBgAA&#10;AAAGAAYAWQEAAMEFAAAAAA==&#10;">
              <v:fill on="f" focussize="0,0"/>
              <v:stroke on="f" weight="0.5pt"/>
              <v:imagedata o:title=""/>
              <o:lock v:ext="edit" aspectratio="f"/>
              <v:textbox inset="0mm,0mm,0mm,0mm" style="mso-fit-shape-to-text:t;">
                <w:txbxContent>
                  <w:p w14:paraId="1FBB9592">
                    <w:pPr>
                      <w:pStyle w:val="21"/>
                    </w:pPr>
                    <w:r>
                      <w:fldChar w:fldCharType="begin"/>
                    </w:r>
                    <w:r>
                      <w:instrText xml:space="preserve"> PAGE  \* MERGEFORMAT </w:instrText>
                    </w:r>
                    <w:r>
                      <w:fldChar w:fldCharType="separate"/>
                    </w:r>
                    <w:r>
                      <w:t>93</w:t>
                    </w:r>
                    <w:r>
                      <w:fldChar w:fldCharType="end"/>
                    </w:r>
                  </w:p>
                </w:txbxContent>
              </v:textbox>
            </v:shape>
          </w:pict>
        </mc:Fallback>
      </mc:AlternateContent>
    </w:r>
    <w:r>
      <w:rPr>
        <w:rFonts w:hint="eastAsia"/>
      </w:rPr>
      <w:tab/>
    </w:r>
    <w:r>
      <w:rPr>
        <w:rFonts w:hint="eastAsia"/>
      </w:rPr>
      <w:tab/>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FC3F996"/>
    <w:multiLevelType w:val="singleLevel"/>
    <w:tmpl w:val="8FC3F996"/>
    <w:lvl w:ilvl="0" w:tentative="0">
      <w:start w:val="1"/>
      <w:numFmt w:val="chineseCounting"/>
      <w:suff w:val="nothing"/>
      <w:lvlText w:val="%1、"/>
      <w:lvlJc w:val="left"/>
      <w:pPr>
        <w:ind w:left="0"/>
      </w:pPr>
      <w:rPr>
        <w:rFonts w:hint="eastAsia"/>
      </w:rPr>
    </w:lvl>
  </w:abstractNum>
  <w:abstractNum w:abstractNumId="1">
    <w:nsid w:val="A2F8ED4F"/>
    <w:multiLevelType w:val="singleLevel"/>
    <w:tmpl w:val="A2F8ED4F"/>
    <w:lvl w:ilvl="0" w:tentative="0">
      <w:start w:val="2"/>
      <w:numFmt w:val="decimal"/>
      <w:pStyle w:val="137"/>
      <w:suff w:val="nothing"/>
      <w:lvlText w:val="（%1）"/>
      <w:lvlJc w:val="left"/>
    </w:lvl>
  </w:abstractNum>
  <w:abstractNum w:abstractNumId="2">
    <w:nsid w:val="D53E88B3"/>
    <w:multiLevelType w:val="singleLevel"/>
    <w:tmpl w:val="D53E88B3"/>
    <w:lvl w:ilvl="0" w:tentative="0">
      <w:start w:val="1"/>
      <w:numFmt w:val="decimal"/>
      <w:suff w:val="nothing"/>
      <w:lvlText w:val="%1、"/>
      <w:lvlJc w:val="left"/>
    </w:lvl>
  </w:abstractNum>
  <w:abstractNum w:abstractNumId="3">
    <w:nsid w:val="14861248"/>
    <w:multiLevelType w:val="multilevel"/>
    <w:tmpl w:val="14861248"/>
    <w:lvl w:ilvl="0" w:tentative="0">
      <w:start w:val="1"/>
      <w:numFmt w:val="decimal"/>
      <w:lvlText w:val="%1"/>
      <w:lvlJc w:val="left"/>
      <w:pPr>
        <w:ind w:left="432" w:hanging="432"/>
      </w:pPr>
      <w:rPr>
        <w:rFonts w:hint="eastAsia"/>
      </w:rPr>
    </w:lvl>
    <w:lvl w:ilvl="1" w:tentative="0">
      <w:start w:val="1"/>
      <w:numFmt w:val="decimal"/>
      <w:lvlText w:val="%1.%2"/>
      <w:lvlJc w:val="left"/>
      <w:pPr>
        <w:ind w:left="576" w:hanging="576"/>
      </w:pPr>
      <w:rPr>
        <w:rFonts w:hint="eastAsia"/>
      </w:rPr>
    </w:lvl>
    <w:lvl w:ilvl="2" w:tentative="0">
      <w:start w:val="1"/>
      <w:numFmt w:val="decimal"/>
      <w:pStyle w:val="7"/>
      <w:suff w:val="nothing"/>
      <w:lvlText w:val="%1.%2.%3"/>
      <w:lvlJc w:val="left"/>
      <w:pPr>
        <w:ind w:left="3261" w:hanging="851"/>
      </w:pPr>
    </w:lvl>
    <w:lvl w:ilvl="3" w:tentative="0">
      <w:start w:val="1"/>
      <w:numFmt w:val="decimal"/>
      <w:pStyle w:val="8"/>
      <w:suff w:val="nothing"/>
      <w:lvlText w:val="%1.%2.%3.%4"/>
      <w:lvlJc w:val="left"/>
      <w:pPr>
        <w:ind w:left="3415" w:hanging="864"/>
      </w:pPr>
    </w:lvl>
    <w:lvl w:ilvl="4" w:tentative="0">
      <w:start w:val="1"/>
      <w:numFmt w:val="decimal"/>
      <w:lvlText w:val="%1.%2.%3.%4.%5"/>
      <w:lvlJc w:val="left"/>
      <w:pPr>
        <w:ind w:left="1008" w:hanging="1008"/>
      </w:pPr>
      <w:rPr>
        <w:rFonts w:hint="eastAsia"/>
      </w:rPr>
    </w:lvl>
    <w:lvl w:ilvl="5" w:tentative="0">
      <w:start w:val="1"/>
      <w:numFmt w:val="decimal"/>
      <w:lvlText w:val="%1.%2.%3.%4.%5.%6"/>
      <w:lvlJc w:val="left"/>
      <w:pPr>
        <w:ind w:left="1152" w:hanging="1152"/>
      </w:pPr>
      <w:rPr>
        <w:rFonts w:hint="eastAsia"/>
      </w:rPr>
    </w:lvl>
    <w:lvl w:ilvl="6" w:tentative="0">
      <w:start w:val="1"/>
      <w:numFmt w:val="decimal"/>
      <w:lvlText w:val="%1.%2.%3.%4.%5.%6.%7"/>
      <w:lvlJc w:val="left"/>
      <w:pPr>
        <w:ind w:left="1296" w:hanging="1296"/>
      </w:pPr>
      <w:rPr>
        <w:rFonts w:hint="eastAsia"/>
      </w:rPr>
    </w:lvl>
    <w:lvl w:ilvl="7" w:tentative="0">
      <w:start w:val="1"/>
      <w:numFmt w:val="decimal"/>
      <w:lvlText w:val="%1.%2.%3.%4.%5.%6.%7.%8"/>
      <w:lvlJc w:val="left"/>
      <w:pPr>
        <w:ind w:left="1440" w:hanging="1440"/>
      </w:pPr>
      <w:rPr>
        <w:rFonts w:hint="eastAsia"/>
      </w:rPr>
    </w:lvl>
    <w:lvl w:ilvl="8" w:tentative="0">
      <w:start w:val="1"/>
      <w:numFmt w:val="decimal"/>
      <w:lvlText w:val="%1.%2.%3.%4.%5.%6.%7.%8.%9"/>
      <w:lvlJc w:val="left"/>
      <w:pPr>
        <w:ind w:left="1584" w:hanging="1584"/>
      </w:pPr>
      <w:rPr>
        <w:rFonts w:hint="eastAsia"/>
      </w:rPr>
    </w:lvl>
  </w:abstractNum>
  <w:abstractNum w:abstractNumId="4">
    <w:nsid w:val="47C032C3"/>
    <w:multiLevelType w:val="singleLevel"/>
    <w:tmpl w:val="47C032C3"/>
    <w:lvl w:ilvl="0" w:tentative="0">
      <w:start w:val="1"/>
      <w:numFmt w:val="decimal"/>
      <w:suff w:val="nothing"/>
      <w:lvlText w:val="%1、"/>
      <w:lvlJc w:val="left"/>
    </w:lvl>
  </w:abstractNum>
  <w:abstractNum w:abstractNumId="5">
    <w:nsid w:val="4FFD0C1F"/>
    <w:multiLevelType w:val="singleLevel"/>
    <w:tmpl w:val="4FFD0C1F"/>
    <w:lvl w:ilvl="0" w:tentative="0">
      <w:start w:val="1"/>
      <w:numFmt w:val="chineseCounting"/>
      <w:suff w:val="nothing"/>
      <w:lvlText w:val="%1、"/>
      <w:lvlJc w:val="left"/>
      <w:rPr>
        <w:rFonts w:hint="eastAsia"/>
      </w:rPr>
    </w:lvl>
  </w:abstractNum>
  <w:num w:numId="1">
    <w:abstractNumId w:val="3"/>
  </w:num>
  <w:num w:numId="2">
    <w:abstractNumId w:val="1"/>
  </w:num>
  <w:num w:numId="3">
    <w:abstractNumId w:val="0"/>
  </w:num>
  <w:num w:numId="4">
    <w:abstractNumId w:val="2"/>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210"/>
  <w:drawingGridVerticalSpacing w:val="158"/>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NmNGZiNzQwYWEyZDYyMzg1NTk2NzdiMjM1MGU0NzQifQ=="/>
  </w:docVars>
  <w:rsids>
    <w:rsidRoot w:val="00172A27"/>
    <w:rsid w:val="00001CED"/>
    <w:rsid w:val="00001E67"/>
    <w:rsid w:val="00003CD8"/>
    <w:rsid w:val="00014965"/>
    <w:rsid w:val="0001523A"/>
    <w:rsid w:val="00016ECB"/>
    <w:rsid w:val="000269F6"/>
    <w:rsid w:val="00031939"/>
    <w:rsid w:val="00032D25"/>
    <w:rsid w:val="00050D4B"/>
    <w:rsid w:val="0005219D"/>
    <w:rsid w:val="0005568F"/>
    <w:rsid w:val="0006153D"/>
    <w:rsid w:val="00061B1F"/>
    <w:rsid w:val="00062D86"/>
    <w:rsid w:val="000664DB"/>
    <w:rsid w:val="00066EBC"/>
    <w:rsid w:val="000701C4"/>
    <w:rsid w:val="0007127D"/>
    <w:rsid w:val="00071AE5"/>
    <w:rsid w:val="00074783"/>
    <w:rsid w:val="000763E4"/>
    <w:rsid w:val="00076D34"/>
    <w:rsid w:val="000801E0"/>
    <w:rsid w:val="00082A29"/>
    <w:rsid w:val="0008331D"/>
    <w:rsid w:val="00083C18"/>
    <w:rsid w:val="00092899"/>
    <w:rsid w:val="000A002F"/>
    <w:rsid w:val="000A178E"/>
    <w:rsid w:val="000A5502"/>
    <w:rsid w:val="000A557E"/>
    <w:rsid w:val="000B058F"/>
    <w:rsid w:val="000B6281"/>
    <w:rsid w:val="000B693F"/>
    <w:rsid w:val="000C09AC"/>
    <w:rsid w:val="000C0A63"/>
    <w:rsid w:val="000C437E"/>
    <w:rsid w:val="000E5F16"/>
    <w:rsid w:val="000F4452"/>
    <w:rsid w:val="000F6DA1"/>
    <w:rsid w:val="000F6F68"/>
    <w:rsid w:val="000F701B"/>
    <w:rsid w:val="001056A0"/>
    <w:rsid w:val="00112666"/>
    <w:rsid w:val="00115279"/>
    <w:rsid w:val="00117459"/>
    <w:rsid w:val="0011749A"/>
    <w:rsid w:val="00127A68"/>
    <w:rsid w:val="00140B13"/>
    <w:rsid w:val="00141B68"/>
    <w:rsid w:val="001466DA"/>
    <w:rsid w:val="00154DE1"/>
    <w:rsid w:val="00155B40"/>
    <w:rsid w:val="00157435"/>
    <w:rsid w:val="00163EEA"/>
    <w:rsid w:val="00167A07"/>
    <w:rsid w:val="0017046A"/>
    <w:rsid w:val="001704A3"/>
    <w:rsid w:val="00172E78"/>
    <w:rsid w:val="0017504D"/>
    <w:rsid w:val="00177422"/>
    <w:rsid w:val="00184F10"/>
    <w:rsid w:val="00185546"/>
    <w:rsid w:val="0019146B"/>
    <w:rsid w:val="00193414"/>
    <w:rsid w:val="00194398"/>
    <w:rsid w:val="001A64C4"/>
    <w:rsid w:val="001A7D2A"/>
    <w:rsid w:val="001B574C"/>
    <w:rsid w:val="001C0AF9"/>
    <w:rsid w:val="001C155A"/>
    <w:rsid w:val="001C48C0"/>
    <w:rsid w:val="001D1BE5"/>
    <w:rsid w:val="001D6726"/>
    <w:rsid w:val="001E600B"/>
    <w:rsid w:val="001F3347"/>
    <w:rsid w:val="001F4440"/>
    <w:rsid w:val="001F69E4"/>
    <w:rsid w:val="00203A08"/>
    <w:rsid w:val="00206A65"/>
    <w:rsid w:val="00212D31"/>
    <w:rsid w:val="002130C7"/>
    <w:rsid w:val="00217428"/>
    <w:rsid w:val="002218A8"/>
    <w:rsid w:val="0022306D"/>
    <w:rsid w:val="00226574"/>
    <w:rsid w:val="002278EC"/>
    <w:rsid w:val="002357C7"/>
    <w:rsid w:val="002367C4"/>
    <w:rsid w:val="00244B1B"/>
    <w:rsid w:val="0025679E"/>
    <w:rsid w:val="00260C68"/>
    <w:rsid w:val="002648B0"/>
    <w:rsid w:val="00275271"/>
    <w:rsid w:val="0027535E"/>
    <w:rsid w:val="0027562F"/>
    <w:rsid w:val="00275AA6"/>
    <w:rsid w:val="002807D5"/>
    <w:rsid w:val="00282CCD"/>
    <w:rsid w:val="002A168C"/>
    <w:rsid w:val="002A2C48"/>
    <w:rsid w:val="002A3EED"/>
    <w:rsid w:val="002A4A39"/>
    <w:rsid w:val="002A5A17"/>
    <w:rsid w:val="002A6425"/>
    <w:rsid w:val="002B49E2"/>
    <w:rsid w:val="002B6923"/>
    <w:rsid w:val="002B7B00"/>
    <w:rsid w:val="002B7C44"/>
    <w:rsid w:val="002C1388"/>
    <w:rsid w:val="002C3C6A"/>
    <w:rsid w:val="002D42DB"/>
    <w:rsid w:val="002E1F3A"/>
    <w:rsid w:val="002E28C7"/>
    <w:rsid w:val="002E298A"/>
    <w:rsid w:val="002F02A4"/>
    <w:rsid w:val="002F272B"/>
    <w:rsid w:val="002F7C6D"/>
    <w:rsid w:val="003027E4"/>
    <w:rsid w:val="0030332C"/>
    <w:rsid w:val="00312296"/>
    <w:rsid w:val="0031340E"/>
    <w:rsid w:val="00316464"/>
    <w:rsid w:val="0032073A"/>
    <w:rsid w:val="00321D8E"/>
    <w:rsid w:val="00334996"/>
    <w:rsid w:val="00335D51"/>
    <w:rsid w:val="00336969"/>
    <w:rsid w:val="00336C52"/>
    <w:rsid w:val="00341B3E"/>
    <w:rsid w:val="00341B42"/>
    <w:rsid w:val="00345154"/>
    <w:rsid w:val="0034560E"/>
    <w:rsid w:val="00350523"/>
    <w:rsid w:val="00352975"/>
    <w:rsid w:val="00356868"/>
    <w:rsid w:val="00360E24"/>
    <w:rsid w:val="0036485B"/>
    <w:rsid w:val="00373B0D"/>
    <w:rsid w:val="00376988"/>
    <w:rsid w:val="00381A72"/>
    <w:rsid w:val="003A1948"/>
    <w:rsid w:val="003B152A"/>
    <w:rsid w:val="003B545B"/>
    <w:rsid w:val="003D3EE9"/>
    <w:rsid w:val="003D6656"/>
    <w:rsid w:val="003E7681"/>
    <w:rsid w:val="003F0809"/>
    <w:rsid w:val="003F611C"/>
    <w:rsid w:val="003F6A92"/>
    <w:rsid w:val="003F755C"/>
    <w:rsid w:val="00406F01"/>
    <w:rsid w:val="00411B36"/>
    <w:rsid w:val="004121D7"/>
    <w:rsid w:val="00416D50"/>
    <w:rsid w:val="00417772"/>
    <w:rsid w:val="00420E6A"/>
    <w:rsid w:val="00421B65"/>
    <w:rsid w:val="00430200"/>
    <w:rsid w:val="00433CA9"/>
    <w:rsid w:val="0043521D"/>
    <w:rsid w:val="00441DF3"/>
    <w:rsid w:val="00442024"/>
    <w:rsid w:val="0044254C"/>
    <w:rsid w:val="00443F6A"/>
    <w:rsid w:val="00450A17"/>
    <w:rsid w:val="00466321"/>
    <w:rsid w:val="004672AF"/>
    <w:rsid w:val="004727B0"/>
    <w:rsid w:val="00480247"/>
    <w:rsid w:val="0048081D"/>
    <w:rsid w:val="0048117E"/>
    <w:rsid w:val="004855F6"/>
    <w:rsid w:val="00486F0C"/>
    <w:rsid w:val="00494670"/>
    <w:rsid w:val="004A0EB4"/>
    <w:rsid w:val="004A3823"/>
    <w:rsid w:val="004A59BB"/>
    <w:rsid w:val="004B43A3"/>
    <w:rsid w:val="004B4C49"/>
    <w:rsid w:val="004B58A5"/>
    <w:rsid w:val="004B63D9"/>
    <w:rsid w:val="004C0882"/>
    <w:rsid w:val="004C55BE"/>
    <w:rsid w:val="004E43BF"/>
    <w:rsid w:val="004E5B30"/>
    <w:rsid w:val="004E7D88"/>
    <w:rsid w:val="004F0779"/>
    <w:rsid w:val="004F1230"/>
    <w:rsid w:val="004F173F"/>
    <w:rsid w:val="004F177C"/>
    <w:rsid w:val="004F2DCE"/>
    <w:rsid w:val="004F51E5"/>
    <w:rsid w:val="005039CB"/>
    <w:rsid w:val="0050558F"/>
    <w:rsid w:val="005057E0"/>
    <w:rsid w:val="00506286"/>
    <w:rsid w:val="00510813"/>
    <w:rsid w:val="00511DE0"/>
    <w:rsid w:val="00517F02"/>
    <w:rsid w:val="00524547"/>
    <w:rsid w:val="005258A2"/>
    <w:rsid w:val="00530F7C"/>
    <w:rsid w:val="00534567"/>
    <w:rsid w:val="00534F43"/>
    <w:rsid w:val="00535A84"/>
    <w:rsid w:val="00536889"/>
    <w:rsid w:val="00542E07"/>
    <w:rsid w:val="00554A7B"/>
    <w:rsid w:val="0055572C"/>
    <w:rsid w:val="0056064F"/>
    <w:rsid w:val="00561B84"/>
    <w:rsid w:val="00563274"/>
    <w:rsid w:val="00571D98"/>
    <w:rsid w:val="005720AE"/>
    <w:rsid w:val="0058030D"/>
    <w:rsid w:val="00582045"/>
    <w:rsid w:val="00590AE3"/>
    <w:rsid w:val="005918F1"/>
    <w:rsid w:val="005A06B7"/>
    <w:rsid w:val="005A1759"/>
    <w:rsid w:val="005D0369"/>
    <w:rsid w:val="005D4603"/>
    <w:rsid w:val="005D53FE"/>
    <w:rsid w:val="005D7A0F"/>
    <w:rsid w:val="005E0438"/>
    <w:rsid w:val="005E1791"/>
    <w:rsid w:val="005E2CE6"/>
    <w:rsid w:val="005E6324"/>
    <w:rsid w:val="005F228B"/>
    <w:rsid w:val="005F29CD"/>
    <w:rsid w:val="005F4DFB"/>
    <w:rsid w:val="005F6CC0"/>
    <w:rsid w:val="00603E5B"/>
    <w:rsid w:val="00604BC8"/>
    <w:rsid w:val="00615B4C"/>
    <w:rsid w:val="00615B5D"/>
    <w:rsid w:val="0062146F"/>
    <w:rsid w:val="00621C19"/>
    <w:rsid w:val="006343AF"/>
    <w:rsid w:val="0063634A"/>
    <w:rsid w:val="0064250D"/>
    <w:rsid w:val="006535EB"/>
    <w:rsid w:val="00663016"/>
    <w:rsid w:val="00674605"/>
    <w:rsid w:val="006748B8"/>
    <w:rsid w:val="0068535B"/>
    <w:rsid w:val="0068736E"/>
    <w:rsid w:val="0069290A"/>
    <w:rsid w:val="00694990"/>
    <w:rsid w:val="00697032"/>
    <w:rsid w:val="006975AC"/>
    <w:rsid w:val="006A15FB"/>
    <w:rsid w:val="006A72BF"/>
    <w:rsid w:val="006B332A"/>
    <w:rsid w:val="006B33BD"/>
    <w:rsid w:val="006C3F75"/>
    <w:rsid w:val="006D170E"/>
    <w:rsid w:val="006E06AF"/>
    <w:rsid w:val="006F1789"/>
    <w:rsid w:val="007007DA"/>
    <w:rsid w:val="00702588"/>
    <w:rsid w:val="00706C5D"/>
    <w:rsid w:val="007118E6"/>
    <w:rsid w:val="007225C9"/>
    <w:rsid w:val="00733E26"/>
    <w:rsid w:val="00735CD7"/>
    <w:rsid w:val="00754034"/>
    <w:rsid w:val="00754BF1"/>
    <w:rsid w:val="00755A30"/>
    <w:rsid w:val="00755E1C"/>
    <w:rsid w:val="00756556"/>
    <w:rsid w:val="0076132B"/>
    <w:rsid w:val="007623AE"/>
    <w:rsid w:val="00770B19"/>
    <w:rsid w:val="007747BB"/>
    <w:rsid w:val="00774FA0"/>
    <w:rsid w:val="00776620"/>
    <w:rsid w:val="00777B6D"/>
    <w:rsid w:val="00784855"/>
    <w:rsid w:val="00784F39"/>
    <w:rsid w:val="0078545C"/>
    <w:rsid w:val="007906C4"/>
    <w:rsid w:val="007940EA"/>
    <w:rsid w:val="007967E8"/>
    <w:rsid w:val="007A63F2"/>
    <w:rsid w:val="007B68DE"/>
    <w:rsid w:val="007C1857"/>
    <w:rsid w:val="007C514F"/>
    <w:rsid w:val="007D0F95"/>
    <w:rsid w:val="007D7ECB"/>
    <w:rsid w:val="007E25A1"/>
    <w:rsid w:val="007E4BD2"/>
    <w:rsid w:val="007E7145"/>
    <w:rsid w:val="007F3916"/>
    <w:rsid w:val="00801179"/>
    <w:rsid w:val="00802479"/>
    <w:rsid w:val="00805372"/>
    <w:rsid w:val="00805B7B"/>
    <w:rsid w:val="0081293E"/>
    <w:rsid w:val="00814795"/>
    <w:rsid w:val="00814FFB"/>
    <w:rsid w:val="00820568"/>
    <w:rsid w:val="00831A80"/>
    <w:rsid w:val="008332C8"/>
    <w:rsid w:val="00833743"/>
    <w:rsid w:val="008340A4"/>
    <w:rsid w:val="00836799"/>
    <w:rsid w:val="00837028"/>
    <w:rsid w:val="00837131"/>
    <w:rsid w:val="00843E1B"/>
    <w:rsid w:val="00845F57"/>
    <w:rsid w:val="008521E0"/>
    <w:rsid w:val="008525B0"/>
    <w:rsid w:val="00852A28"/>
    <w:rsid w:val="00867CBC"/>
    <w:rsid w:val="00876C30"/>
    <w:rsid w:val="00877017"/>
    <w:rsid w:val="008773C0"/>
    <w:rsid w:val="00880364"/>
    <w:rsid w:val="00886C4C"/>
    <w:rsid w:val="0088711C"/>
    <w:rsid w:val="00892ECF"/>
    <w:rsid w:val="00892F06"/>
    <w:rsid w:val="00894285"/>
    <w:rsid w:val="008A40AE"/>
    <w:rsid w:val="008A4E19"/>
    <w:rsid w:val="008A67C5"/>
    <w:rsid w:val="008B1170"/>
    <w:rsid w:val="008B22E1"/>
    <w:rsid w:val="008B3C78"/>
    <w:rsid w:val="008B4AE9"/>
    <w:rsid w:val="008C30AD"/>
    <w:rsid w:val="008C6C96"/>
    <w:rsid w:val="008D068E"/>
    <w:rsid w:val="008D0F7A"/>
    <w:rsid w:val="008D313A"/>
    <w:rsid w:val="008D63BE"/>
    <w:rsid w:val="008E0CFF"/>
    <w:rsid w:val="008E5D6B"/>
    <w:rsid w:val="008E689B"/>
    <w:rsid w:val="008E76F0"/>
    <w:rsid w:val="008F15FE"/>
    <w:rsid w:val="008F2A94"/>
    <w:rsid w:val="008F5187"/>
    <w:rsid w:val="008F6EB2"/>
    <w:rsid w:val="008F709C"/>
    <w:rsid w:val="00900FC3"/>
    <w:rsid w:val="00902C2A"/>
    <w:rsid w:val="0090312B"/>
    <w:rsid w:val="00904961"/>
    <w:rsid w:val="0091736D"/>
    <w:rsid w:val="00920750"/>
    <w:rsid w:val="009269A2"/>
    <w:rsid w:val="00931001"/>
    <w:rsid w:val="00931863"/>
    <w:rsid w:val="00933524"/>
    <w:rsid w:val="00936276"/>
    <w:rsid w:val="0094278D"/>
    <w:rsid w:val="00950240"/>
    <w:rsid w:val="0095308A"/>
    <w:rsid w:val="00955AEE"/>
    <w:rsid w:val="00956F14"/>
    <w:rsid w:val="009620FD"/>
    <w:rsid w:val="0096247A"/>
    <w:rsid w:val="00965F4B"/>
    <w:rsid w:val="00970F8A"/>
    <w:rsid w:val="00971FB5"/>
    <w:rsid w:val="00972D2A"/>
    <w:rsid w:val="00975CC5"/>
    <w:rsid w:val="00976328"/>
    <w:rsid w:val="00976B4E"/>
    <w:rsid w:val="00984458"/>
    <w:rsid w:val="00985283"/>
    <w:rsid w:val="00987322"/>
    <w:rsid w:val="009A0F3B"/>
    <w:rsid w:val="009A72C7"/>
    <w:rsid w:val="009B0897"/>
    <w:rsid w:val="009C15CF"/>
    <w:rsid w:val="009D0852"/>
    <w:rsid w:val="009D1FBF"/>
    <w:rsid w:val="009D3880"/>
    <w:rsid w:val="009E399C"/>
    <w:rsid w:val="009E43C1"/>
    <w:rsid w:val="009E7E95"/>
    <w:rsid w:val="009F116F"/>
    <w:rsid w:val="009F329E"/>
    <w:rsid w:val="009F5089"/>
    <w:rsid w:val="009F7ED3"/>
    <w:rsid w:val="00A03607"/>
    <w:rsid w:val="00A047FF"/>
    <w:rsid w:val="00A04FEF"/>
    <w:rsid w:val="00A122CD"/>
    <w:rsid w:val="00A12A32"/>
    <w:rsid w:val="00A14248"/>
    <w:rsid w:val="00A14947"/>
    <w:rsid w:val="00A1745D"/>
    <w:rsid w:val="00A23DC5"/>
    <w:rsid w:val="00A34028"/>
    <w:rsid w:val="00A35568"/>
    <w:rsid w:val="00A37056"/>
    <w:rsid w:val="00A4358F"/>
    <w:rsid w:val="00A46F67"/>
    <w:rsid w:val="00A54AA1"/>
    <w:rsid w:val="00A568FF"/>
    <w:rsid w:val="00A61496"/>
    <w:rsid w:val="00A61833"/>
    <w:rsid w:val="00A624C6"/>
    <w:rsid w:val="00A63CEC"/>
    <w:rsid w:val="00A7031E"/>
    <w:rsid w:val="00A728B1"/>
    <w:rsid w:val="00A763DE"/>
    <w:rsid w:val="00A76AAF"/>
    <w:rsid w:val="00A803D6"/>
    <w:rsid w:val="00A81282"/>
    <w:rsid w:val="00A8713F"/>
    <w:rsid w:val="00A91167"/>
    <w:rsid w:val="00A9171C"/>
    <w:rsid w:val="00A92FFD"/>
    <w:rsid w:val="00A95975"/>
    <w:rsid w:val="00A9708D"/>
    <w:rsid w:val="00AA2C17"/>
    <w:rsid w:val="00AA3CEC"/>
    <w:rsid w:val="00AA4172"/>
    <w:rsid w:val="00AB1914"/>
    <w:rsid w:val="00AB5330"/>
    <w:rsid w:val="00AB7747"/>
    <w:rsid w:val="00AC2532"/>
    <w:rsid w:val="00AD1507"/>
    <w:rsid w:val="00AD5A70"/>
    <w:rsid w:val="00AD738B"/>
    <w:rsid w:val="00AE1BF4"/>
    <w:rsid w:val="00AE4E5E"/>
    <w:rsid w:val="00AE5D97"/>
    <w:rsid w:val="00AE6794"/>
    <w:rsid w:val="00B01110"/>
    <w:rsid w:val="00B02262"/>
    <w:rsid w:val="00B03CEC"/>
    <w:rsid w:val="00B1209F"/>
    <w:rsid w:val="00B12AD0"/>
    <w:rsid w:val="00B21118"/>
    <w:rsid w:val="00B24F30"/>
    <w:rsid w:val="00B31ABF"/>
    <w:rsid w:val="00B335AE"/>
    <w:rsid w:val="00B37CE1"/>
    <w:rsid w:val="00B40ACF"/>
    <w:rsid w:val="00B46BAA"/>
    <w:rsid w:val="00B503C6"/>
    <w:rsid w:val="00B50B5F"/>
    <w:rsid w:val="00B54128"/>
    <w:rsid w:val="00B55826"/>
    <w:rsid w:val="00B579B9"/>
    <w:rsid w:val="00B60426"/>
    <w:rsid w:val="00B622DD"/>
    <w:rsid w:val="00B63522"/>
    <w:rsid w:val="00B76F1D"/>
    <w:rsid w:val="00B92A19"/>
    <w:rsid w:val="00B93F2F"/>
    <w:rsid w:val="00B9544C"/>
    <w:rsid w:val="00BA29E9"/>
    <w:rsid w:val="00BB3618"/>
    <w:rsid w:val="00BC0C9E"/>
    <w:rsid w:val="00BC32DC"/>
    <w:rsid w:val="00BD1B51"/>
    <w:rsid w:val="00BD47F6"/>
    <w:rsid w:val="00BE312D"/>
    <w:rsid w:val="00BE37EE"/>
    <w:rsid w:val="00BE3FCA"/>
    <w:rsid w:val="00BE5E23"/>
    <w:rsid w:val="00BF720C"/>
    <w:rsid w:val="00C05719"/>
    <w:rsid w:val="00C10578"/>
    <w:rsid w:val="00C17D62"/>
    <w:rsid w:val="00C21FDC"/>
    <w:rsid w:val="00C2410B"/>
    <w:rsid w:val="00C24EE7"/>
    <w:rsid w:val="00C2596A"/>
    <w:rsid w:val="00C271BE"/>
    <w:rsid w:val="00C27425"/>
    <w:rsid w:val="00C328FE"/>
    <w:rsid w:val="00C33A05"/>
    <w:rsid w:val="00C42500"/>
    <w:rsid w:val="00C4409D"/>
    <w:rsid w:val="00C455BE"/>
    <w:rsid w:val="00C51E5F"/>
    <w:rsid w:val="00C61E4B"/>
    <w:rsid w:val="00C62E3A"/>
    <w:rsid w:val="00C64503"/>
    <w:rsid w:val="00C64A1F"/>
    <w:rsid w:val="00C64BFF"/>
    <w:rsid w:val="00C763C9"/>
    <w:rsid w:val="00C80057"/>
    <w:rsid w:val="00C82C79"/>
    <w:rsid w:val="00C84753"/>
    <w:rsid w:val="00C91611"/>
    <w:rsid w:val="00CA3585"/>
    <w:rsid w:val="00CA3D5A"/>
    <w:rsid w:val="00CA4C7C"/>
    <w:rsid w:val="00CB0183"/>
    <w:rsid w:val="00CB1EA3"/>
    <w:rsid w:val="00CB552C"/>
    <w:rsid w:val="00CB6A9E"/>
    <w:rsid w:val="00CC6181"/>
    <w:rsid w:val="00CD2BCD"/>
    <w:rsid w:val="00CD36AA"/>
    <w:rsid w:val="00CD3791"/>
    <w:rsid w:val="00CD5961"/>
    <w:rsid w:val="00CD65B0"/>
    <w:rsid w:val="00CE02CD"/>
    <w:rsid w:val="00CE10E9"/>
    <w:rsid w:val="00CF535D"/>
    <w:rsid w:val="00D0072E"/>
    <w:rsid w:val="00D12B9C"/>
    <w:rsid w:val="00D15727"/>
    <w:rsid w:val="00D16332"/>
    <w:rsid w:val="00D24972"/>
    <w:rsid w:val="00D2515E"/>
    <w:rsid w:val="00D308ED"/>
    <w:rsid w:val="00D40D69"/>
    <w:rsid w:val="00D51461"/>
    <w:rsid w:val="00D56178"/>
    <w:rsid w:val="00D56CF0"/>
    <w:rsid w:val="00D56F5C"/>
    <w:rsid w:val="00D704B1"/>
    <w:rsid w:val="00D70B63"/>
    <w:rsid w:val="00D72B92"/>
    <w:rsid w:val="00D72ED4"/>
    <w:rsid w:val="00D73F61"/>
    <w:rsid w:val="00D754C0"/>
    <w:rsid w:val="00D776A2"/>
    <w:rsid w:val="00D801C4"/>
    <w:rsid w:val="00D90836"/>
    <w:rsid w:val="00D95896"/>
    <w:rsid w:val="00D95CC6"/>
    <w:rsid w:val="00DA2DA3"/>
    <w:rsid w:val="00DA6615"/>
    <w:rsid w:val="00DA76AE"/>
    <w:rsid w:val="00DB181E"/>
    <w:rsid w:val="00DB1C7A"/>
    <w:rsid w:val="00DB2983"/>
    <w:rsid w:val="00DB343D"/>
    <w:rsid w:val="00DB5579"/>
    <w:rsid w:val="00DB5CFE"/>
    <w:rsid w:val="00DC72A6"/>
    <w:rsid w:val="00DD2113"/>
    <w:rsid w:val="00DD265E"/>
    <w:rsid w:val="00DF1930"/>
    <w:rsid w:val="00DF514A"/>
    <w:rsid w:val="00E0358D"/>
    <w:rsid w:val="00E06327"/>
    <w:rsid w:val="00E0770D"/>
    <w:rsid w:val="00E15234"/>
    <w:rsid w:val="00E16FE2"/>
    <w:rsid w:val="00E2064B"/>
    <w:rsid w:val="00E25239"/>
    <w:rsid w:val="00E265B1"/>
    <w:rsid w:val="00E275B0"/>
    <w:rsid w:val="00E30FAC"/>
    <w:rsid w:val="00E412D0"/>
    <w:rsid w:val="00E47CDB"/>
    <w:rsid w:val="00E566BC"/>
    <w:rsid w:val="00E60982"/>
    <w:rsid w:val="00E60C8D"/>
    <w:rsid w:val="00E6162F"/>
    <w:rsid w:val="00E6311B"/>
    <w:rsid w:val="00E65D97"/>
    <w:rsid w:val="00E67EFD"/>
    <w:rsid w:val="00E702DC"/>
    <w:rsid w:val="00E71FFB"/>
    <w:rsid w:val="00E76D1D"/>
    <w:rsid w:val="00E806F8"/>
    <w:rsid w:val="00E865C2"/>
    <w:rsid w:val="00E87752"/>
    <w:rsid w:val="00E8793B"/>
    <w:rsid w:val="00E90F81"/>
    <w:rsid w:val="00E91A6D"/>
    <w:rsid w:val="00E9242D"/>
    <w:rsid w:val="00EA6F52"/>
    <w:rsid w:val="00EB041C"/>
    <w:rsid w:val="00EB7E60"/>
    <w:rsid w:val="00EC5874"/>
    <w:rsid w:val="00ED192D"/>
    <w:rsid w:val="00ED30B4"/>
    <w:rsid w:val="00ED31F5"/>
    <w:rsid w:val="00EF2759"/>
    <w:rsid w:val="00EF45EB"/>
    <w:rsid w:val="00EF5099"/>
    <w:rsid w:val="00EF5E33"/>
    <w:rsid w:val="00F00075"/>
    <w:rsid w:val="00F07822"/>
    <w:rsid w:val="00F15C95"/>
    <w:rsid w:val="00F22985"/>
    <w:rsid w:val="00F241AB"/>
    <w:rsid w:val="00F31382"/>
    <w:rsid w:val="00F35829"/>
    <w:rsid w:val="00F42868"/>
    <w:rsid w:val="00F465A7"/>
    <w:rsid w:val="00F50B7C"/>
    <w:rsid w:val="00F5202D"/>
    <w:rsid w:val="00F52A8D"/>
    <w:rsid w:val="00F52CF6"/>
    <w:rsid w:val="00F54496"/>
    <w:rsid w:val="00F61097"/>
    <w:rsid w:val="00F74345"/>
    <w:rsid w:val="00F74441"/>
    <w:rsid w:val="00F77F30"/>
    <w:rsid w:val="00F82589"/>
    <w:rsid w:val="00F82B19"/>
    <w:rsid w:val="00F83396"/>
    <w:rsid w:val="00F90AA7"/>
    <w:rsid w:val="00F9212D"/>
    <w:rsid w:val="00FA00A3"/>
    <w:rsid w:val="00FA301A"/>
    <w:rsid w:val="00FA406A"/>
    <w:rsid w:val="00FA5CB6"/>
    <w:rsid w:val="00FC206D"/>
    <w:rsid w:val="00FC66AC"/>
    <w:rsid w:val="00FD18F4"/>
    <w:rsid w:val="00FD74B4"/>
    <w:rsid w:val="00FE4037"/>
    <w:rsid w:val="00FF6FCE"/>
    <w:rsid w:val="00FF7518"/>
    <w:rsid w:val="00FF7FD8"/>
    <w:rsid w:val="01010593"/>
    <w:rsid w:val="01017684"/>
    <w:rsid w:val="010A3A4F"/>
    <w:rsid w:val="010A6538"/>
    <w:rsid w:val="010F3B4F"/>
    <w:rsid w:val="010F7FF3"/>
    <w:rsid w:val="01115E6A"/>
    <w:rsid w:val="0112363F"/>
    <w:rsid w:val="01172A03"/>
    <w:rsid w:val="01182BDD"/>
    <w:rsid w:val="01192C1F"/>
    <w:rsid w:val="011B6997"/>
    <w:rsid w:val="011C62C9"/>
    <w:rsid w:val="01211AD4"/>
    <w:rsid w:val="01254A1C"/>
    <w:rsid w:val="012D0479"/>
    <w:rsid w:val="012F1867"/>
    <w:rsid w:val="012F41F1"/>
    <w:rsid w:val="01323CE1"/>
    <w:rsid w:val="014063FE"/>
    <w:rsid w:val="01415CD2"/>
    <w:rsid w:val="014C4DA3"/>
    <w:rsid w:val="014D4677"/>
    <w:rsid w:val="014E43BC"/>
    <w:rsid w:val="014F03EF"/>
    <w:rsid w:val="014F4893"/>
    <w:rsid w:val="0151367A"/>
    <w:rsid w:val="01527EDF"/>
    <w:rsid w:val="015500B5"/>
    <w:rsid w:val="01575D64"/>
    <w:rsid w:val="015E6884"/>
    <w:rsid w:val="01635C49"/>
    <w:rsid w:val="016437A0"/>
    <w:rsid w:val="01697764"/>
    <w:rsid w:val="016D6AC7"/>
    <w:rsid w:val="01722330"/>
    <w:rsid w:val="017716F4"/>
    <w:rsid w:val="0179546C"/>
    <w:rsid w:val="017B7436"/>
    <w:rsid w:val="017D2EB8"/>
    <w:rsid w:val="017E6677"/>
    <w:rsid w:val="01804A4C"/>
    <w:rsid w:val="018362EB"/>
    <w:rsid w:val="01853E11"/>
    <w:rsid w:val="018B32D0"/>
    <w:rsid w:val="01910A08"/>
    <w:rsid w:val="019329D2"/>
    <w:rsid w:val="019422A6"/>
    <w:rsid w:val="0194674A"/>
    <w:rsid w:val="0196601E"/>
    <w:rsid w:val="019978BC"/>
    <w:rsid w:val="019D73AC"/>
    <w:rsid w:val="019F1F35"/>
    <w:rsid w:val="01A717A9"/>
    <w:rsid w:val="01A9706E"/>
    <w:rsid w:val="01AD5116"/>
    <w:rsid w:val="01B110AA"/>
    <w:rsid w:val="01B14C06"/>
    <w:rsid w:val="01B3097E"/>
    <w:rsid w:val="01BB1483"/>
    <w:rsid w:val="01BB3CD7"/>
    <w:rsid w:val="01BF37C7"/>
    <w:rsid w:val="01C0309B"/>
    <w:rsid w:val="01C2082B"/>
    <w:rsid w:val="01C40DDD"/>
    <w:rsid w:val="01C44B91"/>
    <w:rsid w:val="01C81F50"/>
    <w:rsid w:val="01C963F3"/>
    <w:rsid w:val="01CA5CC8"/>
    <w:rsid w:val="01CC7C92"/>
    <w:rsid w:val="01D17056"/>
    <w:rsid w:val="01D30B9A"/>
    <w:rsid w:val="01D31020"/>
    <w:rsid w:val="01D46B46"/>
    <w:rsid w:val="01D6466C"/>
    <w:rsid w:val="01D86637"/>
    <w:rsid w:val="01E054EB"/>
    <w:rsid w:val="01E1319E"/>
    <w:rsid w:val="01E52B01"/>
    <w:rsid w:val="01E62463"/>
    <w:rsid w:val="01E764AF"/>
    <w:rsid w:val="01E9759B"/>
    <w:rsid w:val="01EA0118"/>
    <w:rsid w:val="01EC0334"/>
    <w:rsid w:val="01ED7C29"/>
    <w:rsid w:val="01EF3980"/>
    <w:rsid w:val="01EF572E"/>
    <w:rsid w:val="01F034CB"/>
    <w:rsid w:val="01F42D45"/>
    <w:rsid w:val="01F603CB"/>
    <w:rsid w:val="01F65D1B"/>
    <w:rsid w:val="02013704"/>
    <w:rsid w:val="0204567E"/>
    <w:rsid w:val="02070CCA"/>
    <w:rsid w:val="02077A8A"/>
    <w:rsid w:val="02080F1A"/>
    <w:rsid w:val="020D07B6"/>
    <w:rsid w:val="020D4CA4"/>
    <w:rsid w:val="020F7B7E"/>
    <w:rsid w:val="02117D9A"/>
    <w:rsid w:val="0213766F"/>
    <w:rsid w:val="02145195"/>
    <w:rsid w:val="021740F7"/>
    <w:rsid w:val="02186A33"/>
    <w:rsid w:val="021E7DCE"/>
    <w:rsid w:val="02291B07"/>
    <w:rsid w:val="022E26FA"/>
    <w:rsid w:val="023B0973"/>
    <w:rsid w:val="02421D02"/>
    <w:rsid w:val="02441F1E"/>
    <w:rsid w:val="024617F2"/>
    <w:rsid w:val="024B6E08"/>
    <w:rsid w:val="025657AD"/>
    <w:rsid w:val="02595DB9"/>
    <w:rsid w:val="025D6B3C"/>
    <w:rsid w:val="02667378"/>
    <w:rsid w:val="026779BA"/>
    <w:rsid w:val="02693733"/>
    <w:rsid w:val="026C4FD1"/>
    <w:rsid w:val="026D239C"/>
    <w:rsid w:val="026D3223"/>
    <w:rsid w:val="026E2029"/>
    <w:rsid w:val="026E7734"/>
    <w:rsid w:val="027125E7"/>
    <w:rsid w:val="0273010D"/>
    <w:rsid w:val="0273635F"/>
    <w:rsid w:val="02755FB4"/>
    <w:rsid w:val="02756840"/>
    <w:rsid w:val="02783976"/>
    <w:rsid w:val="027C5214"/>
    <w:rsid w:val="0281282A"/>
    <w:rsid w:val="02816E42"/>
    <w:rsid w:val="02820350"/>
    <w:rsid w:val="028B36A9"/>
    <w:rsid w:val="028D2489"/>
    <w:rsid w:val="028E13EB"/>
    <w:rsid w:val="02902D83"/>
    <w:rsid w:val="029108A9"/>
    <w:rsid w:val="0295277A"/>
    <w:rsid w:val="02A14633"/>
    <w:rsid w:val="02A40196"/>
    <w:rsid w:val="02A66735"/>
    <w:rsid w:val="02A97FD3"/>
    <w:rsid w:val="02AB3D4B"/>
    <w:rsid w:val="02B50726"/>
    <w:rsid w:val="02B6369A"/>
    <w:rsid w:val="02C60B85"/>
    <w:rsid w:val="02C941D1"/>
    <w:rsid w:val="02CE4CF7"/>
    <w:rsid w:val="02D212D8"/>
    <w:rsid w:val="02D908B8"/>
    <w:rsid w:val="02DC2156"/>
    <w:rsid w:val="02DF39F5"/>
    <w:rsid w:val="02E2723F"/>
    <w:rsid w:val="02E42DB9"/>
    <w:rsid w:val="02EF1E8A"/>
    <w:rsid w:val="02F54FC6"/>
    <w:rsid w:val="02F76F90"/>
    <w:rsid w:val="02FD4D40"/>
    <w:rsid w:val="0301396B"/>
    <w:rsid w:val="03031491"/>
    <w:rsid w:val="03035935"/>
    <w:rsid w:val="030D0562"/>
    <w:rsid w:val="030D1D54"/>
    <w:rsid w:val="031713E0"/>
    <w:rsid w:val="03206072"/>
    <w:rsid w:val="03253AFD"/>
    <w:rsid w:val="032558AB"/>
    <w:rsid w:val="03265180"/>
    <w:rsid w:val="032B3844"/>
    <w:rsid w:val="032B7DBE"/>
    <w:rsid w:val="032F5C6D"/>
    <w:rsid w:val="03343D40"/>
    <w:rsid w:val="03367AB9"/>
    <w:rsid w:val="03391357"/>
    <w:rsid w:val="033A0C2B"/>
    <w:rsid w:val="033A62E9"/>
    <w:rsid w:val="033C40A2"/>
    <w:rsid w:val="033E4BBF"/>
    <w:rsid w:val="034321D6"/>
    <w:rsid w:val="03483348"/>
    <w:rsid w:val="034A70C0"/>
    <w:rsid w:val="034E72B8"/>
    <w:rsid w:val="035148F2"/>
    <w:rsid w:val="03547F3F"/>
    <w:rsid w:val="035717DD"/>
    <w:rsid w:val="035A127B"/>
    <w:rsid w:val="035C5045"/>
    <w:rsid w:val="036B0A03"/>
    <w:rsid w:val="036B7087"/>
    <w:rsid w:val="036D7914"/>
    <w:rsid w:val="036F4D79"/>
    <w:rsid w:val="037212ED"/>
    <w:rsid w:val="037405E1"/>
    <w:rsid w:val="0374413D"/>
    <w:rsid w:val="0385634A"/>
    <w:rsid w:val="038C592B"/>
    <w:rsid w:val="03927D69"/>
    <w:rsid w:val="039B791C"/>
    <w:rsid w:val="039C407F"/>
    <w:rsid w:val="039C5442"/>
    <w:rsid w:val="03A013D6"/>
    <w:rsid w:val="03A03184"/>
    <w:rsid w:val="03A04F32"/>
    <w:rsid w:val="03A2514E"/>
    <w:rsid w:val="03A367D0"/>
    <w:rsid w:val="03A72764"/>
    <w:rsid w:val="03AC1B29"/>
    <w:rsid w:val="03B978B9"/>
    <w:rsid w:val="03BB1D6C"/>
    <w:rsid w:val="03BD7093"/>
    <w:rsid w:val="03C42CC6"/>
    <w:rsid w:val="03C9309C"/>
    <w:rsid w:val="03CA6453"/>
    <w:rsid w:val="03CC265C"/>
    <w:rsid w:val="03D41080"/>
    <w:rsid w:val="03DB0660"/>
    <w:rsid w:val="03DE5A5A"/>
    <w:rsid w:val="03E017D2"/>
    <w:rsid w:val="03E219EE"/>
    <w:rsid w:val="03E54254"/>
    <w:rsid w:val="03E56DE9"/>
    <w:rsid w:val="03E70DB3"/>
    <w:rsid w:val="03E80687"/>
    <w:rsid w:val="03E868D9"/>
    <w:rsid w:val="03E94B2B"/>
    <w:rsid w:val="03EC63C9"/>
    <w:rsid w:val="03EE2141"/>
    <w:rsid w:val="03EE3926"/>
    <w:rsid w:val="03F139E0"/>
    <w:rsid w:val="03F37758"/>
    <w:rsid w:val="03F4702C"/>
    <w:rsid w:val="03F62DA4"/>
    <w:rsid w:val="03F67248"/>
    <w:rsid w:val="03FB03BA"/>
    <w:rsid w:val="03FB485E"/>
    <w:rsid w:val="04001FDF"/>
    <w:rsid w:val="04082AD7"/>
    <w:rsid w:val="040D5F94"/>
    <w:rsid w:val="040E27E3"/>
    <w:rsid w:val="040E4592"/>
    <w:rsid w:val="0414782A"/>
    <w:rsid w:val="041B7C44"/>
    <w:rsid w:val="04216DD6"/>
    <w:rsid w:val="04223B99"/>
    <w:rsid w:val="042913CB"/>
    <w:rsid w:val="042C4A18"/>
    <w:rsid w:val="042E253E"/>
    <w:rsid w:val="04344C2B"/>
    <w:rsid w:val="043A5387"/>
    <w:rsid w:val="043B510F"/>
    <w:rsid w:val="043D09D3"/>
    <w:rsid w:val="043D29C9"/>
    <w:rsid w:val="04553F6E"/>
    <w:rsid w:val="045B70AB"/>
    <w:rsid w:val="045F2DCA"/>
    <w:rsid w:val="045F303F"/>
    <w:rsid w:val="045F6B9B"/>
    <w:rsid w:val="04644EC2"/>
    <w:rsid w:val="046507CE"/>
    <w:rsid w:val="046B3792"/>
    <w:rsid w:val="046B3BE8"/>
    <w:rsid w:val="047343F5"/>
    <w:rsid w:val="04740E9E"/>
    <w:rsid w:val="04777A0C"/>
    <w:rsid w:val="047C599F"/>
    <w:rsid w:val="04812FB5"/>
    <w:rsid w:val="048B5BE2"/>
    <w:rsid w:val="048C3708"/>
    <w:rsid w:val="048D3235"/>
    <w:rsid w:val="048E5FAA"/>
    <w:rsid w:val="04912ACD"/>
    <w:rsid w:val="04912D27"/>
    <w:rsid w:val="04974587"/>
    <w:rsid w:val="049752DD"/>
    <w:rsid w:val="04975458"/>
    <w:rsid w:val="049802FF"/>
    <w:rsid w:val="04983E5B"/>
    <w:rsid w:val="04984EBD"/>
    <w:rsid w:val="049D5915"/>
    <w:rsid w:val="04A9250C"/>
    <w:rsid w:val="04AE18D1"/>
    <w:rsid w:val="04AE4614"/>
    <w:rsid w:val="04B21DC8"/>
    <w:rsid w:val="04B327A2"/>
    <w:rsid w:val="04B36EE7"/>
    <w:rsid w:val="04B70785"/>
    <w:rsid w:val="04B7715C"/>
    <w:rsid w:val="04BF1806"/>
    <w:rsid w:val="04BF763A"/>
    <w:rsid w:val="04C609C8"/>
    <w:rsid w:val="04C6380B"/>
    <w:rsid w:val="04C873E4"/>
    <w:rsid w:val="04CD5F8B"/>
    <w:rsid w:val="04D37589"/>
    <w:rsid w:val="04D550AF"/>
    <w:rsid w:val="04D806FC"/>
    <w:rsid w:val="04DA26C6"/>
    <w:rsid w:val="04DA4474"/>
    <w:rsid w:val="04DE1209"/>
    <w:rsid w:val="04DF250D"/>
    <w:rsid w:val="04E40EC1"/>
    <w:rsid w:val="04EB042F"/>
    <w:rsid w:val="04ED23F9"/>
    <w:rsid w:val="04ED41A7"/>
    <w:rsid w:val="04F75026"/>
    <w:rsid w:val="05002F87"/>
    <w:rsid w:val="05045994"/>
    <w:rsid w:val="05047743"/>
    <w:rsid w:val="050E236F"/>
    <w:rsid w:val="051554AC"/>
    <w:rsid w:val="0517273C"/>
    <w:rsid w:val="051A51B8"/>
    <w:rsid w:val="051C2760"/>
    <w:rsid w:val="051C683A"/>
    <w:rsid w:val="051E7732"/>
    <w:rsid w:val="051F0FA8"/>
    <w:rsid w:val="052027CE"/>
    <w:rsid w:val="05235E1B"/>
    <w:rsid w:val="052B4CCF"/>
    <w:rsid w:val="052D1694"/>
    <w:rsid w:val="052E47BF"/>
    <w:rsid w:val="0530678A"/>
    <w:rsid w:val="05322502"/>
    <w:rsid w:val="05340028"/>
    <w:rsid w:val="053C0C8A"/>
    <w:rsid w:val="054022C8"/>
    <w:rsid w:val="05404C1F"/>
    <w:rsid w:val="05412FEB"/>
    <w:rsid w:val="05453FE3"/>
    <w:rsid w:val="0547556E"/>
    <w:rsid w:val="054F58B7"/>
    <w:rsid w:val="05557F9E"/>
    <w:rsid w:val="05561E22"/>
    <w:rsid w:val="05575AC4"/>
    <w:rsid w:val="055D7941"/>
    <w:rsid w:val="055E32F7"/>
    <w:rsid w:val="055E7FA4"/>
    <w:rsid w:val="05616943"/>
    <w:rsid w:val="056B77C2"/>
    <w:rsid w:val="056F72DE"/>
    <w:rsid w:val="057228FE"/>
    <w:rsid w:val="05742AC8"/>
    <w:rsid w:val="05760640"/>
    <w:rsid w:val="057C377D"/>
    <w:rsid w:val="057C3D51"/>
    <w:rsid w:val="05816FE5"/>
    <w:rsid w:val="05852BDA"/>
    <w:rsid w:val="058663AA"/>
    <w:rsid w:val="058873D6"/>
    <w:rsid w:val="058979DF"/>
    <w:rsid w:val="05900FD6"/>
    <w:rsid w:val="05917228"/>
    <w:rsid w:val="05924D4E"/>
    <w:rsid w:val="05942874"/>
    <w:rsid w:val="059E1945"/>
    <w:rsid w:val="059E36F3"/>
    <w:rsid w:val="05A50F26"/>
    <w:rsid w:val="05AB5C72"/>
    <w:rsid w:val="05AC5551"/>
    <w:rsid w:val="05AD3EF8"/>
    <w:rsid w:val="05B13426"/>
    <w:rsid w:val="05BA696D"/>
    <w:rsid w:val="05BB4F26"/>
    <w:rsid w:val="05BB6053"/>
    <w:rsid w:val="05C15910"/>
    <w:rsid w:val="05C25634"/>
    <w:rsid w:val="05C55124"/>
    <w:rsid w:val="05C56ED2"/>
    <w:rsid w:val="05C57BB2"/>
    <w:rsid w:val="05C80770"/>
    <w:rsid w:val="05CD6C44"/>
    <w:rsid w:val="05CF67D3"/>
    <w:rsid w:val="05CF7D50"/>
    <w:rsid w:val="05D90BCF"/>
    <w:rsid w:val="05D9472B"/>
    <w:rsid w:val="05DD246D"/>
    <w:rsid w:val="05DE5D29"/>
    <w:rsid w:val="05E779E3"/>
    <w:rsid w:val="05EE2510"/>
    <w:rsid w:val="05EE467B"/>
    <w:rsid w:val="05F15805"/>
    <w:rsid w:val="05F17CC7"/>
    <w:rsid w:val="05F52F17"/>
    <w:rsid w:val="05F862B3"/>
    <w:rsid w:val="05F872A7"/>
    <w:rsid w:val="05F902FF"/>
    <w:rsid w:val="05F96B7B"/>
    <w:rsid w:val="05FB28F4"/>
    <w:rsid w:val="05FD48BE"/>
    <w:rsid w:val="06026684"/>
    <w:rsid w:val="06055520"/>
    <w:rsid w:val="06057FE3"/>
    <w:rsid w:val="06084DCB"/>
    <w:rsid w:val="06127C3D"/>
    <w:rsid w:val="061439B5"/>
    <w:rsid w:val="0616597F"/>
    <w:rsid w:val="0616772D"/>
    <w:rsid w:val="0617049F"/>
    <w:rsid w:val="06174FC9"/>
    <w:rsid w:val="061A40F4"/>
    <w:rsid w:val="06287461"/>
    <w:rsid w:val="062A142B"/>
    <w:rsid w:val="062C1FA7"/>
    <w:rsid w:val="062C51A3"/>
    <w:rsid w:val="062E0F1B"/>
    <w:rsid w:val="062F6A41"/>
    <w:rsid w:val="06304C93"/>
    <w:rsid w:val="06317000"/>
    <w:rsid w:val="063400E4"/>
    <w:rsid w:val="06352F05"/>
    <w:rsid w:val="0637015B"/>
    <w:rsid w:val="063B43C4"/>
    <w:rsid w:val="063E7D85"/>
    <w:rsid w:val="064047AA"/>
    <w:rsid w:val="06482874"/>
    <w:rsid w:val="064C13A1"/>
    <w:rsid w:val="06514C09"/>
    <w:rsid w:val="06523C1B"/>
    <w:rsid w:val="0659586C"/>
    <w:rsid w:val="065B7836"/>
    <w:rsid w:val="065D535C"/>
    <w:rsid w:val="06604169"/>
    <w:rsid w:val="06640499"/>
    <w:rsid w:val="06692446"/>
    <w:rsid w:val="06693D01"/>
    <w:rsid w:val="066C559F"/>
    <w:rsid w:val="066D1AB1"/>
    <w:rsid w:val="06712BB6"/>
    <w:rsid w:val="06715702"/>
    <w:rsid w:val="06763107"/>
    <w:rsid w:val="06783F44"/>
    <w:rsid w:val="067A7CBC"/>
    <w:rsid w:val="068943A3"/>
    <w:rsid w:val="068B011B"/>
    <w:rsid w:val="068B1EC9"/>
    <w:rsid w:val="068D62C8"/>
    <w:rsid w:val="069114AA"/>
    <w:rsid w:val="06913258"/>
    <w:rsid w:val="06930D7E"/>
    <w:rsid w:val="06935222"/>
    <w:rsid w:val="069C0B90"/>
    <w:rsid w:val="069E1EDD"/>
    <w:rsid w:val="06A0349B"/>
    <w:rsid w:val="06A25465"/>
    <w:rsid w:val="06A27213"/>
    <w:rsid w:val="06A42F8B"/>
    <w:rsid w:val="06A967F3"/>
    <w:rsid w:val="06AA3C0C"/>
    <w:rsid w:val="06AB431A"/>
    <w:rsid w:val="06B01930"/>
    <w:rsid w:val="06B07B82"/>
    <w:rsid w:val="06BA27AF"/>
    <w:rsid w:val="06BC02D5"/>
    <w:rsid w:val="06BD404D"/>
    <w:rsid w:val="06C07699"/>
    <w:rsid w:val="06C12665"/>
    <w:rsid w:val="06C6670B"/>
    <w:rsid w:val="06C9323D"/>
    <w:rsid w:val="06CB64FF"/>
    <w:rsid w:val="06CC4290"/>
    <w:rsid w:val="06CD24E2"/>
    <w:rsid w:val="06D01FD2"/>
    <w:rsid w:val="06D179D1"/>
    <w:rsid w:val="06D33870"/>
    <w:rsid w:val="06DC0977"/>
    <w:rsid w:val="06DD46A0"/>
    <w:rsid w:val="06DD649D"/>
    <w:rsid w:val="06DE46EF"/>
    <w:rsid w:val="06E25862"/>
    <w:rsid w:val="06E57385"/>
    <w:rsid w:val="06EC66E0"/>
    <w:rsid w:val="06F21D26"/>
    <w:rsid w:val="06F832D7"/>
    <w:rsid w:val="06FC6923"/>
    <w:rsid w:val="06FE67EB"/>
    <w:rsid w:val="06FE6B3F"/>
    <w:rsid w:val="07061550"/>
    <w:rsid w:val="070875E0"/>
    <w:rsid w:val="07091040"/>
    <w:rsid w:val="070D0B30"/>
    <w:rsid w:val="070F2026"/>
    <w:rsid w:val="07100621"/>
    <w:rsid w:val="071355FF"/>
    <w:rsid w:val="07153E89"/>
    <w:rsid w:val="071C0D73"/>
    <w:rsid w:val="071D659A"/>
    <w:rsid w:val="071E2D3E"/>
    <w:rsid w:val="0721282E"/>
    <w:rsid w:val="07293586"/>
    <w:rsid w:val="07295285"/>
    <w:rsid w:val="072A7934"/>
    <w:rsid w:val="072D2F81"/>
    <w:rsid w:val="072D508B"/>
    <w:rsid w:val="072F22BE"/>
    <w:rsid w:val="07322345"/>
    <w:rsid w:val="073562D9"/>
    <w:rsid w:val="073A17BD"/>
    <w:rsid w:val="073A569E"/>
    <w:rsid w:val="073B6467"/>
    <w:rsid w:val="073E518E"/>
    <w:rsid w:val="07463B51"/>
    <w:rsid w:val="07464042"/>
    <w:rsid w:val="07465DF0"/>
    <w:rsid w:val="07483BF5"/>
    <w:rsid w:val="074958E1"/>
    <w:rsid w:val="074C0E53"/>
    <w:rsid w:val="074D717F"/>
    <w:rsid w:val="074E2EF7"/>
    <w:rsid w:val="074F739B"/>
    <w:rsid w:val="07526D7F"/>
    <w:rsid w:val="0754675F"/>
    <w:rsid w:val="07585B24"/>
    <w:rsid w:val="07591FC8"/>
    <w:rsid w:val="075A189C"/>
    <w:rsid w:val="075A7AEE"/>
    <w:rsid w:val="075C3866"/>
    <w:rsid w:val="076540F2"/>
    <w:rsid w:val="076562D9"/>
    <w:rsid w:val="076562E6"/>
    <w:rsid w:val="076E5B8C"/>
    <w:rsid w:val="076F6FBB"/>
    <w:rsid w:val="07753BD7"/>
    <w:rsid w:val="077566D6"/>
    <w:rsid w:val="077639A5"/>
    <w:rsid w:val="07770C56"/>
    <w:rsid w:val="07797F74"/>
    <w:rsid w:val="077C1812"/>
    <w:rsid w:val="077F1302"/>
    <w:rsid w:val="07812C00"/>
    <w:rsid w:val="0788053B"/>
    <w:rsid w:val="07921036"/>
    <w:rsid w:val="07930A17"/>
    <w:rsid w:val="07943F08"/>
    <w:rsid w:val="0794648D"/>
    <w:rsid w:val="079B25E0"/>
    <w:rsid w:val="079F3753"/>
    <w:rsid w:val="07A23A55"/>
    <w:rsid w:val="07A31495"/>
    <w:rsid w:val="07A5520D"/>
    <w:rsid w:val="07A64AE1"/>
    <w:rsid w:val="07A66D5A"/>
    <w:rsid w:val="07A73637"/>
    <w:rsid w:val="07A84FDE"/>
    <w:rsid w:val="07AA0EFE"/>
    <w:rsid w:val="07AA2823"/>
    <w:rsid w:val="07AB07A4"/>
    <w:rsid w:val="07AB20F7"/>
    <w:rsid w:val="07AC5A1F"/>
    <w:rsid w:val="07AF4ECA"/>
    <w:rsid w:val="07B0158F"/>
    <w:rsid w:val="07B01DD8"/>
    <w:rsid w:val="07B216D8"/>
    <w:rsid w:val="07B66982"/>
    <w:rsid w:val="07B747B2"/>
    <w:rsid w:val="07B96BED"/>
    <w:rsid w:val="07CF228A"/>
    <w:rsid w:val="07D26499"/>
    <w:rsid w:val="07D653C6"/>
    <w:rsid w:val="07D96C64"/>
    <w:rsid w:val="07DC0503"/>
    <w:rsid w:val="07DD10FF"/>
    <w:rsid w:val="07DE071F"/>
    <w:rsid w:val="07DF4305"/>
    <w:rsid w:val="07E06245"/>
    <w:rsid w:val="07E31891"/>
    <w:rsid w:val="07E55609"/>
    <w:rsid w:val="07E61381"/>
    <w:rsid w:val="07ED2710"/>
    <w:rsid w:val="07F13FAE"/>
    <w:rsid w:val="07F27D26"/>
    <w:rsid w:val="07F576C7"/>
    <w:rsid w:val="07F92E63"/>
    <w:rsid w:val="07FC2953"/>
    <w:rsid w:val="07FE66CB"/>
    <w:rsid w:val="08033CE1"/>
    <w:rsid w:val="08057A5A"/>
    <w:rsid w:val="0808622A"/>
    <w:rsid w:val="08111A6D"/>
    <w:rsid w:val="08114650"/>
    <w:rsid w:val="08122176"/>
    <w:rsid w:val="08123F24"/>
    <w:rsid w:val="08193505"/>
    <w:rsid w:val="08193855"/>
    <w:rsid w:val="081C4DA3"/>
    <w:rsid w:val="081D4626"/>
    <w:rsid w:val="08226344"/>
    <w:rsid w:val="0824327F"/>
    <w:rsid w:val="08255A35"/>
    <w:rsid w:val="08262F95"/>
    <w:rsid w:val="082840D3"/>
    <w:rsid w:val="082C023D"/>
    <w:rsid w:val="08316AA1"/>
    <w:rsid w:val="083245C7"/>
    <w:rsid w:val="083818D9"/>
    <w:rsid w:val="084033B6"/>
    <w:rsid w:val="084661C6"/>
    <w:rsid w:val="0849203C"/>
    <w:rsid w:val="084A5DB4"/>
    <w:rsid w:val="084F4E8A"/>
    <w:rsid w:val="08517143"/>
    <w:rsid w:val="0854453D"/>
    <w:rsid w:val="08597DA5"/>
    <w:rsid w:val="08624EAC"/>
    <w:rsid w:val="0869623A"/>
    <w:rsid w:val="086C5D2B"/>
    <w:rsid w:val="086C7AD9"/>
    <w:rsid w:val="086D316B"/>
    <w:rsid w:val="086F380C"/>
    <w:rsid w:val="087109F5"/>
    <w:rsid w:val="08730E67"/>
    <w:rsid w:val="087A4C54"/>
    <w:rsid w:val="087E15BA"/>
    <w:rsid w:val="088210AA"/>
    <w:rsid w:val="08850A8D"/>
    <w:rsid w:val="08874912"/>
    <w:rsid w:val="0889068B"/>
    <w:rsid w:val="08894C98"/>
    <w:rsid w:val="08896684"/>
    <w:rsid w:val="088A61B1"/>
    <w:rsid w:val="089332B7"/>
    <w:rsid w:val="08942086"/>
    <w:rsid w:val="0898267C"/>
    <w:rsid w:val="089A3177"/>
    <w:rsid w:val="089F1C5C"/>
    <w:rsid w:val="08A54D99"/>
    <w:rsid w:val="08A76219"/>
    <w:rsid w:val="08AC299F"/>
    <w:rsid w:val="08B03E69"/>
    <w:rsid w:val="08B51480"/>
    <w:rsid w:val="08B519F0"/>
    <w:rsid w:val="08B576D2"/>
    <w:rsid w:val="08B651F8"/>
    <w:rsid w:val="08BA0844"/>
    <w:rsid w:val="08BD0334"/>
    <w:rsid w:val="08C05347"/>
    <w:rsid w:val="08CE42EF"/>
    <w:rsid w:val="08D062B9"/>
    <w:rsid w:val="08D35DAA"/>
    <w:rsid w:val="08D538D0"/>
    <w:rsid w:val="08E104C7"/>
    <w:rsid w:val="08E92932"/>
    <w:rsid w:val="08ED03E2"/>
    <w:rsid w:val="08F53CDB"/>
    <w:rsid w:val="08FB7730"/>
    <w:rsid w:val="090221EB"/>
    <w:rsid w:val="09023F99"/>
    <w:rsid w:val="09047840"/>
    <w:rsid w:val="09081772"/>
    <w:rsid w:val="0913264A"/>
    <w:rsid w:val="09153639"/>
    <w:rsid w:val="09153C1F"/>
    <w:rsid w:val="09197523"/>
    <w:rsid w:val="091A7535"/>
    <w:rsid w:val="091A7C8A"/>
    <w:rsid w:val="092217DD"/>
    <w:rsid w:val="09240154"/>
    <w:rsid w:val="09265BCD"/>
    <w:rsid w:val="09271C52"/>
    <w:rsid w:val="092B7C9F"/>
    <w:rsid w:val="092C7268"/>
    <w:rsid w:val="092D1828"/>
    <w:rsid w:val="09300B06"/>
    <w:rsid w:val="09340125"/>
    <w:rsid w:val="093421E7"/>
    <w:rsid w:val="093700E7"/>
    <w:rsid w:val="09371E95"/>
    <w:rsid w:val="093733C9"/>
    <w:rsid w:val="093A7294"/>
    <w:rsid w:val="093D3223"/>
    <w:rsid w:val="09401129"/>
    <w:rsid w:val="094F44C9"/>
    <w:rsid w:val="09510A7C"/>
    <w:rsid w:val="09552F0C"/>
    <w:rsid w:val="095742E5"/>
    <w:rsid w:val="095F4AC7"/>
    <w:rsid w:val="096133B5"/>
    <w:rsid w:val="0969226A"/>
    <w:rsid w:val="09694018"/>
    <w:rsid w:val="096A04BC"/>
    <w:rsid w:val="096D3B08"/>
    <w:rsid w:val="09714C67"/>
    <w:rsid w:val="09722ECD"/>
    <w:rsid w:val="0975345A"/>
    <w:rsid w:val="097A7FD3"/>
    <w:rsid w:val="097C1F9D"/>
    <w:rsid w:val="0980715E"/>
    <w:rsid w:val="098350DA"/>
    <w:rsid w:val="0984611E"/>
    <w:rsid w:val="098470A4"/>
    <w:rsid w:val="09886B94"/>
    <w:rsid w:val="098B0432"/>
    <w:rsid w:val="098C5B93"/>
    <w:rsid w:val="098E3A7F"/>
    <w:rsid w:val="098F7F23"/>
    <w:rsid w:val="09912B82"/>
    <w:rsid w:val="09926E4D"/>
    <w:rsid w:val="099346C1"/>
    <w:rsid w:val="099472E7"/>
    <w:rsid w:val="09964A62"/>
    <w:rsid w:val="099A2423"/>
    <w:rsid w:val="099E0166"/>
    <w:rsid w:val="099F1469"/>
    <w:rsid w:val="099F7A3A"/>
    <w:rsid w:val="09A137B2"/>
    <w:rsid w:val="09A17C56"/>
    <w:rsid w:val="09A35B15"/>
    <w:rsid w:val="09A3752A"/>
    <w:rsid w:val="09AA1703"/>
    <w:rsid w:val="09AB2883"/>
    <w:rsid w:val="09B02FE2"/>
    <w:rsid w:val="09B2431D"/>
    <w:rsid w:val="09B2776D"/>
    <w:rsid w:val="09B47989"/>
    <w:rsid w:val="09B8400A"/>
    <w:rsid w:val="09B96D4E"/>
    <w:rsid w:val="09BB6819"/>
    <w:rsid w:val="09BB6DB4"/>
    <w:rsid w:val="09BE1A52"/>
    <w:rsid w:val="09C120A6"/>
    <w:rsid w:val="09C13E54"/>
    <w:rsid w:val="09C53944"/>
    <w:rsid w:val="09C676BC"/>
    <w:rsid w:val="09CD0A4B"/>
    <w:rsid w:val="09D121EF"/>
    <w:rsid w:val="09D122E9"/>
    <w:rsid w:val="09DA6CC4"/>
    <w:rsid w:val="09DF68E3"/>
    <w:rsid w:val="09E33DCA"/>
    <w:rsid w:val="09E35B78"/>
    <w:rsid w:val="09E60BF4"/>
    <w:rsid w:val="09E75B73"/>
    <w:rsid w:val="09EB0ED1"/>
    <w:rsid w:val="09EB65C7"/>
    <w:rsid w:val="09F45FD8"/>
    <w:rsid w:val="09F77876"/>
    <w:rsid w:val="09FC4E8C"/>
    <w:rsid w:val="09FF584F"/>
    <w:rsid w:val="0A026946"/>
    <w:rsid w:val="0A033725"/>
    <w:rsid w:val="0A051F93"/>
    <w:rsid w:val="0A075F99"/>
    <w:rsid w:val="0A083831"/>
    <w:rsid w:val="0A0A75A9"/>
    <w:rsid w:val="0A0B50CF"/>
    <w:rsid w:val="0A110938"/>
    <w:rsid w:val="0A173A74"/>
    <w:rsid w:val="0A1755E4"/>
    <w:rsid w:val="0A187F18"/>
    <w:rsid w:val="0A1C108A"/>
    <w:rsid w:val="0A1E3055"/>
    <w:rsid w:val="0A252635"/>
    <w:rsid w:val="0A311A63"/>
    <w:rsid w:val="0A3208AE"/>
    <w:rsid w:val="0A342878"/>
    <w:rsid w:val="0A36214C"/>
    <w:rsid w:val="0A392EC5"/>
    <w:rsid w:val="0A3D5178"/>
    <w:rsid w:val="0A40121D"/>
    <w:rsid w:val="0A430D0D"/>
    <w:rsid w:val="0A4707FD"/>
    <w:rsid w:val="0A4D1921"/>
    <w:rsid w:val="0A51342A"/>
    <w:rsid w:val="0A56459C"/>
    <w:rsid w:val="0A595E3B"/>
    <w:rsid w:val="0A6767AA"/>
    <w:rsid w:val="0A6C2012"/>
    <w:rsid w:val="0A6D18E6"/>
    <w:rsid w:val="0A6D4FCE"/>
    <w:rsid w:val="0A6D7B38"/>
    <w:rsid w:val="0A717B4F"/>
    <w:rsid w:val="0A762E91"/>
    <w:rsid w:val="0A7B71A7"/>
    <w:rsid w:val="0A7C2668"/>
    <w:rsid w:val="0A7D5FCD"/>
    <w:rsid w:val="0A8455AD"/>
    <w:rsid w:val="0A8530D4"/>
    <w:rsid w:val="0A860967"/>
    <w:rsid w:val="0A884A5E"/>
    <w:rsid w:val="0A892BC4"/>
    <w:rsid w:val="0A8A2498"/>
    <w:rsid w:val="0A8F3F52"/>
    <w:rsid w:val="0A8F5D00"/>
    <w:rsid w:val="0A913826"/>
    <w:rsid w:val="0A960E3D"/>
    <w:rsid w:val="0A96708F"/>
    <w:rsid w:val="0A981059"/>
    <w:rsid w:val="0A9B6453"/>
    <w:rsid w:val="0A9D4A43"/>
    <w:rsid w:val="0A9D666F"/>
    <w:rsid w:val="0A9E7CF1"/>
    <w:rsid w:val="0AA413E9"/>
    <w:rsid w:val="0AA51080"/>
    <w:rsid w:val="0AA6225D"/>
    <w:rsid w:val="0AAB0D8C"/>
    <w:rsid w:val="0AAE43D8"/>
    <w:rsid w:val="0AAE6186"/>
    <w:rsid w:val="0AB21C4A"/>
    <w:rsid w:val="0AB45767"/>
    <w:rsid w:val="0ABB6AF5"/>
    <w:rsid w:val="0ABD286D"/>
    <w:rsid w:val="0AC110ED"/>
    <w:rsid w:val="0AC77248"/>
    <w:rsid w:val="0ACB4F8A"/>
    <w:rsid w:val="0AD054CA"/>
    <w:rsid w:val="0AD33E3F"/>
    <w:rsid w:val="0AD35BED"/>
    <w:rsid w:val="0AD630BE"/>
    <w:rsid w:val="0ADE5D3C"/>
    <w:rsid w:val="0AE12DED"/>
    <w:rsid w:val="0AE41BA8"/>
    <w:rsid w:val="0AE71698"/>
    <w:rsid w:val="0AEB5587"/>
    <w:rsid w:val="0AEC6CAF"/>
    <w:rsid w:val="0AEF054D"/>
    <w:rsid w:val="0AF049F1"/>
    <w:rsid w:val="0AF40E28"/>
    <w:rsid w:val="0AF67B2D"/>
    <w:rsid w:val="0AFA761E"/>
    <w:rsid w:val="0AFF2497"/>
    <w:rsid w:val="0B01749D"/>
    <w:rsid w:val="0B04049C"/>
    <w:rsid w:val="0B065FC2"/>
    <w:rsid w:val="0B0B35D9"/>
    <w:rsid w:val="0B0C7351"/>
    <w:rsid w:val="0B1B1342"/>
    <w:rsid w:val="0B1D330C"/>
    <w:rsid w:val="0B237943"/>
    <w:rsid w:val="0B24469B"/>
    <w:rsid w:val="0B270AEA"/>
    <w:rsid w:val="0B2C17A1"/>
    <w:rsid w:val="0B332B30"/>
    <w:rsid w:val="0B3A2FF8"/>
    <w:rsid w:val="0B3D750A"/>
    <w:rsid w:val="0B424B21"/>
    <w:rsid w:val="0B446AEB"/>
    <w:rsid w:val="0B470389"/>
    <w:rsid w:val="0B492353"/>
    <w:rsid w:val="0B494101"/>
    <w:rsid w:val="0B5331D2"/>
    <w:rsid w:val="0B562273"/>
    <w:rsid w:val="0B5A630E"/>
    <w:rsid w:val="0B5F1B77"/>
    <w:rsid w:val="0B5F56D3"/>
    <w:rsid w:val="0B646908"/>
    <w:rsid w:val="0B674587"/>
    <w:rsid w:val="0B696551"/>
    <w:rsid w:val="0B6E3B68"/>
    <w:rsid w:val="0B723658"/>
    <w:rsid w:val="0B745622"/>
    <w:rsid w:val="0B7A4555"/>
    <w:rsid w:val="0B84410E"/>
    <w:rsid w:val="0B845139"/>
    <w:rsid w:val="0B870F82"/>
    <w:rsid w:val="0B8D6901"/>
    <w:rsid w:val="0B927856"/>
    <w:rsid w:val="0B931032"/>
    <w:rsid w:val="0B944402"/>
    <w:rsid w:val="0B9730BE"/>
    <w:rsid w:val="0B974E6D"/>
    <w:rsid w:val="0B9A495D"/>
    <w:rsid w:val="0B9F6417"/>
    <w:rsid w:val="0BA43585"/>
    <w:rsid w:val="0BA47589"/>
    <w:rsid w:val="0BA74B97"/>
    <w:rsid w:val="0BA83509"/>
    <w:rsid w:val="0BAB0918"/>
    <w:rsid w:val="0BAD4690"/>
    <w:rsid w:val="0BAF70CA"/>
    <w:rsid w:val="0BB21CA6"/>
    <w:rsid w:val="0BB53545"/>
    <w:rsid w:val="0BB94E6C"/>
    <w:rsid w:val="0BC55E7E"/>
    <w:rsid w:val="0BC773CD"/>
    <w:rsid w:val="0BD27BF6"/>
    <w:rsid w:val="0BD3667B"/>
    <w:rsid w:val="0BD7795F"/>
    <w:rsid w:val="0BD845F9"/>
    <w:rsid w:val="0BDA11FD"/>
    <w:rsid w:val="0BDC31C7"/>
    <w:rsid w:val="0BDC4F75"/>
    <w:rsid w:val="0BE1258C"/>
    <w:rsid w:val="0BE502CE"/>
    <w:rsid w:val="0BE67BA2"/>
    <w:rsid w:val="0BE856C8"/>
    <w:rsid w:val="0BEB7F35"/>
    <w:rsid w:val="0BEF5C9E"/>
    <w:rsid w:val="0BF422BF"/>
    <w:rsid w:val="0BF978D5"/>
    <w:rsid w:val="0BFA364D"/>
    <w:rsid w:val="0BFF2A12"/>
    <w:rsid w:val="0C060244"/>
    <w:rsid w:val="0C106839"/>
    <w:rsid w:val="0C1464BD"/>
    <w:rsid w:val="0C186B5B"/>
    <w:rsid w:val="0C1B3CF0"/>
    <w:rsid w:val="0C1E0947"/>
    <w:rsid w:val="0C1E558E"/>
    <w:rsid w:val="0C252478"/>
    <w:rsid w:val="0C2529C5"/>
    <w:rsid w:val="0C260CA9"/>
    <w:rsid w:val="0C264442"/>
    <w:rsid w:val="0C2A0A31"/>
    <w:rsid w:val="0C300E1D"/>
    <w:rsid w:val="0C30706F"/>
    <w:rsid w:val="0C324046"/>
    <w:rsid w:val="0C357A56"/>
    <w:rsid w:val="0C360B29"/>
    <w:rsid w:val="0C37664F"/>
    <w:rsid w:val="0C3A5C6D"/>
    <w:rsid w:val="0C3B7EEE"/>
    <w:rsid w:val="0C3C447E"/>
    <w:rsid w:val="0C434FF4"/>
    <w:rsid w:val="0C436DA2"/>
    <w:rsid w:val="0C4E4BF4"/>
    <w:rsid w:val="0C4F3999"/>
    <w:rsid w:val="0C5114BF"/>
    <w:rsid w:val="0C517711"/>
    <w:rsid w:val="0C523489"/>
    <w:rsid w:val="0C550884"/>
    <w:rsid w:val="0C590374"/>
    <w:rsid w:val="0C645AF4"/>
    <w:rsid w:val="0C665DD1"/>
    <w:rsid w:val="0C6A07D3"/>
    <w:rsid w:val="0C6A432F"/>
    <w:rsid w:val="0C6C454B"/>
    <w:rsid w:val="0C6D3E1F"/>
    <w:rsid w:val="0C6E02C3"/>
    <w:rsid w:val="0C6F1945"/>
    <w:rsid w:val="0C711B61"/>
    <w:rsid w:val="0C721436"/>
    <w:rsid w:val="0C736C94"/>
    <w:rsid w:val="0C743400"/>
    <w:rsid w:val="0C7D22B4"/>
    <w:rsid w:val="0C7E65A6"/>
    <w:rsid w:val="0C8A2C23"/>
    <w:rsid w:val="0C8C24F7"/>
    <w:rsid w:val="0C8D626F"/>
    <w:rsid w:val="0C9615C8"/>
    <w:rsid w:val="0C9960DC"/>
    <w:rsid w:val="0C9B273A"/>
    <w:rsid w:val="0C9E00D7"/>
    <w:rsid w:val="0C9E02D7"/>
    <w:rsid w:val="0CA44632"/>
    <w:rsid w:val="0CA85BB3"/>
    <w:rsid w:val="0CAA6E21"/>
    <w:rsid w:val="0CB11F59"/>
    <w:rsid w:val="0CB67574"/>
    <w:rsid w:val="0CBA3508"/>
    <w:rsid w:val="0CBA701A"/>
    <w:rsid w:val="0CBB102F"/>
    <w:rsid w:val="0CBB4B8B"/>
    <w:rsid w:val="0CC46135"/>
    <w:rsid w:val="0CC83A2C"/>
    <w:rsid w:val="0CD8398F"/>
    <w:rsid w:val="0CD93263"/>
    <w:rsid w:val="0CDA2FAD"/>
    <w:rsid w:val="0CDB1EA2"/>
    <w:rsid w:val="0CDD2D53"/>
    <w:rsid w:val="0CDD48B1"/>
    <w:rsid w:val="0CDD71F7"/>
    <w:rsid w:val="0CDE69C5"/>
    <w:rsid w:val="0CE560AB"/>
    <w:rsid w:val="0CE642FD"/>
    <w:rsid w:val="0CE73BD2"/>
    <w:rsid w:val="0CEB1914"/>
    <w:rsid w:val="0CEE6D0E"/>
    <w:rsid w:val="0CEF2A86"/>
    <w:rsid w:val="0CF127D7"/>
    <w:rsid w:val="0CFB58CF"/>
    <w:rsid w:val="0CFF716D"/>
    <w:rsid w:val="0D002EE5"/>
    <w:rsid w:val="0D026C5D"/>
    <w:rsid w:val="0D0504FC"/>
    <w:rsid w:val="0D081CA7"/>
    <w:rsid w:val="0D091D9A"/>
    <w:rsid w:val="0D0A78C0"/>
    <w:rsid w:val="0D0C188A"/>
    <w:rsid w:val="0D0C2411"/>
    <w:rsid w:val="0D0D0C68"/>
    <w:rsid w:val="0D0E73B0"/>
    <w:rsid w:val="0D0F4ED6"/>
    <w:rsid w:val="0D1349C7"/>
    <w:rsid w:val="0D136775"/>
    <w:rsid w:val="0D1A101C"/>
    <w:rsid w:val="0D1B387B"/>
    <w:rsid w:val="0D1C7D1F"/>
    <w:rsid w:val="0D1F336B"/>
    <w:rsid w:val="0D293F6C"/>
    <w:rsid w:val="0D2A3ABE"/>
    <w:rsid w:val="0D336E17"/>
    <w:rsid w:val="0D34161D"/>
    <w:rsid w:val="0D352B8F"/>
    <w:rsid w:val="0D3859A2"/>
    <w:rsid w:val="0D3D37F2"/>
    <w:rsid w:val="0D3F57BC"/>
    <w:rsid w:val="0D411050"/>
    <w:rsid w:val="0D4252AC"/>
    <w:rsid w:val="0D447276"/>
    <w:rsid w:val="0D4903E8"/>
    <w:rsid w:val="0D4A1E5A"/>
    <w:rsid w:val="0D4A5F0F"/>
    <w:rsid w:val="0D547E2C"/>
    <w:rsid w:val="0D553231"/>
    <w:rsid w:val="0D554FDF"/>
    <w:rsid w:val="0D55637F"/>
    <w:rsid w:val="0D6214AA"/>
    <w:rsid w:val="0D646FD0"/>
    <w:rsid w:val="0D672CFE"/>
    <w:rsid w:val="0D676AC1"/>
    <w:rsid w:val="0D6B4803"/>
    <w:rsid w:val="0D6C40D7"/>
    <w:rsid w:val="0D701E19"/>
    <w:rsid w:val="0D725B91"/>
    <w:rsid w:val="0D73168E"/>
    <w:rsid w:val="0D731909"/>
    <w:rsid w:val="0D735465"/>
    <w:rsid w:val="0D7C3B01"/>
    <w:rsid w:val="0D892919"/>
    <w:rsid w:val="0D892EDB"/>
    <w:rsid w:val="0D8D29CB"/>
    <w:rsid w:val="0D927FE1"/>
    <w:rsid w:val="0D93340D"/>
    <w:rsid w:val="0D951880"/>
    <w:rsid w:val="0D9553DC"/>
    <w:rsid w:val="0D9773A6"/>
    <w:rsid w:val="0D9A50E8"/>
    <w:rsid w:val="0D9C49BC"/>
    <w:rsid w:val="0DA05C1B"/>
    <w:rsid w:val="0DA10224"/>
    <w:rsid w:val="0DA63A8D"/>
    <w:rsid w:val="0DA877FB"/>
    <w:rsid w:val="0DA87805"/>
    <w:rsid w:val="0DAE2941"/>
    <w:rsid w:val="0DAF383E"/>
    <w:rsid w:val="0DB42355"/>
    <w:rsid w:val="0DB51118"/>
    <w:rsid w:val="0DBA3094"/>
    <w:rsid w:val="0DBC505E"/>
    <w:rsid w:val="0DBF68FD"/>
    <w:rsid w:val="0DC108C7"/>
    <w:rsid w:val="0DC45CC1"/>
    <w:rsid w:val="0DC53105"/>
    <w:rsid w:val="0DC7755F"/>
    <w:rsid w:val="0DC857B1"/>
    <w:rsid w:val="0DC932D7"/>
    <w:rsid w:val="0DC9777B"/>
    <w:rsid w:val="0DCB52A1"/>
    <w:rsid w:val="0DCD2DC7"/>
    <w:rsid w:val="0DCD445C"/>
    <w:rsid w:val="0DD028B8"/>
    <w:rsid w:val="0DD04666"/>
    <w:rsid w:val="0DD34156"/>
    <w:rsid w:val="0DD73C46"/>
    <w:rsid w:val="0DD8176C"/>
    <w:rsid w:val="0DD979BE"/>
    <w:rsid w:val="0DDC057E"/>
    <w:rsid w:val="0DE00CB6"/>
    <w:rsid w:val="0DE22CAF"/>
    <w:rsid w:val="0DEE2D3E"/>
    <w:rsid w:val="0DEF2DBD"/>
    <w:rsid w:val="0DF02F5A"/>
    <w:rsid w:val="0DF06AB6"/>
    <w:rsid w:val="0DF465A6"/>
    <w:rsid w:val="0DFC545B"/>
    <w:rsid w:val="0DFC5D03"/>
    <w:rsid w:val="0DFD060A"/>
    <w:rsid w:val="0DFD5C6B"/>
    <w:rsid w:val="0DFE7425"/>
    <w:rsid w:val="0E097B78"/>
    <w:rsid w:val="0E0B5706"/>
    <w:rsid w:val="0E0D7668"/>
    <w:rsid w:val="0E110D06"/>
    <w:rsid w:val="0E122ED0"/>
    <w:rsid w:val="0E1409F6"/>
    <w:rsid w:val="0E19425F"/>
    <w:rsid w:val="0E1C78AB"/>
    <w:rsid w:val="0E214EC1"/>
    <w:rsid w:val="0E264A34"/>
    <w:rsid w:val="0E2873B4"/>
    <w:rsid w:val="0E301273"/>
    <w:rsid w:val="0E303356"/>
    <w:rsid w:val="0E320723"/>
    <w:rsid w:val="0E364E11"/>
    <w:rsid w:val="0E3746E5"/>
    <w:rsid w:val="0E3A0F99"/>
    <w:rsid w:val="0E3A5F83"/>
    <w:rsid w:val="0E3F0DAA"/>
    <w:rsid w:val="0E4137B5"/>
    <w:rsid w:val="0E424B5A"/>
    <w:rsid w:val="0E4376A8"/>
    <w:rsid w:val="0E460DCC"/>
    <w:rsid w:val="0E49737E"/>
    <w:rsid w:val="0E4F1A2E"/>
    <w:rsid w:val="0E5232CD"/>
    <w:rsid w:val="0E527771"/>
    <w:rsid w:val="0E56100F"/>
    <w:rsid w:val="0E574D87"/>
    <w:rsid w:val="0E5E67B9"/>
    <w:rsid w:val="0E6574A4"/>
    <w:rsid w:val="0E7019A5"/>
    <w:rsid w:val="0E715E49"/>
    <w:rsid w:val="0E72510F"/>
    <w:rsid w:val="0E72571D"/>
    <w:rsid w:val="0E741495"/>
    <w:rsid w:val="0E7476E7"/>
    <w:rsid w:val="0E790B75"/>
    <w:rsid w:val="0E792F4F"/>
    <w:rsid w:val="0E7C659C"/>
    <w:rsid w:val="0E8518F4"/>
    <w:rsid w:val="0E8D6396"/>
    <w:rsid w:val="0E8F4521"/>
    <w:rsid w:val="0E905A81"/>
    <w:rsid w:val="0E912047"/>
    <w:rsid w:val="0E927B6D"/>
    <w:rsid w:val="0E941B37"/>
    <w:rsid w:val="0E9438E5"/>
    <w:rsid w:val="0E9658AF"/>
    <w:rsid w:val="0E9A32E1"/>
    <w:rsid w:val="0E9D17C6"/>
    <w:rsid w:val="0E9E29B6"/>
    <w:rsid w:val="0EA004DC"/>
    <w:rsid w:val="0EA0672E"/>
    <w:rsid w:val="0EA37FCC"/>
    <w:rsid w:val="0EB126E9"/>
    <w:rsid w:val="0EB9159E"/>
    <w:rsid w:val="0EC50100"/>
    <w:rsid w:val="0EC85224"/>
    <w:rsid w:val="0ECA5559"/>
    <w:rsid w:val="0ECB1C73"/>
    <w:rsid w:val="0ECC12D1"/>
    <w:rsid w:val="0ECC4B2E"/>
    <w:rsid w:val="0ECC4F08"/>
    <w:rsid w:val="0ED14B39"/>
    <w:rsid w:val="0ED35FFD"/>
    <w:rsid w:val="0EDF1579"/>
    <w:rsid w:val="0EE26D46"/>
    <w:rsid w:val="0EE526EA"/>
    <w:rsid w:val="0EE7120F"/>
    <w:rsid w:val="0EE859DF"/>
    <w:rsid w:val="0EF12AE6"/>
    <w:rsid w:val="0EF80318"/>
    <w:rsid w:val="0EF80E8F"/>
    <w:rsid w:val="0F024CF3"/>
    <w:rsid w:val="0F046CBD"/>
    <w:rsid w:val="0F0547E3"/>
    <w:rsid w:val="0F0D1A26"/>
    <w:rsid w:val="0F111837"/>
    <w:rsid w:val="0F136F00"/>
    <w:rsid w:val="0F13775A"/>
    <w:rsid w:val="0F1A028E"/>
    <w:rsid w:val="0F1A64E0"/>
    <w:rsid w:val="0F1C3AFD"/>
    <w:rsid w:val="0F1F58A5"/>
    <w:rsid w:val="0F1F7825"/>
    <w:rsid w:val="0F205C7F"/>
    <w:rsid w:val="0F21477E"/>
    <w:rsid w:val="0F220EF1"/>
    <w:rsid w:val="0F2E09A0"/>
    <w:rsid w:val="0F317386"/>
    <w:rsid w:val="0F346E76"/>
    <w:rsid w:val="0F3B1FB3"/>
    <w:rsid w:val="0F3C025F"/>
    <w:rsid w:val="0F3F5FF6"/>
    <w:rsid w:val="0F3F7CF5"/>
    <w:rsid w:val="0F4075C9"/>
    <w:rsid w:val="0F421593"/>
    <w:rsid w:val="0F452E31"/>
    <w:rsid w:val="0F4870A8"/>
    <w:rsid w:val="0F4B669A"/>
    <w:rsid w:val="0F4C33C3"/>
    <w:rsid w:val="0F522A6F"/>
    <w:rsid w:val="0F5337A0"/>
    <w:rsid w:val="0F580DB7"/>
    <w:rsid w:val="0F5B4403"/>
    <w:rsid w:val="0F6634D4"/>
    <w:rsid w:val="0F676B13"/>
    <w:rsid w:val="0F696B20"/>
    <w:rsid w:val="0F6C03BE"/>
    <w:rsid w:val="0F7200CA"/>
    <w:rsid w:val="0F721827"/>
    <w:rsid w:val="0F733789"/>
    <w:rsid w:val="0F786D63"/>
    <w:rsid w:val="0F7D25CB"/>
    <w:rsid w:val="0F81030D"/>
    <w:rsid w:val="0F87169C"/>
    <w:rsid w:val="0F8A4358"/>
    <w:rsid w:val="0F8A6A96"/>
    <w:rsid w:val="0F8B4CE8"/>
    <w:rsid w:val="0F932BA2"/>
    <w:rsid w:val="0F955B67"/>
    <w:rsid w:val="0F9928EF"/>
    <w:rsid w:val="0F9A050E"/>
    <w:rsid w:val="0F9A112B"/>
    <w:rsid w:val="0F9F2542"/>
    <w:rsid w:val="0FA07BF0"/>
    <w:rsid w:val="0FA1275E"/>
    <w:rsid w:val="0FA4224E"/>
    <w:rsid w:val="0FA45387"/>
    <w:rsid w:val="0FA60454"/>
    <w:rsid w:val="0FA933C0"/>
    <w:rsid w:val="0FAF4135"/>
    <w:rsid w:val="0FB01208"/>
    <w:rsid w:val="0FB56209"/>
    <w:rsid w:val="0FB57FB7"/>
    <w:rsid w:val="0FBD0C1A"/>
    <w:rsid w:val="0FBD6E6C"/>
    <w:rsid w:val="0FC54AD9"/>
    <w:rsid w:val="0FCC6C3F"/>
    <w:rsid w:val="0FD0094D"/>
    <w:rsid w:val="0FD22917"/>
    <w:rsid w:val="0FDC2314"/>
    <w:rsid w:val="0FDD12BC"/>
    <w:rsid w:val="0FDE1B16"/>
    <w:rsid w:val="0FE8038D"/>
    <w:rsid w:val="0FED7687"/>
    <w:rsid w:val="0FF1044E"/>
    <w:rsid w:val="0FF24D67"/>
    <w:rsid w:val="0FF46D31"/>
    <w:rsid w:val="0FF7237E"/>
    <w:rsid w:val="0FFE3ADD"/>
    <w:rsid w:val="10017FB3"/>
    <w:rsid w:val="10042CED"/>
    <w:rsid w:val="10062C91"/>
    <w:rsid w:val="1008458B"/>
    <w:rsid w:val="10086339"/>
    <w:rsid w:val="100910F7"/>
    <w:rsid w:val="100920B1"/>
    <w:rsid w:val="100D1BA1"/>
    <w:rsid w:val="100E1475"/>
    <w:rsid w:val="100F3B6B"/>
    <w:rsid w:val="101051ED"/>
    <w:rsid w:val="10172A20"/>
    <w:rsid w:val="10195736"/>
    <w:rsid w:val="10202516"/>
    <w:rsid w:val="10251AC8"/>
    <w:rsid w:val="1025513D"/>
    <w:rsid w:val="10294501"/>
    <w:rsid w:val="102E38C6"/>
    <w:rsid w:val="103274FC"/>
    <w:rsid w:val="103435D2"/>
    <w:rsid w:val="103449ED"/>
    <w:rsid w:val="1034712E"/>
    <w:rsid w:val="10360127"/>
    <w:rsid w:val="1037079D"/>
    <w:rsid w:val="10390BE8"/>
    <w:rsid w:val="10392996"/>
    <w:rsid w:val="103A58B2"/>
    <w:rsid w:val="104355C3"/>
    <w:rsid w:val="104906FF"/>
    <w:rsid w:val="10507CE0"/>
    <w:rsid w:val="1052245F"/>
    <w:rsid w:val="10525131"/>
    <w:rsid w:val="10532F3B"/>
    <w:rsid w:val="105968CE"/>
    <w:rsid w:val="105A46BB"/>
    <w:rsid w:val="10645539"/>
    <w:rsid w:val="1066305F"/>
    <w:rsid w:val="106A6FF4"/>
    <w:rsid w:val="106D2F64"/>
    <w:rsid w:val="1070206F"/>
    <w:rsid w:val="10720430"/>
    <w:rsid w:val="10727C56"/>
    <w:rsid w:val="10790FE5"/>
    <w:rsid w:val="107E18F8"/>
    <w:rsid w:val="107E2A9F"/>
    <w:rsid w:val="10811A50"/>
    <w:rsid w:val="10856F1B"/>
    <w:rsid w:val="108B0D18"/>
    <w:rsid w:val="108F6861"/>
    <w:rsid w:val="10901D27"/>
    <w:rsid w:val="10944070"/>
    <w:rsid w:val="10991559"/>
    <w:rsid w:val="109C5456"/>
    <w:rsid w:val="10A5002C"/>
    <w:rsid w:val="10A832F4"/>
    <w:rsid w:val="10A83678"/>
    <w:rsid w:val="10AA5642"/>
    <w:rsid w:val="10AF1D60"/>
    <w:rsid w:val="10B05EDD"/>
    <w:rsid w:val="10B4201D"/>
    <w:rsid w:val="10B440D2"/>
    <w:rsid w:val="10B63710"/>
    <w:rsid w:val="10B77D5F"/>
    <w:rsid w:val="10BA1AAE"/>
    <w:rsid w:val="10BB33AB"/>
    <w:rsid w:val="10BC5375"/>
    <w:rsid w:val="10BD736F"/>
    <w:rsid w:val="10BE733F"/>
    <w:rsid w:val="10C77FA2"/>
    <w:rsid w:val="10CA5CE4"/>
    <w:rsid w:val="10CA7A92"/>
    <w:rsid w:val="10CD30DE"/>
    <w:rsid w:val="10CF355A"/>
    <w:rsid w:val="10D66437"/>
    <w:rsid w:val="10D8227B"/>
    <w:rsid w:val="10D95F27"/>
    <w:rsid w:val="10E072B6"/>
    <w:rsid w:val="10E30C50"/>
    <w:rsid w:val="10E36DA6"/>
    <w:rsid w:val="10E50428"/>
    <w:rsid w:val="10E675D1"/>
    <w:rsid w:val="10E70644"/>
    <w:rsid w:val="10EA5A3E"/>
    <w:rsid w:val="10ED3781"/>
    <w:rsid w:val="10F863AD"/>
    <w:rsid w:val="10FB33EF"/>
    <w:rsid w:val="10FC5772"/>
    <w:rsid w:val="10FF6CE8"/>
    <w:rsid w:val="11056D1C"/>
    <w:rsid w:val="110A52C8"/>
    <w:rsid w:val="110E3CBD"/>
    <w:rsid w:val="11143B39"/>
    <w:rsid w:val="111451B1"/>
    <w:rsid w:val="111C2F7A"/>
    <w:rsid w:val="11205904"/>
    <w:rsid w:val="1122342A"/>
    <w:rsid w:val="11274EE5"/>
    <w:rsid w:val="112847B9"/>
    <w:rsid w:val="112C24FB"/>
    <w:rsid w:val="112C6057"/>
    <w:rsid w:val="112D7B6C"/>
    <w:rsid w:val="112E1DCF"/>
    <w:rsid w:val="112E7589"/>
    <w:rsid w:val="113013DE"/>
    <w:rsid w:val="113118BF"/>
    <w:rsid w:val="11447845"/>
    <w:rsid w:val="11452008"/>
    <w:rsid w:val="114803D5"/>
    <w:rsid w:val="114C494B"/>
    <w:rsid w:val="114E421F"/>
    <w:rsid w:val="115770D7"/>
    <w:rsid w:val="1157762A"/>
    <w:rsid w:val="115929AD"/>
    <w:rsid w:val="116021A5"/>
    <w:rsid w:val="11643A43"/>
    <w:rsid w:val="11660972"/>
    <w:rsid w:val="116A6B7F"/>
    <w:rsid w:val="116C0ACD"/>
    <w:rsid w:val="11717F0E"/>
    <w:rsid w:val="11717F10"/>
    <w:rsid w:val="11731ED8"/>
    <w:rsid w:val="117618C6"/>
    <w:rsid w:val="117619C8"/>
    <w:rsid w:val="1178129C"/>
    <w:rsid w:val="1178430B"/>
    <w:rsid w:val="11785740"/>
    <w:rsid w:val="117A5014"/>
    <w:rsid w:val="117D68B3"/>
    <w:rsid w:val="117E185E"/>
    <w:rsid w:val="117F6ACF"/>
    <w:rsid w:val="11811732"/>
    <w:rsid w:val="11845E93"/>
    <w:rsid w:val="11874169"/>
    <w:rsid w:val="118C4D48"/>
    <w:rsid w:val="118E0AC0"/>
    <w:rsid w:val="118F0A79"/>
    <w:rsid w:val="11902A8A"/>
    <w:rsid w:val="11913A22"/>
    <w:rsid w:val="11917669"/>
    <w:rsid w:val="119360D6"/>
    <w:rsid w:val="119C5AA8"/>
    <w:rsid w:val="119D4B96"/>
    <w:rsid w:val="11A05CA3"/>
    <w:rsid w:val="11A16A45"/>
    <w:rsid w:val="11AB78C4"/>
    <w:rsid w:val="11B04EDA"/>
    <w:rsid w:val="11B232FE"/>
    <w:rsid w:val="11C049F1"/>
    <w:rsid w:val="11C40985"/>
    <w:rsid w:val="11C42733"/>
    <w:rsid w:val="11C52FC0"/>
    <w:rsid w:val="11C54C7E"/>
    <w:rsid w:val="11C73FD2"/>
    <w:rsid w:val="11C75D80"/>
    <w:rsid w:val="11CC15E8"/>
    <w:rsid w:val="11CD68D0"/>
    <w:rsid w:val="11CE752D"/>
    <w:rsid w:val="11D02E86"/>
    <w:rsid w:val="11D0732A"/>
    <w:rsid w:val="11D16103"/>
    <w:rsid w:val="11D363A6"/>
    <w:rsid w:val="11EE77B0"/>
    <w:rsid w:val="11F0177A"/>
    <w:rsid w:val="11F528ED"/>
    <w:rsid w:val="11F56D91"/>
    <w:rsid w:val="11F72B09"/>
    <w:rsid w:val="11F76665"/>
    <w:rsid w:val="11FC1ECD"/>
    <w:rsid w:val="11FE3E97"/>
    <w:rsid w:val="11FF3F33"/>
    <w:rsid w:val="12011A37"/>
    <w:rsid w:val="12042B30"/>
    <w:rsid w:val="120668A8"/>
    <w:rsid w:val="12072620"/>
    <w:rsid w:val="12077AB4"/>
    <w:rsid w:val="120B0362"/>
    <w:rsid w:val="120B2C02"/>
    <w:rsid w:val="12102A91"/>
    <w:rsid w:val="121454E1"/>
    <w:rsid w:val="12152F8F"/>
    <w:rsid w:val="121865DB"/>
    <w:rsid w:val="121A67F7"/>
    <w:rsid w:val="121C431D"/>
    <w:rsid w:val="121E62E8"/>
    <w:rsid w:val="121F796A"/>
    <w:rsid w:val="122B06C2"/>
    <w:rsid w:val="122D7F4C"/>
    <w:rsid w:val="122E4051"/>
    <w:rsid w:val="122E5DFF"/>
    <w:rsid w:val="122F6D00"/>
    <w:rsid w:val="12327017"/>
    <w:rsid w:val="1232769D"/>
    <w:rsid w:val="12380A2C"/>
    <w:rsid w:val="12386C7D"/>
    <w:rsid w:val="12394ECF"/>
    <w:rsid w:val="123F264B"/>
    <w:rsid w:val="123F625E"/>
    <w:rsid w:val="1240313D"/>
    <w:rsid w:val="12424957"/>
    <w:rsid w:val="12435D4E"/>
    <w:rsid w:val="12445622"/>
    <w:rsid w:val="124B4C03"/>
    <w:rsid w:val="124D2729"/>
    <w:rsid w:val="124E3A6E"/>
    <w:rsid w:val="124F46F3"/>
    <w:rsid w:val="12575478"/>
    <w:rsid w:val="125A7AA6"/>
    <w:rsid w:val="125D0492"/>
    <w:rsid w:val="12614426"/>
    <w:rsid w:val="12633CFA"/>
    <w:rsid w:val="12635AA8"/>
    <w:rsid w:val="126A321F"/>
    <w:rsid w:val="126D2DCB"/>
    <w:rsid w:val="12744159"/>
    <w:rsid w:val="12767ED2"/>
    <w:rsid w:val="12791770"/>
    <w:rsid w:val="127B49BD"/>
    <w:rsid w:val="127E3E8A"/>
    <w:rsid w:val="12802AFE"/>
    <w:rsid w:val="12810624"/>
    <w:rsid w:val="1283614B"/>
    <w:rsid w:val="12844F29"/>
    <w:rsid w:val="12865C3B"/>
    <w:rsid w:val="128679E9"/>
    <w:rsid w:val="1289734F"/>
    <w:rsid w:val="128B3251"/>
    <w:rsid w:val="12900868"/>
    <w:rsid w:val="12906AB9"/>
    <w:rsid w:val="12943F73"/>
    <w:rsid w:val="12955E7E"/>
    <w:rsid w:val="12962DDB"/>
    <w:rsid w:val="12971BF6"/>
    <w:rsid w:val="129E4D32"/>
    <w:rsid w:val="129F0AAB"/>
    <w:rsid w:val="129F5B09"/>
    <w:rsid w:val="12A143E4"/>
    <w:rsid w:val="12A604AE"/>
    <w:rsid w:val="12AB56A1"/>
    <w:rsid w:val="12AB744F"/>
    <w:rsid w:val="12B24C82"/>
    <w:rsid w:val="12B5308E"/>
    <w:rsid w:val="12B67DB7"/>
    <w:rsid w:val="12B75DF4"/>
    <w:rsid w:val="12BA4BDF"/>
    <w:rsid w:val="12BE3627"/>
    <w:rsid w:val="12C05E31"/>
    <w:rsid w:val="12C13197"/>
    <w:rsid w:val="12C30D5F"/>
    <w:rsid w:val="12D1335A"/>
    <w:rsid w:val="12D138EB"/>
    <w:rsid w:val="12D143CF"/>
    <w:rsid w:val="12D40754"/>
    <w:rsid w:val="12D44BF8"/>
    <w:rsid w:val="12D9220E"/>
    <w:rsid w:val="12DB7D35"/>
    <w:rsid w:val="12DC179C"/>
    <w:rsid w:val="12DD1CFF"/>
    <w:rsid w:val="12DE519C"/>
    <w:rsid w:val="12E267A6"/>
    <w:rsid w:val="12E7492B"/>
    <w:rsid w:val="12EA441C"/>
    <w:rsid w:val="12EA61CA"/>
    <w:rsid w:val="12EB3CF0"/>
    <w:rsid w:val="12F2507E"/>
    <w:rsid w:val="12F36DB2"/>
    <w:rsid w:val="12F63DBA"/>
    <w:rsid w:val="12F64B6E"/>
    <w:rsid w:val="12F6691D"/>
    <w:rsid w:val="12FE3A23"/>
    <w:rsid w:val="13001549"/>
    <w:rsid w:val="130354DD"/>
    <w:rsid w:val="13051255"/>
    <w:rsid w:val="13061470"/>
    <w:rsid w:val="13071CE4"/>
    <w:rsid w:val="13076D7C"/>
    <w:rsid w:val="130A23C8"/>
    <w:rsid w:val="130C4392"/>
    <w:rsid w:val="130C5FE0"/>
    <w:rsid w:val="130F79DE"/>
    <w:rsid w:val="131119A8"/>
    <w:rsid w:val="13141499"/>
    <w:rsid w:val="13171F28"/>
    <w:rsid w:val="13174AE5"/>
    <w:rsid w:val="13182D37"/>
    <w:rsid w:val="131836D1"/>
    <w:rsid w:val="1319260B"/>
    <w:rsid w:val="13196AAF"/>
    <w:rsid w:val="131C5101"/>
    <w:rsid w:val="131E40C5"/>
    <w:rsid w:val="131E6CD1"/>
    <w:rsid w:val="13201BEB"/>
    <w:rsid w:val="13272F7A"/>
    <w:rsid w:val="13281A6D"/>
    <w:rsid w:val="132A2A6A"/>
    <w:rsid w:val="132A4818"/>
    <w:rsid w:val="132F1E2E"/>
    <w:rsid w:val="13313DF9"/>
    <w:rsid w:val="1333069C"/>
    <w:rsid w:val="133B07D3"/>
    <w:rsid w:val="133D3E1D"/>
    <w:rsid w:val="133E6515"/>
    <w:rsid w:val="13405DEA"/>
    <w:rsid w:val="134223C1"/>
    <w:rsid w:val="13451652"/>
    <w:rsid w:val="13460082"/>
    <w:rsid w:val="13495C7E"/>
    <w:rsid w:val="13497394"/>
    <w:rsid w:val="134F0723"/>
    <w:rsid w:val="13525B1D"/>
    <w:rsid w:val="135508FC"/>
    <w:rsid w:val="135A334F"/>
    <w:rsid w:val="13637D2A"/>
    <w:rsid w:val="136A10B9"/>
    <w:rsid w:val="136C6BDF"/>
    <w:rsid w:val="136E0C91"/>
    <w:rsid w:val="136F4921"/>
    <w:rsid w:val="13702B73"/>
    <w:rsid w:val="13710699"/>
    <w:rsid w:val="13722A67"/>
    <w:rsid w:val="137361BF"/>
    <w:rsid w:val="13743CE5"/>
    <w:rsid w:val="137531D7"/>
    <w:rsid w:val="1377358E"/>
    <w:rsid w:val="137B0136"/>
    <w:rsid w:val="137B32C6"/>
    <w:rsid w:val="137B5074"/>
    <w:rsid w:val="137D34C8"/>
    <w:rsid w:val="13824F56"/>
    <w:rsid w:val="1384217A"/>
    <w:rsid w:val="13871C6A"/>
    <w:rsid w:val="138C102F"/>
    <w:rsid w:val="138C54D3"/>
    <w:rsid w:val="139254CE"/>
    <w:rsid w:val="13936861"/>
    <w:rsid w:val="13951726"/>
    <w:rsid w:val="1399374C"/>
    <w:rsid w:val="139B5716"/>
    <w:rsid w:val="139D148E"/>
    <w:rsid w:val="13A26AA4"/>
    <w:rsid w:val="13AE369B"/>
    <w:rsid w:val="13B14F39"/>
    <w:rsid w:val="13B24BD4"/>
    <w:rsid w:val="13B567D8"/>
    <w:rsid w:val="13B660AC"/>
    <w:rsid w:val="13BA0895"/>
    <w:rsid w:val="13BD38DE"/>
    <w:rsid w:val="13BF7656"/>
    <w:rsid w:val="13C1400A"/>
    <w:rsid w:val="13C277AD"/>
    <w:rsid w:val="13C30AFC"/>
    <w:rsid w:val="13CC58CF"/>
    <w:rsid w:val="13CE4568"/>
    <w:rsid w:val="13CE7899"/>
    <w:rsid w:val="13CE7DBD"/>
    <w:rsid w:val="13E1581F"/>
    <w:rsid w:val="13E175CD"/>
    <w:rsid w:val="13E72709"/>
    <w:rsid w:val="13ED41C3"/>
    <w:rsid w:val="13F05A62"/>
    <w:rsid w:val="13F84916"/>
    <w:rsid w:val="13FA243C"/>
    <w:rsid w:val="13FA68E0"/>
    <w:rsid w:val="14024910"/>
    <w:rsid w:val="14025795"/>
    <w:rsid w:val="14067033"/>
    <w:rsid w:val="14076907"/>
    <w:rsid w:val="140C03C2"/>
    <w:rsid w:val="141259D8"/>
    <w:rsid w:val="14186D67"/>
    <w:rsid w:val="14197487"/>
    <w:rsid w:val="141E70C5"/>
    <w:rsid w:val="14213FC1"/>
    <w:rsid w:val="14215C1B"/>
    <w:rsid w:val="14221EEF"/>
    <w:rsid w:val="14261483"/>
    <w:rsid w:val="14270D58"/>
    <w:rsid w:val="142D2812"/>
    <w:rsid w:val="142E5135"/>
    <w:rsid w:val="143771ED"/>
    <w:rsid w:val="14396509"/>
    <w:rsid w:val="14397409"/>
    <w:rsid w:val="143C379A"/>
    <w:rsid w:val="143D67CD"/>
    <w:rsid w:val="143E4A1F"/>
    <w:rsid w:val="143F3336"/>
    <w:rsid w:val="1447165C"/>
    <w:rsid w:val="1448144A"/>
    <w:rsid w:val="14501579"/>
    <w:rsid w:val="14515DD5"/>
    <w:rsid w:val="145558C5"/>
    <w:rsid w:val="14575AE1"/>
    <w:rsid w:val="145A6C1B"/>
    <w:rsid w:val="145C4EA5"/>
    <w:rsid w:val="145E6E6F"/>
    <w:rsid w:val="14611454"/>
    <w:rsid w:val="14643D5A"/>
    <w:rsid w:val="146B158C"/>
    <w:rsid w:val="146D0E60"/>
    <w:rsid w:val="146E5199"/>
    <w:rsid w:val="147026FF"/>
    <w:rsid w:val="14720225"/>
    <w:rsid w:val="147246C9"/>
    <w:rsid w:val="14733F9D"/>
    <w:rsid w:val="14756348"/>
    <w:rsid w:val="14777F31"/>
    <w:rsid w:val="147C605C"/>
    <w:rsid w:val="147E16A4"/>
    <w:rsid w:val="148166BA"/>
    <w:rsid w:val="148474E8"/>
    <w:rsid w:val="14860174"/>
    <w:rsid w:val="14885C9A"/>
    <w:rsid w:val="14893AB6"/>
    <w:rsid w:val="148A1AF0"/>
    <w:rsid w:val="148F0807"/>
    <w:rsid w:val="14902DA1"/>
    <w:rsid w:val="149503B7"/>
    <w:rsid w:val="149A54A8"/>
    <w:rsid w:val="149E726C"/>
    <w:rsid w:val="14A01236"/>
    <w:rsid w:val="14A16D5C"/>
    <w:rsid w:val="14A300D8"/>
    <w:rsid w:val="14A405FA"/>
    <w:rsid w:val="14A960ED"/>
    <w:rsid w:val="14AD5701"/>
    <w:rsid w:val="14B06F9F"/>
    <w:rsid w:val="14B91001"/>
    <w:rsid w:val="14B94B6E"/>
    <w:rsid w:val="14BA1BCC"/>
    <w:rsid w:val="14BF5434"/>
    <w:rsid w:val="14C1721D"/>
    <w:rsid w:val="14C842E9"/>
    <w:rsid w:val="14C91E0F"/>
    <w:rsid w:val="14D0319D"/>
    <w:rsid w:val="14D05CA0"/>
    <w:rsid w:val="14D47131"/>
    <w:rsid w:val="14D709D0"/>
    <w:rsid w:val="14DC1B42"/>
    <w:rsid w:val="14DC7D94"/>
    <w:rsid w:val="14E05AD6"/>
    <w:rsid w:val="14E12169"/>
    <w:rsid w:val="14E31122"/>
    <w:rsid w:val="14E4180F"/>
    <w:rsid w:val="14EA2725"/>
    <w:rsid w:val="14EC447B"/>
    <w:rsid w:val="14F1476F"/>
    <w:rsid w:val="14F33D01"/>
    <w:rsid w:val="15001CD4"/>
    <w:rsid w:val="15051099"/>
    <w:rsid w:val="15054F9B"/>
    <w:rsid w:val="1505553D"/>
    <w:rsid w:val="150D619F"/>
    <w:rsid w:val="150F1F18"/>
    <w:rsid w:val="15107A3E"/>
    <w:rsid w:val="15121A08"/>
    <w:rsid w:val="151B539B"/>
    <w:rsid w:val="151C63E2"/>
    <w:rsid w:val="151E03AD"/>
    <w:rsid w:val="15202377"/>
    <w:rsid w:val="15205ED3"/>
    <w:rsid w:val="15227E9D"/>
    <w:rsid w:val="152359C3"/>
    <w:rsid w:val="1526228F"/>
    <w:rsid w:val="15284D87"/>
    <w:rsid w:val="152B4878"/>
    <w:rsid w:val="152D239E"/>
    <w:rsid w:val="15354544"/>
    <w:rsid w:val="15390BAA"/>
    <w:rsid w:val="15393438"/>
    <w:rsid w:val="153B2D0D"/>
    <w:rsid w:val="153D4CD7"/>
    <w:rsid w:val="15437E13"/>
    <w:rsid w:val="15451DDD"/>
    <w:rsid w:val="15455939"/>
    <w:rsid w:val="154871D8"/>
    <w:rsid w:val="154A11A2"/>
    <w:rsid w:val="154C6CC8"/>
    <w:rsid w:val="1551198D"/>
    <w:rsid w:val="15521101"/>
    <w:rsid w:val="15542020"/>
    <w:rsid w:val="15570834"/>
    <w:rsid w:val="15595889"/>
    <w:rsid w:val="155C4C28"/>
    <w:rsid w:val="155E2E9F"/>
    <w:rsid w:val="15634011"/>
    <w:rsid w:val="156408BB"/>
    <w:rsid w:val="1565422D"/>
    <w:rsid w:val="15657D89"/>
    <w:rsid w:val="1568787A"/>
    <w:rsid w:val="156D50EB"/>
    <w:rsid w:val="156F1487"/>
    <w:rsid w:val="15716195"/>
    <w:rsid w:val="15744B16"/>
    <w:rsid w:val="157B75AD"/>
    <w:rsid w:val="157D4738"/>
    <w:rsid w:val="157D50D3"/>
    <w:rsid w:val="157E709D"/>
    <w:rsid w:val="157F1935"/>
    <w:rsid w:val="15842905"/>
    <w:rsid w:val="15877D00"/>
    <w:rsid w:val="15883A78"/>
    <w:rsid w:val="1589441B"/>
    <w:rsid w:val="15897F1C"/>
    <w:rsid w:val="158A3C94"/>
    <w:rsid w:val="158C17BA"/>
    <w:rsid w:val="158D108E"/>
    <w:rsid w:val="159468C1"/>
    <w:rsid w:val="15962639"/>
    <w:rsid w:val="159B37AB"/>
    <w:rsid w:val="15A40BEE"/>
    <w:rsid w:val="15A46B04"/>
    <w:rsid w:val="15A5287C"/>
    <w:rsid w:val="15AC59B8"/>
    <w:rsid w:val="15AE34DE"/>
    <w:rsid w:val="15B12FCF"/>
    <w:rsid w:val="15B17473"/>
    <w:rsid w:val="15B64A89"/>
    <w:rsid w:val="15B66837"/>
    <w:rsid w:val="15C01464"/>
    <w:rsid w:val="15C72C7C"/>
    <w:rsid w:val="15C90318"/>
    <w:rsid w:val="15CA4090"/>
    <w:rsid w:val="15CB0007"/>
    <w:rsid w:val="15CB06E2"/>
    <w:rsid w:val="15CF16A7"/>
    <w:rsid w:val="15D76017"/>
    <w:rsid w:val="15E46F00"/>
    <w:rsid w:val="15E72E94"/>
    <w:rsid w:val="15E92769"/>
    <w:rsid w:val="15EE7D7F"/>
    <w:rsid w:val="15F66C34"/>
    <w:rsid w:val="15F80BFE"/>
    <w:rsid w:val="15FA2BC8"/>
    <w:rsid w:val="15FB7C4F"/>
    <w:rsid w:val="15FF01DE"/>
    <w:rsid w:val="15FF1F8C"/>
    <w:rsid w:val="16005D04"/>
    <w:rsid w:val="1606156C"/>
    <w:rsid w:val="16077A7C"/>
    <w:rsid w:val="160B0931"/>
    <w:rsid w:val="160B1CC9"/>
    <w:rsid w:val="160C6457"/>
    <w:rsid w:val="160E696E"/>
    <w:rsid w:val="160F33A3"/>
    <w:rsid w:val="16126189"/>
    <w:rsid w:val="16131283"/>
    <w:rsid w:val="16135A37"/>
    <w:rsid w:val="161C0D90"/>
    <w:rsid w:val="161C2B3E"/>
    <w:rsid w:val="161F262E"/>
    <w:rsid w:val="1622619A"/>
    <w:rsid w:val="162419F3"/>
    <w:rsid w:val="16290DB7"/>
    <w:rsid w:val="162C6AF9"/>
    <w:rsid w:val="162D2B22"/>
    <w:rsid w:val="162E2871"/>
    <w:rsid w:val="16337E88"/>
    <w:rsid w:val="16380A5A"/>
    <w:rsid w:val="1638549E"/>
    <w:rsid w:val="163B0AEA"/>
    <w:rsid w:val="163F4A7E"/>
    <w:rsid w:val="16465E0D"/>
    <w:rsid w:val="164707FC"/>
    <w:rsid w:val="1649352F"/>
    <w:rsid w:val="16500A3A"/>
    <w:rsid w:val="1651030E"/>
    <w:rsid w:val="165266F1"/>
    <w:rsid w:val="165D2399"/>
    <w:rsid w:val="16610551"/>
    <w:rsid w:val="16617428"/>
    <w:rsid w:val="16646293"/>
    <w:rsid w:val="166D55CB"/>
    <w:rsid w:val="166E0EC0"/>
    <w:rsid w:val="16757794"/>
    <w:rsid w:val="16774218"/>
    <w:rsid w:val="16777D74"/>
    <w:rsid w:val="167B7C4B"/>
    <w:rsid w:val="167C44F8"/>
    <w:rsid w:val="167C538B"/>
    <w:rsid w:val="1680548D"/>
    <w:rsid w:val="16826719"/>
    <w:rsid w:val="168340B4"/>
    <w:rsid w:val="168B7CC4"/>
    <w:rsid w:val="16921052"/>
    <w:rsid w:val="1694148D"/>
    <w:rsid w:val="1695469E"/>
    <w:rsid w:val="16976668"/>
    <w:rsid w:val="16982E92"/>
    <w:rsid w:val="169C5A2D"/>
    <w:rsid w:val="169E79F7"/>
    <w:rsid w:val="169F551D"/>
    <w:rsid w:val="169F72CB"/>
    <w:rsid w:val="16A81790"/>
    <w:rsid w:val="16AB2114"/>
    <w:rsid w:val="16AD19E8"/>
    <w:rsid w:val="16B014D8"/>
    <w:rsid w:val="16B207CA"/>
    <w:rsid w:val="16B26FFE"/>
    <w:rsid w:val="16B9038D"/>
    <w:rsid w:val="16BB3C28"/>
    <w:rsid w:val="16BC1C2B"/>
    <w:rsid w:val="16C44AD8"/>
    <w:rsid w:val="16C4566D"/>
    <w:rsid w:val="16CB1E6E"/>
    <w:rsid w:val="16CB6312"/>
    <w:rsid w:val="16DC147A"/>
    <w:rsid w:val="16DE4297"/>
    <w:rsid w:val="16DE6045"/>
    <w:rsid w:val="16DF3B6C"/>
    <w:rsid w:val="16E3365C"/>
    <w:rsid w:val="16E80C72"/>
    <w:rsid w:val="16EA68CE"/>
    <w:rsid w:val="16EB1FCB"/>
    <w:rsid w:val="16F45869"/>
    <w:rsid w:val="16F615E1"/>
    <w:rsid w:val="16FB4332"/>
    <w:rsid w:val="17011D34"/>
    <w:rsid w:val="17013AE2"/>
    <w:rsid w:val="1703785A"/>
    <w:rsid w:val="170535D2"/>
    <w:rsid w:val="1706559C"/>
    <w:rsid w:val="17066928"/>
    <w:rsid w:val="170830C2"/>
    <w:rsid w:val="17084E70"/>
    <w:rsid w:val="170C7A77"/>
    <w:rsid w:val="1712246D"/>
    <w:rsid w:val="17163A31"/>
    <w:rsid w:val="17171557"/>
    <w:rsid w:val="171B1048"/>
    <w:rsid w:val="172120C7"/>
    <w:rsid w:val="17215F32"/>
    <w:rsid w:val="17221F62"/>
    <w:rsid w:val="17273203"/>
    <w:rsid w:val="17285513"/>
    <w:rsid w:val="172A128B"/>
    <w:rsid w:val="172B5518"/>
    <w:rsid w:val="17312D11"/>
    <w:rsid w:val="1732013F"/>
    <w:rsid w:val="17326391"/>
    <w:rsid w:val="17326502"/>
    <w:rsid w:val="173C34E8"/>
    <w:rsid w:val="1740285C"/>
    <w:rsid w:val="174560C4"/>
    <w:rsid w:val="17465999"/>
    <w:rsid w:val="17485BB5"/>
    <w:rsid w:val="174B2FAF"/>
    <w:rsid w:val="1750389F"/>
    <w:rsid w:val="17577BA6"/>
    <w:rsid w:val="1759391E"/>
    <w:rsid w:val="175956CC"/>
    <w:rsid w:val="176460A3"/>
    <w:rsid w:val="17666845"/>
    <w:rsid w:val="17681B26"/>
    <w:rsid w:val="176A78D9"/>
    <w:rsid w:val="176C7FAF"/>
    <w:rsid w:val="176D1177"/>
    <w:rsid w:val="1770386E"/>
    <w:rsid w:val="177235B3"/>
    <w:rsid w:val="17735226"/>
    <w:rsid w:val="17742506"/>
    <w:rsid w:val="1782031A"/>
    <w:rsid w:val="17842AD0"/>
    <w:rsid w:val="178564C1"/>
    <w:rsid w:val="1787048B"/>
    <w:rsid w:val="178B7795"/>
    <w:rsid w:val="178D1819"/>
    <w:rsid w:val="17902473"/>
    <w:rsid w:val="17920BDE"/>
    <w:rsid w:val="179606CE"/>
    <w:rsid w:val="179C49C1"/>
    <w:rsid w:val="179E3A27"/>
    <w:rsid w:val="179E7583"/>
    <w:rsid w:val="17A06CE7"/>
    <w:rsid w:val="17A728DB"/>
    <w:rsid w:val="17A75F91"/>
    <w:rsid w:val="17AA4179"/>
    <w:rsid w:val="17AC7EF2"/>
    <w:rsid w:val="17AD77C6"/>
    <w:rsid w:val="17B374D2"/>
    <w:rsid w:val="17B631A7"/>
    <w:rsid w:val="17B648CC"/>
    <w:rsid w:val="17B80644"/>
    <w:rsid w:val="17B91CC2"/>
    <w:rsid w:val="17B91FA2"/>
    <w:rsid w:val="17B94D65"/>
    <w:rsid w:val="17BB3400"/>
    <w:rsid w:val="17BD3EAD"/>
    <w:rsid w:val="17C23271"/>
    <w:rsid w:val="17CA65CA"/>
    <w:rsid w:val="17D43BE0"/>
    <w:rsid w:val="17D80CE7"/>
    <w:rsid w:val="17DA4A5F"/>
    <w:rsid w:val="17DE55A1"/>
    <w:rsid w:val="17E21B65"/>
    <w:rsid w:val="17EA337E"/>
    <w:rsid w:val="17EC6540"/>
    <w:rsid w:val="17EF6030"/>
    <w:rsid w:val="17F04282"/>
    <w:rsid w:val="17F12BE8"/>
    <w:rsid w:val="17F17FFA"/>
    <w:rsid w:val="17F83137"/>
    <w:rsid w:val="17FD074D"/>
    <w:rsid w:val="17FD699F"/>
    <w:rsid w:val="18003D99"/>
    <w:rsid w:val="180066DE"/>
    <w:rsid w:val="18041ADC"/>
    <w:rsid w:val="1804388A"/>
    <w:rsid w:val="18055854"/>
    <w:rsid w:val="18094A7F"/>
    <w:rsid w:val="18095344"/>
    <w:rsid w:val="180A2E6A"/>
    <w:rsid w:val="180D7C95"/>
    <w:rsid w:val="180E4708"/>
    <w:rsid w:val="18100480"/>
    <w:rsid w:val="18147845"/>
    <w:rsid w:val="181E4104"/>
    <w:rsid w:val="182201B4"/>
    <w:rsid w:val="182757CA"/>
    <w:rsid w:val="18295F5F"/>
    <w:rsid w:val="182A4CFD"/>
    <w:rsid w:val="182C1032"/>
    <w:rsid w:val="182D744D"/>
    <w:rsid w:val="182E0907"/>
    <w:rsid w:val="18351C95"/>
    <w:rsid w:val="1839783A"/>
    <w:rsid w:val="183A60CC"/>
    <w:rsid w:val="183D6D9C"/>
    <w:rsid w:val="183E57A4"/>
    <w:rsid w:val="184969E9"/>
    <w:rsid w:val="184F0509"/>
    <w:rsid w:val="18512847"/>
    <w:rsid w:val="185540E5"/>
    <w:rsid w:val="18574223"/>
    <w:rsid w:val="185F4F64"/>
    <w:rsid w:val="18626802"/>
    <w:rsid w:val="1869193F"/>
    <w:rsid w:val="186B56B7"/>
    <w:rsid w:val="186D0013"/>
    <w:rsid w:val="186F23AF"/>
    <w:rsid w:val="18730A0F"/>
    <w:rsid w:val="187529D9"/>
    <w:rsid w:val="187A1D9E"/>
    <w:rsid w:val="187F1162"/>
    <w:rsid w:val="18826EA4"/>
    <w:rsid w:val="18833979"/>
    <w:rsid w:val="18891FE1"/>
    <w:rsid w:val="188B5D59"/>
    <w:rsid w:val="188C2E84"/>
    <w:rsid w:val="18982224"/>
    <w:rsid w:val="18993993"/>
    <w:rsid w:val="189A2440"/>
    <w:rsid w:val="18A40BC9"/>
    <w:rsid w:val="18A41440"/>
    <w:rsid w:val="18A44E96"/>
    <w:rsid w:val="18A46E1B"/>
    <w:rsid w:val="18A94431"/>
    <w:rsid w:val="18AE1A47"/>
    <w:rsid w:val="18AF5EEB"/>
    <w:rsid w:val="18B118AD"/>
    <w:rsid w:val="18B21538"/>
    <w:rsid w:val="18B90B18"/>
    <w:rsid w:val="18BC23B6"/>
    <w:rsid w:val="18BC3B0A"/>
    <w:rsid w:val="18BD040B"/>
    <w:rsid w:val="18BF12FA"/>
    <w:rsid w:val="18C13529"/>
    <w:rsid w:val="18C43019"/>
    <w:rsid w:val="18C474BD"/>
    <w:rsid w:val="18C63235"/>
    <w:rsid w:val="18C64FE3"/>
    <w:rsid w:val="18C9062F"/>
    <w:rsid w:val="18CD45C3"/>
    <w:rsid w:val="18CE20EA"/>
    <w:rsid w:val="18D07C10"/>
    <w:rsid w:val="18D3325C"/>
    <w:rsid w:val="18D72D4C"/>
    <w:rsid w:val="18DC1ABD"/>
    <w:rsid w:val="18DD40DB"/>
    <w:rsid w:val="18DF60A5"/>
    <w:rsid w:val="18E35B95"/>
    <w:rsid w:val="18E36CB5"/>
    <w:rsid w:val="18E831AB"/>
    <w:rsid w:val="18EB67F8"/>
    <w:rsid w:val="18F179C4"/>
    <w:rsid w:val="18F2402A"/>
    <w:rsid w:val="18FC6C57"/>
    <w:rsid w:val="190470B1"/>
    <w:rsid w:val="19094547"/>
    <w:rsid w:val="190D20E6"/>
    <w:rsid w:val="19103908"/>
    <w:rsid w:val="1910625E"/>
    <w:rsid w:val="19130CA3"/>
    <w:rsid w:val="191775ED"/>
    <w:rsid w:val="19185113"/>
    <w:rsid w:val="191C59B6"/>
    <w:rsid w:val="192166BD"/>
    <w:rsid w:val="192341E3"/>
    <w:rsid w:val="19243E65"/>
    <w:rsid w:val="192D79FD"/>
    <w:rsid w:val="193208CA"/>
    <w:rsid w:val="19324427"/>
    <w:rsid w:val="19371A3D"/>
    <w:rsid w:val="193F08F1"/>
    <w:rsid w:val="194128BC"/>
    <w:rsid w:val="194303E2"/>
    <w:rsid w:val="19436634"/>
    <w:rsid w:val="19483990"/>
    <w:rsid w:val="194A79C2"/>
    <w:rsid w:val="194D300E"/>
    <w:rsid w:val="194F7E45"/>
    <w:rsid w:val="195048A6"/>
    <w:rsid w:val="19520625"/>
    <w:rsid w:val="195465C3"/>
    <w:rsid w:val="19550115"/>
    <w:rsid w:val="19570331"/>
    <w:rsid w:val="19572D68"/>
    <w:rsid w:val="195C1FE7"/>
    <w:rsid w:val="195C3D9D"/>
    <w:rsid w:val="19630A84"/>
    <w:rsid w:val="19650358"/>
    <w:rsid w:val="196547FC"/>
    <w:rsid w:val="196565AA"/>
    <w:rsid w:val="1966166D"/>
    <w:rsid w:val="1968609A"/>
    <w:rsid w:val="196A0064"/>
    <w:rsid w:val="1973708C"/>
    <w:rsid w:val="197762DD"/>
    <w:rsid w:val="19793E03"/>
    <w:rsid w:val="1986666C"/>
    <w:rsid w:val="198A6011"/>
    <w:rsid w:val="198B3B37"/>
    <w:rsid w:val="198D5B01"/>
    <w:rsid w:val="198F7643"/>
    <w:rsid w:val="1990114D"/>
    <w:rsid w:val="199109E2"/>
    <w:rsid w:val="1995404C"/>
    <w:rsid w:val="199E50E5"/>
    <w:rsid w:val="19A05834"/>
    <w:rsid w:val="19A075E2"/>
    <w:rsid w:val="19A215AC"/>
    <w:rsid w:val="19A31463"/>
    <w:rsid w:val="19A52E4A"/>
    <w:rsid w:val="19A55C3A"/>
    <w:rsid w:val="19A74E14"/>
    <w:rsid w:val="19AC5F87"/>
    <w:rsid w:val="19AF3CC9"/>
    <w:rsid w:val="19AF7825"/>
    <w:rsid w:val="19B10D96"/>
    <w:rsid w:val="19B337B9"/>
    <w:rsid w:val="19B65058"/>
    <w:rsid w:val="19BB441C"/>
    <w:rsid w:val="19BD63E6"/>
    <w:rsid w:val="19BE5CBA"/>
    <w:rsid w:val="19C07C84"/>
    <w:rsid w:val="19C72DC1"/>
    <w:rsid w:val="19CC03D7"/>
    <w:rsid w:val="19D13C3F"/>
    <w:rsid w:val="19D379B8"/>
    <w:rsid w:val="19D90D46"/>
    <w:rsid w:val="19D92807"/>
    <w:rsid w:val="19DB2D10"/>
    <w:rsid w:val="19E00326"/>
    <w:rsid w:val="19E03E83"/>
    <w:rsid w:val="19E41BC5"/>
    <w:rsid w:val="19E742B7"/>
    <w:rsid w:val="19E96351"/>
    <w:rsid w:val="19EE2754"/>
    <w:rsid w:val="19EE3096"/>
    <w:rsid w:val="19F25F57"/>
    <w:rsid w:val="19F30585"/>
    <w:rsid w:val="19F33BB6"/>
    <w:rsid w:val="19F45B80"/>
    <w:rsid w:val="19F4792E"/>
    <w:rsid w:val="19FE07AD"/>
    <w:rsid w:val="1A027F67"/>
    <w:rsid w:val="1A057D8D"/>
    <w:rsid w:val="1A09138C"/>
    <w:rsid w:val="1A091C0D"/>
    <w:rsid w:val="1A0A0EFF"/>
    <w:rsid w:val="1A0A5C1B"/>
    <w:rsid w:val="1A0C2EC9"/>
    <w:rsid w:val="1A0F29BA"/>
    <w:rsid w:val="1A143B2C"/>
    <w:rsid w:val="1A18361C"/>
    <w:rsid w:val="1A192202"/>
    <w:rsid w:val="1A1A3C2D"/>
    <w:rsid w:val="1A1C66C0"/>
    <w:rsid w:val="1A1F0E4F"/>
    <w:rsid w:val="1A27385F"/>
    <w:rsid w:val="1A2E2E40"/>
    <w:rsid w:val="1A2E4BEE"/>
    <w:rsid w:val="1A3366A8"/>
    <w:rsid w:val="1A345F7C"/>
    <w:rsid w:val="1A3D3083"/>
    <w:rsid w:val="1A3F5F9B"/>
    <w:rsid w:val="1A42393B"/>
    <w:rsid w:val="1A424DED"/>
    <w:rsid w:val="1A4268EB"/>
    <w:rsid w:val="1A4408B5"/>
    <w:rsid w:val="1A450189"/>
    <w:rsid w:val="1A495ECC"/>
    <w:rsid w:val="1A4A57A0"/>
    <w:rsid w:val="1A4B1C44"/>
    <w:rsid w:val="1A4C776A"/>
    <w:rsid w:val="1A4E34E2"/>
    <w:rsid w:val="1A4E4600"/>
    <w:rsid w:val="1A4F2DB6"/>
    <w:rsid w:val="1A526911"/>
    <w:rsid w:val="1A55661F"/>
    <w:rsid w:val="1A58610F"/>
    <w:rsid w:val="1A592FC2"/>
    <w:rsid w:val="1A5A4033"/>
    <w:rsid w:val="1A5E6E65"/>
    <w:rsid w:val="1A5F749D"/>
    <w:rsid w:val="1A6745A4"/>
    <w:rsid w:val="1A6751A7"/>
    <w:rsid w:val="1A693E78"/>
    <w:rsid w:val="1A6E5932"/>
    <w:rsid w:val="1A703458"/>
    <w:rsid w:val="1A7036F0"/>
    <w:rsid w:val="1A74631B"/>
    <w:rsid w:val="1A75606A"/>
    <w:rsid w:val="1A766595"/>
    <w:rsid w:val="1A7A7E33"/>
    <w:rsid w:val="1A7D2C10"/>
    <w:rsid w:val="1A7D5B75"/>
    <w:rsid w:val="1A7D7923"/>
    <w:rsid w:val="1A7E53C6"/>
    <w:rsid w:val="1A7F4A0A"/>
    <w:rsid w:val="1A824F3A"/>
    <w:rsid w:val="1A882AFB"/>
    <w:rsid w:val="1A8A5F0F"/>
    <w:rsid w:val="1A8A7F67"/>
    <w:rsid w:val="1A8B0292"/>
    <w:rsid w:val="1A8E7D82"/>
    <w:rsid w:val="1A907657"/>
    <w:rsid w:val="1A924679"/>
    <w:rsid w:val="1A9475CB"/>
    <w:rsid w:val="1A98650B"/>
    <w:rsid w:val="1A9C3F90"/>
    <w:rsid w:val="1A9D4337"/>
    <w:rsid w:val="1A9D6217"/>
    <w:rsid w:val="1AA66E7A"/>
    <w:rsid w:val="1AAB244B"/>
    <w:rsid w:val="1AAB623F"/>
    <w:rsid w:val="1AAE5D2F"/>
    <w:rsid w:val="1AB05F4B"/>
    <w:rsid w:val="1AB33345"/>
    <w:rsid w:val="1AB560CE"/>
    <w:rsid w:val="1AB833B2"/>
    <w:rsid w:val="1AB86E8B"/>
    <w:rsid w:val="1AB94A4F"/>
    <w:rsid w:val="1ABA0B77"/>
    <w:rsid w:val="1AC60017"/>
    <w:rsid w:val="1AC840ED"/>
    <w:rsid w:val="1ACD2659"/>
    <w:rsid w:val="1ACE4623"/>
    <w:rsid w:val="1AD11A1D"/>
    <w:rsid w:val="1AD27F8C"/>
    <w:rsid w:val="1AD31F78"/>
    <w:rsid w:val="1ADA2FC8"/>
    <w:rsid w:val="1ADB5522"/>
    <w:rsid w:val="1ADC6D40"/>
    <w:rsid w:val="1AE6196C"/>
    <w:rsid w:val="1AE71241"/>
    <w:rsid w:val="1AE856E5"/>
    <w:rsid w:val="1AEA1FD5"/>
    <w:rsid w:val="1AEA2BE5"/>
    <w:rsid w:val="1AEB35C0"/>
    <w:rsid w:val="1AEC6857"/>
    <w:rsid w:val="1AEE7796"/>
    <w:rsid w:val="1AF000F5"/>
    <w:rsid w:val="1AF220BF"/>
    <w:rsid w:val="1AF3314B"/>
    <w:rsid w:val="1AF5570C"/>
    <w:rsid w:val="1AF851FC"/>
    <w:rsid w:val="1B040045"/>
    <w:rsid w:val="1B046F80"/>
    <w:rsid w:val="1B063DBD"/>
    <w:rsid w:val="1B0818E3"/>
    <w:rsid w:val="1B157B5C"/>
    <w:rsid w:val="1B162E37"/>
    <w:rsid w:val="1B165F01"/>
    <w:rsid w:val="1B183D2A"/>
    <w:rsid w:val="1B1A33C4"/>
    <w:rsid w:val="1B1C713C"/>
    <w:rsid w:val="1B1F6C2C"/>
    <w:rsid w:val="1B213D1F"/>
    <w:rsid w:val="1B246DC0"/>
    <w:rsid w:val="1B2A7AAB"/>
    <w:rsid w:val="1B2E0C1E"/>
    <w:rsid w:val="1B2F50C2"/>
    <w:rsid w:val="1B324BB2"/>
    <w:rsid w:val="1B3267B5"/>
    <w:rsid w:val="1B3501FE"/>
    <w:rsid w:val="1B3705F1"/>
    <w:rsid w:val="1B391A9C"/>
    <w:rsid w:val="1B3C77DE"/>
    <w:rsid w:val="1B4072CF"/>
    <w:rsid w:val="1B410951"/>
    <w:rsid w:val="1B4346C9"/>
    <w:rsid w:val="1B444488"/>
    <w:rsid w:val="1B4A1EFB"/>
    <w:rsid w:val="1B4A3CA9"/>
    <w:rsid w:val="1B4B17D0"/>
    <w:rsid w:val="1B4B5C73"/>
    <w:rsid w:val="1B4F12C0"/>
    <w:rsid w:val="1B520DB0"/>
    <w:rsid w:val="1B551BB4"/>
    <w:rsid w:val="1B55264E"/>
    <w:rsid w:val="1B5763C6"/>
    <w:rsid w:val="1B590390"/>
    <w:rsid w:val="1B5E1503"/>
    <w:rsid w:val="1B5E59A7"/>
    <w:rsid w:val="1B610FF3"/>
    <w:rsid w:val="1B617DDC"/>
    <w:rsid w:val="1B650AE3"/>
    <w:rsid w:val="1B682381"/>
    <w:rsid w:val="1B684130"/>
    <w:rsid w:val="1B6E246A"/>
    <w:rsid w:val="1B8371BB"/>
    <w:rsid w:val="1B8D1DE8"/>
    <w:rsid w:val="1B8E446A"/>
    <w:rsid w:val="1B917546"/>
    <w:rsid w:val="1B974A15"/>
    <w:rsid w:val="1B9B4505"/>
    <w:rsid w:val="1B9E2247"/>
    <w:rsid w:val="1B9F6522"/>
    <w:rsid w:val="1BA41F43"/>
    <w:rsid w:val="1BA6284B"/>
    <w:rsid w:val="1BA81698"/>
    <w:rsid w:val="1BAF1D5E"/>
    <w:rsid w:val="1BB2184F"/>
    <w:rsid w:val="1BB249FC"/>
    <w:rsid w:val="1BBE1FA1"/>
    <w:rsid w:val="1BBE6445"/>
    <w:rsid w:val="1BC13E66"/>
    <w:rsid w:val="1BC25DC8"/>
    <w:rsid w:val="1BC66BE3"/>
    <w:rsid w:val="1BC752FA"/>
    <w:rsid w:val="1BCC0B62"/>
    <w:rsid w:val="1BCD6688"/>
    <w:rsid w:val="1BCF3EC0"/>
    <w:rsid w:val="1BD05CC3"/>
    <w:rsid w:val="1BD143CB"/>
    <w:rsid w:val="1BD25A4D"/>
    <w:rsid w:val="1BDD4B1E"/>
    <w:rsid w:val="1BE67209"/>
    <w:rsid w:val="1BEA548C"/>
    <w:rsid w:val="1BEC2FB3"/>
    <w:rsid w:val="1BF00B53"/>
    <w:rsid w:val="1BF34341"/>
    <w:rsid w:val="1BF63E31"/>
    <w:rsid w:val="1BF9747E"/>
    <w:rsid w:val="1BFC2ACA"/>
    <w:rsid w:val="1BFE4A94"/>
    <w:rsid w:val="1C002CEE"/>
    <w:rsid w:val="1C0721E0"/>
    <w:rsid w:val="1C086791"/>
    <w:rsid w:val="1C0C71B1"/>
    <w:rsid w:val="1C1222ED"/>
    <w:rsid w:val="1C183DA8"/>
    <w:rsid w:val="1C187CE4"/>
    <w:rsid w:val="1C1918CE"/>
    <w:rsid w:val="1C1B78F6"/>
    <w:rsid w:val="1C1F6AB3"/>
    <w:rsid w:val="1C275D99"/>
    <w:rsid w:val="1C297D63"/>
    <w:rsid w:val="1C2C1601"/>
    <w:rsid w:val="1C2C4884"/>
    <w:rsid w:val="1C362480"/>
    <w:rsid w:val="1C381D54"/>
    <w:rsid w:val="1C393D1E"/>
    <w:rsid w:val="1C395ACC"/>
    <w:rsid w:val="1C3B1844"/>
    <w:rsid w:val="1C3D380E"/>
    <w:rsid w:val="1C3D765C"/>
    <w:rsid w:val="1C4921B3"/>
    <w:rsid w:val="1C495A9D"/>
    <w:rsid w:val="1C4C57FF"/>
    <w:rsid w:val="1C4E0B38"/>
    <w:rsid w:val="1C5341C9"/>
    <w:rsid w:val="1C534DE0"/>
    <w:rsid w:val="1C5648D0"/>
    <w:rsid w:val="1C5C1B50"/>
    <w:rsid w:val="1C5D5C5E"/>
    <w:rsid w:val="1C5D7A0C"/>
    <w:rsid w:val="1C5E227A"/>
    <w:rsid w:val="1C5E4627"/>
    <w:rsid w:val="1C5E7925"/>
    <w:rsid w:val="1C6074FD"/>
    <w:rsid w:val="1C654B13"/>
    <w:rsid w:val="1C6A2129"/>
    <w:rsid w:val="1C6A3ED7"/>
    <w:rsid w:val="1C6C40F3"/>
    <w:rsid w:val="1C6E1C1A"/>
    <w:rsid w:val="1C6E39C8"/>
    <w:rsid w:val="1C7020CB"/>
    <w:rsid w:val="1C704EFA"/>
    <w:rsid w:val="1C712CA5"/>
    <w:rsid w:val="1C735482"/>
    <w:rsid w:val="1C744EE3"/>
    <w:rsid w:val="1C746B04"/>
    <w:rsid w:val="1C780121"/>
    <w:rsid w:val="1C784846"/>
    <w:rsid w:val="1C7B4336"/>
    <w:rsid w:val="1C7D5549"/>
    <w:rsid w:val="1C80194D"/>
    <w:rsid w:val="1C821221"/>
    <w:rsid w:val="1C827473"/>
    <w:rsid w:val="1C8608D3"/>
    <w:rsid w:val="1C8615F4"/>
    <w:rsid w:val="1C887FC8"/>
    <w:rsid w:val="1C8D6788"/>
    <w:rsid w:val="1C901B90"/>
    <w:rsid w:val="1C9553F8"/>
    <w:rsid w:val="1C97240B"/>
    <w:rsid w:val="1CA13D9D"/>
    <w:rsid w:val="1CA218C3"/>
    <w:rsid w:val="1CA23671"/>
    <w:rsid w:val="1CA613B3"/>
    <w:rsid w:val="1CA636C0"/>
    <w:rsid w:val="1CA76006"/>
    <w:rsid w:val="1CA94A00"/>
    <w:rsid w:val="1CAC44F0"/>
    <w:rsid w:val="1CB02232"/>
    <w:rsid w:val="1CB3762C"/>
    <w:rsid w:val="1CB533A4"/>
    <w:rsid w:val="1CB65678"/>
    <w:rsid w:val="1CB6711D"/>
    <w:rsid w:val="1CB735C0"/>
    <w:rsid w:val="1CBA6C0D"/>
    <w:rsid w:val="1CBD494F"/>
    <w:rsid w:val="1CBF06C7"/>
    <w:rsid w:val="1CBF7DC7"/>
    <w:rsid w:val="1CC22144"/>
    <w:rsid w:val="1CC47DA2"/>
    <w:rsid w:val="1CC614DF"/>
    <w:rsid w:val="1CC63804"/>
    <w:rsid w:val="1CCE090A"/>
    <w:rsid w:val="1CCE26B8"/>
    <w:rsid w:val="1CCE7662"/>
    <w:rsid w:val="1CD06827"/>
    <w:rsid w:val="1CD11779"/>
    <w:rsid w:val="1CD777BF"/>
    <w:rsid w:val="1CD83537"/>
    <w:rsid w:val="1CE1063D"/>
    <w:rsid w:val="1CE27F12"/>
    <w:rsid w:val="1CE56751"/>
    <w:rsid w:val="1CF163A7"/>
    <w:rsid w:val="1CF245F9"/>
    <w:rsid w:val="1CF7783C"/>
    <w:rsid w:val="1CFA34AD"/>
    <w:rsid w:val="1D016F30"/>
    <w:rsid w:val="1D0221D5"/>
    <w:rsid w:val="1D0A6937"/>
    <w:rsid w:val="1D0B5412"/>
    <w:rsid w:val="1D0D1432"/>
    <w:rsid w:val="1D0D31E0"/>
    <w:rsid w:val="1D100F23"/>
    <w:rsid w:val="1D1218AC"/>
    <w:rsid w:val="1D13631D"/>
    <w:rsid w:val="1D175E0D"/>
    <w:rsid w:val="1D181F30"/>
    <w:rsid w:val="1D1C1676"/>
    <w:rsid w:val="1D1E2032"/>
    <w:rsid w:val="1D1E53EE"/>
    <w:rsid w:val="1D1E587E"/>
    <w:rsid w:val="1D2422D8"/>
    <w:rsid w:val="1D28776C"/>
    <w:rsid w:val="1D2B5F1E"/>
    <w:rsid w:val="1D2D2BDC"/>
    <w:rsid w:val="1D343C6E"/>
    <w:rsid w:val="1D3502B9"/>
    <w:rsid w:val="1D3764AF"/>
    <w:rsid w:val="1D3C5874"/>
    <w:rsid w:val="1D3F5364"/>
    <w:rsid w:val="1D3F7450"/>
    <w:rsid w:val="1D4166B7"/>
    <w:rsid w:val="1D454590"/>
    <w:rsid w:val="1D4571D1"/>
    <w:rsid w:val="1D4604A0"/>
    <w:rsid w:val="1D496BFF"/>
    <w:rsid w:val="1D4B1F5B"/>
    <w:rsid w:val="1D4F1A4B"/>
    <w:rsid w:val="1D50131F"/>
    <w:rsid w:val="1D57445C"/>
    <w:rsid w:val="1D5C7CC4"/>
    <w:rsid w:val="1D5F5A06"/>
    <w:rsid w:val="1D5F6196"/>
    <w:rsid w:val="1D6132A5"/>
    <w:rsid w:val="1D632E00"/>
    <w:rsid w:val="1D6D43E9"/>
    <w:rsid w:val="1D701DA4"/>
    <w:rsid w:val="1D707B38"/>
    <w:rsid w:val="1D7141FA"/>
    <w:rsid w:val="1D756FD8"/>
    <w:rsid w:val="1D757536"/>
    <w:rsid w:val="1D7B2840"/>
    <w:rsid w:val="1D813BCE"/>
    <w:rsid w:val="1D85546D"/>
    <w:rsid w:val="1D85652A"/>
    <w:rsid w:val="1D8611E5"/>
    <w:rsid w:val="1D8E56D5"/>
    <w:rsid w:val="1D990760"/>
    <w:rsid w:val="1D9E279F"/>
    <w:rsid w:val="1DA02130"/>
    <w:rsid w:val="1DA17DCD"/>
    <w:rsid w:val="1DB541DC"/>
    <w:rsid w:val="1DB775F0"/>
    <w:rsid w:val="1DB814F0"/>
    <w:rsid w:val="1DB93368"/>
    <w:rsid w:val="1DBE44DB"/>
    <w:rsid w:val="1DC064A5"/>
    <w:rsid w:val="1DC15D79"/>
    <w:rsid w:val="1DC37D43"/>
    <w:rsid w:val="1DC6338F"/>
    <w:rsid w:val="1DC835AB"/>
    <w:rsid w:val="1DCA2E80"/>
    <w:rsid w:val="1DCA7323"/>
    <w:rsid w:val="1DCF493A"/>
    <w:rsid w:val="1DCF66E8"/>
    <w:rsid w:val="1DD36FAD"/>
    <w:rsid w:val="1DD41F50"/>
    <w:rsid w:val="1DD72298"/>
    <w:rsid w:val="1DD737EE"/>
    <w:rsid w:val="1DD7559C"/>
    <w:rsid w:val="1DD849C1"/>
    <w:rsid w:val="1DDE2731"/>
    <w:rsid w:val="1DDF327B"/>
    <w:rsid w:val="1DDF4DA5"/>
    <w:rsid w:val="1DE005BB"/>
    <w:rsid w:val="1DE71C83"/>
    <w:rsid w:val="1DE76E33"/>
    <w:rsid w:val="1DEA6122"/>
    <w:rsid w:val="1DEB1048"/>
    <w:rsid w:val="1DEC729A"/>
    <w:rsid w:val="1DED6B6E"/>
    <w:rsid w:val="1DEE3DF0"/>
    <w:rsid w:val="1DEF6D8A"/>
    <w:rsid w:val="1DF20628"/>
    <w:rsid w:val="1DF47922"/>
    <w:rsid w:val="1DF61EC7"/>
    <w:rsid w:val="1DF63C75"/>
    <w:rsid w:val="1DFC3255"/>
    <w:rsid w:val="1DFE001E"/>
    <w:rsid w:val="1DFE521F"/>
    <w:rsid w:val="1E01086B"/>
    <w:rsid w:val="1E022BB7"/>
    <w:rsid w:val="1E026ABD"/>
    <w:rsid w:val="1E075E82"/>
    <w:rsid w:val="1E087E4C"/>
    <w:rsid w:val="1E0A7E55"/>
    <w:rsid w:val="1E0F0A85"/>
    <w:rsid w:val="1E1503D5"/>
    <w:rsid w:val="1E18340C"/>
    <w:rsid w:val="1E1B192D"/>
    <w:rsid w:val="1E1E31CB"/>
    <w:rsid w:val="1E214A6A"/>
    <w:rsid w:val="1E222CBC"/>
    <w:rsid w:val="1E2307E2"/>
    <w:rsid w:val="1E236A34"/>
    <w:rsid w:val="1E256308"/>
    <w:rsid w:val="1E276524"/>
    <w:rsid w:val="1E326C77"/>
    <w:rsid w:val="1E37428D"/>
    <w:rsid w:val="1E3D5D47"/>
    <w:rsid w:val="1E3D7AF5"/>
    <w:rsid w:val="1E424F38"/>
    <w:rsid w:val="1E466012"/>
    <w:rsid w:val="1E4A0464"/>
    <w:rsid w:val="1E51534F"/>
    <w:rsid w:val="1E54535D"/>
    <w:rsid w:val="1E592455"/>
    <w:rsid w:val="1E5934C4"/>
    <w:rsid w:val="1E5A7901"/>
    <w:rsid w:val="1E623DBD"/>
    <w:rsid w:val="1E62755C"/>
    <w:rsid w:val="1E693DBB"/>
    <w:rsid w:val="1E6E627A"/>
    <w:rsid w:val="1E763007"/>
    <w:rsid w:val="1E780D78"/>
    <w:rsid w:val="1E7A43DA"/>
    <w:rsid w:val="1E7B6870"/>
    <w:rsid w:val="1E803E86"/>
    <w:rsid w:val="1E854FF8"/>
    <w:rsid w:val="1E875215"/>
    <w:rsid w:val="1E8A0861"/>
    <w:rsid w:val="1E8B309A"/>
    <w:rsid w:val="1E8E20FF"/>
    <w:rsid w:val="1E917E41"/>
    <w:rsid w:val="1E967206"/>
    <w:rsid w:val="1E9A6CF6"/>
    <w:rsid w:val="1EA36355"/>
    <w:rsid w:val="1EA47B74"/>
    <w:rsid w:val="1EA57449"/>
    <w:rsid w:val="1EA9518B"/>
    <w:rsid w:val="1EAA4A5F"/>
    <w:rsid w:val="1EAE7EC3"/>
    <w:rsid w:val="1EAF19E3"/>
    <w:rsid w:val="1EB06519"/>
    <w:rsid w:val="1EB277FE"/>
    <w:rsid w:val="1EB458DE"/>
    <w:rsid w:val="1EB93509"/>
    <w:rsid w:val="1EBA2EF4"/>
    <w:rsid w:val="1EC04283"/>
    <w:rsid w:val="1EC22CE6"/>
    <w:rsid w:val="1EC26318"/>
    <w:rsid w:val="1EC5276A"/>
    <w:rsid w:val="1EC91389"/>
    <w:rsid w:val="1ECE699F"/>
    <w:rsid w:val="1ED02718"/>
    <w:rsid w:val="1ED04E2F"/>
    <w:rsid w:val="1ED41ADC"/>
    <w:rsid w:val="1ED96E25"/>
    <w:rsid w:val="1EDD3086"/>
    <w:rsid w:val="1EE52A7C"/>
    <w:rsid w:val="1EE9589D"/>
    <w:rsid w:val="1EF06916"/>
    <w:rsid w:val="1EF26B32"/>
    <w:rsid w:val="1EF36406"/>
    <w:rsid w:val="1EF53F2C"/>
    <w:rsid w:val="1EF65EF6"/>
    <w:rsid w:val="1EFA027C"/>
    <w:rsid w:val="1EFA0440"/>
    <w:rsid w:val="1EFA1543"/>
    <w:rsid w:val="1EFB52BB"/>
    <w:rsid w:val="1EFC175F"/>
    <w:rsid w:val="1EFF124F"/>
    <w:rsid w:val="1EFF4DAB"/>
    <w:rsid w:val="1F007446"/>
    <w:rsid w:val="1F074B01"/>
    <w:rsid w:val="1F0B19A2"/>
    <w:rsid w:val="1F0D7EAC"/>
    <w:rsid w:val="1F0E3240"/>
    <w:rsid w:val="1F100D66"/>
    <w:rsid w:val="1F122D30"/>
    <w:rsid w:val="1F15637C"/>
    <w:rsid w:val="1F172EB5"/>
    <w:rsid w:val="1F1C3BAF"/>
    <w:rsid w:val="1F1D16D5"/>
    <w:rsid w:val="1F2111C5"/>
    <w:rsid w:val="1F2729AA"/>
    <w:rsid w:val="1F29007A"/>
    <w:rsid w:val="1F291E28"/>
    <w:rsid w:val="1F2E3015"/>
    <w:rsid w:val="1F370744"/>
    <w:rsid w:val="1F38206B"/>
    <w:rsid w:val="1F394761"/>
    <w:rsid w:val="1F3A2287"/>
    <w:rsid w:val="1F4206BA"/>
    <w:rsid w:val="1F4629DA"/>
    <w:rsid w:val="1F477846"/>
    <w:rsid w:val="1F4E188E"/>
    <w:rsid w:val="1F4E5D32"/>
    <w:rsid w:val="1F552C1D"/>
    <w:rsid w:val="1F642E60"/>
    <w:rsid w:val="1F645556"/>
    <w:rsid w:val="1F684FAA"/>
    <w:rsid w:val="1F6B0692"/>
    <w:rsid w:val="1F6B1689"/>
    <w:rsid w:val="1F6B2440"/>
    <w:rsid w:val="1F6E69E8"/>
    <w:rsid w:val="1F7363E0"/>
    <w:rsid w:val="1F777037"/>
    <w:rsid w:val="1F784B5D"/>
    <w:rsid w:val="1F7861BF"/>
    <w:rsid w:val="1F7F5EEC"/>
    <w:rsid w:val="1F8710F0"/>
    <w:rsid w:val="1F89011A"/>
    <w:rsid w:val="1F8A1EBA"/>
    <w:rsid w:val="1F8F4381"/>
    <w:rsid w:val="1F901EA7"/>
    <w:rsid w:val="1F9279CD"/>
    <w:rsid w:val="1F947BE9"/>
    <w:rsid w:val="1F9D6372"/>
    <w:rsid w:val="1F9E45C4"/>
    <w:rsid w:val="1FA47700"/>
    <w:rsid w:val="1FA75BF8"/>
    <w:rsid w:val="1FAB4F33"/>
    <w:rsid w:val="1FAD2A59"/>
    <w:rsid w:val="1FB05A0C"/>
    <w:rsid w:val="1FB45B95"/>
    <w:rsid w:val="1FB77434"/>
    <w:rsid w:val="1FBC2C9C"/>
    <w:rsid w:val="1FBE6A14"/>
    <w:rsid w:val="1FC009DE"/>
    <w:rsid w:val="1FC075B8"/>
    <w:rsid w:val="1FC446C3"/>
    <w:rsid w:val="1FC85AE5"/>
    <w:rsid w:val="1FCA4EE8"/>
    <w:rsid w:val="1FCD30FB"/>
    <w:rsid w:val="1FCF0C21"/>
    <w:rsid w:val="1FD04999"/>
    <w:rsid w:val="1FD44489"/>
    <w:rsid w:val="1FD61FB0"/>
    <w:rsid w:val="1FD75D28"/>
    <w:rsid w:val="1FD955FC"/>
    <w:rsid w:val="1FDE70B6"/>
    <w:rsid w:val="1FDF5A2B"/>
    <w:rsid w:val="1FE10954"/>
    <w:rsid w:val="1FE25C23"/>
    <w:rsid w:val="1FE67D19"/>
    <w:rsid w:val="1FE7539E"/>
    <w:rsid w:val="1FE805BF"/>
    <w:rsid w:val="1FF24910"/>
    <w:rsid w:val="1FF468DA"/>
    <w:rsid w:val="1FF561AE"/>
    <w:rsid w:val="1FF71F26"/>
    <w:rsid w:val="1FF941E7"/>
    <w:rsid w:val="1FFC12EA"/>
    <w:rsid w:val="200059F9"/>
    <w:rsid w:val="2000702C"/>
    <w:rsid w:val="2005311A"/>
    <w:rsid w:val="20142AD8"/>
    <w:rsid w:val="20146634"/>
    <w:rsid w:val="201C198C"/>
    <w:rsid w:val="201E5705"/>
    <w:rsid w:val="20216FA3"/>
    <w:rsid w:val="20230F6D"/>
    <w:rsid w:val="202820DF"/>
    <w:rsid w:val="202F346E"/>
    <w:rsid w:val="20344F28"/>
    <w:rsid w:val="20370574"/>
    <w:rsid w:val="20481C2A"/>
    <w:rsid w:val="204A2ABA"/>
    <w:rsid w:val="204A3E24"/>
    <w:rsid w:val="204A64FA"/>
    <w:rsid w:val="204C4020"/>
    <w:rsid w:val="204D3B51"/>
    <w:rsid w:val="204F1D62"/>
    <w:rsid w:val="20515ADA"/>
    <w:rsid w:val="2059673D"/>
    <w:rsid w:val="205C7FDB"/>
    <w:rsid w:val="206155F1"/>
    <w:rsid w:val="20623843"/>
    <w:rsid w:val="20631369"/>
    <w:rsid w:val="20642787"/>
    <w:rsid w:val="206A26F8"/>
    <w:rsid w:val="206F41B2"/>
    <w:rsid w:val="20745325"/>
    <w:rsid w:val="20782F99"/>
    <w:rsid w:val="20796DDF"/>
    <w:rsid w:val="207B1DBD"/>
    <w:rsid w:val="207B2B57"/>
    <w:rsid w:val="207D46DD"/>
    <w:rsid w:val="207D4F96"/>
    <w:rsid w:val="2080016D"/>
    <w:rsid w:val="208211C5"/>
    <w:rsid w:val="208512E0"/>
    <w:rsid w:val="20860302"/>
    <w:rsid w:val="208D2370"/>
    <w:rsid w:val="208D2BA8"/>
    <w:rsid w:val="208E4638"/>
    <w:rsid w:val="20913FE3"/>
    <w:rsid w:val="2094622D"/>
    <w:rsid w:val="20963CB8"/>
    <w:rsid w:val="20967991"/>
    <w:rsid w:val="209727B1"/>
    <w:rsid w:val="209A4DF9"/>
    <w:rsid w:val="209A56C0"/>
    <w:rsid w:val="209B0B03"/>
    <w:rsid w:val="209B4FA7"/>
    <w:rsid w:val="20A7400A"/>
    <w:rsid w:val="20A92DD4"/>
    <w:rsid w:val="20AD0837"/>
    <w:rsid w:val="20B07FB6"/>
    <w:rsid w:val="20B10327"/>
    <w:rsid w:val="20B15C43"/>
    <w:rsid w:val="20B240CD"/>
    <w:rsid w:val="20B46688"/>
    <w:rsid w:val="20B61A5F"/>
    <w:rsid w:val="20B61DE1"/>
    <w:rsid w:val="20BB73F7"/>
    <w:rsid w:val="20C04A0E"/>
    <w:rsid w:val="20C22534"/>
    <w:rsid w:val="20C33369"/>
    <w:rsid w:val="20C41A43"/>
    <w:rsid w:val="20C92CE4"/>
    <w:rsid w:val="20C95670"/>
    <w:rsid w:val="20CA1394"/>
    <w:rsid w:val="20CA763A"/>
    <w:rsid w:val="20D52267"/>
    <w:rsid w:val="20DA7812"/>
    <w:rsid w:val="20DB53A4"/>
    <w:rsid w:val="20DD111C"/>
    <w:rsid w:val="20DD55C0"/>
    <w:rsid w:val="20E029BA"/>
    <w:rsid w:val="20E22BD6"/>
    <w:rsid w:val="20E73D48"/>
    <w:rsid w:val="20E976FD"/>
    <w:rsid w:val="20EA55E7"/>
    <w:rsid w:val="20EE50D7"/>
    <w:rsid w:val="20F3403C"/>
    <w:rsid w:val="20F36B91"/>
    <w:rsid w:val="20FA198E"/>
    <w:rsid w:val="20FD17BE"/>
    <w:rsid w:val="20FD555F"/>
    <w:rsid w:val="2100305C"/>
    <w:rsid w:val="21010555"/>
    <w:rsid w:val="21022930"/>
    <w:rsid w:val="210727E0"/>
    <w:rsid w:val="210E5779"/>
    <w:rsid w:val="210F1418"/>
    <w:rsid w:val="210F504D"/>
    <w:rsid w:val="211014F1"/>
    <w:rsid w:val="21105108"/>
    <w:rsid w:val="211508B6"/>
    <w:rsid w:val="211663DC"/>
    <w:rsid w:val="211E7016"/>
    <w:rsid w:val="212154AC"/>
    <w:rsid w:val="21246D4B"/>
    <w:rsid w:val="2129610F"/>
    <w:rsid w:val="212E1977"/>
    <w:rsid w:val="21313216"/>
    <w:rsid w:val="21350F58"/>
    <w:rsid w:val="213A544A"/>
    <w:rsid w:val="213B74B1"/>
    <w:rsid w:val="213F5933"/>
    <w:rsid w:val="21425423"/>
    <w:rsid w:val="2144119B"/>
    <w:rsid w:val="21455F13"/>
    <w:rsid w:val="2147185A"/>
    <w:rsid w:val="21472A39"/>
    <w:rsid w:val="214C004F"/>
    <w:rsid w:val="214D3F8A"/>
    <w:rsid w:val="214E5B76"/>
    <w:rsid w:val="21507B40"/>
    <w:rsid w:val="21537DD8"/>
    <w:rsid w:val="215869F4"/>
    <w:rsid w:val="215A2310"/>
    <w:rsid w:val="215C2F2C"/>
    <w:rsid w:val="215D400B"/>
    <w:rsid w:val="215F5FD5"/>
    <w:rsid w:val="21611D4D"/>
    <w:rsid w:val="21630D81"/>
    <w:rsid w:val="216474C2"/>
    <w:rsid w:val="21696E53"/>
    <w:rsid w:val="216B6728"/>
    <w:rsid w:val="216C32A0"/>
    <w:rsid w:val="216C4D8D"/>
    <w:rsid w:val="21717AB6"/>
    <w:rsid w:val="21725D08"/>
    <w:rsid w:val="2174620A"/>
    <w:rsid w:val="217F21D3"/>
    <w:rsid w:val="2186530F"/>
    <w:rsid w:val="218B5160"/>
    <w:rsid w:val="219263AA"/>
    <w:rsid w:val="219571ED"/>
    <w:rsid w:val="21957C48"/>
    <w:rsid w:val="21A1039B"/>
    <w:rsid w:val="21A1530E"/>
    <w:rsid w:val="21AE2AB8"/>
    <w:rsid w:val="21B14C75"/>
    <w:rsid w:val="21B75E11"/>
    <w:rsid w:val="21B77BBF"/>
    <w:rsid w:val="21B856E5"/>
    <w:rsid w:val="21C1459A"/>
    <w:rsid w:val="21C347B6"/>
    <w:rsid w:val="21C34E99"/>
    <w:rsid w:val="21C661A1"/>
    <w:rsid w:val="21CF0F83"/>
    <w:rsid w:val="21CF1302"/>
    <w:rsid w:val="21D175BF"/>
    <w:rsid w:val="21D3043D"/>
    <w:rsid w:val="21D40771"/>
    <w:rsid w:val="21D818E3"/>
    <w:rsid w:val="21DC74DE"/>
    <w:rsid w:val="21DD6EFA"/>
    <w:rsid w:val="21DE318A"/>
    <w:rsid w:val="21DE339D"/>
    <w:rsid w:val="21E03C1E"/>
    <w:rsid w:val="21E13187"/>
    <w:rsid w:val="21E309B4"/>
    <w:rsid w:val="21EB1616"/>
    <w:rsid w:val="21ED0E6A"/>
    <w:rsid w:val="21EE1107"/>
    <w:rsid w:val="21EF5B80"/>
    <w:rsid w:val="21F11323"/>
    <w:rsid w:val="21F4496F"/>
    <w:rsid w:val="21F7445F"/>
    <w:rsid w:val="21FA58CD"/>
    <w:rsid w:val="21FA6D5D"/>
    <w:rsid w:val="21FB6297"/>
    <w:rsid w:val="21FD6D7A"/>
    <w:rsid w:val="2201708C"/>
    <w:rsid w:val="22124DF5"/>
    <w:rsid w:val="221376EB"/>
    <w:rsid w:val="2217240B"/>
    <w:rsid w:val="22192627"/>
    <w:rsid w:val="221A1EFC"/>
    <w:rsid w:val="221A3776"/>
    <w:rsid w:val="221B56B0"/>
    <w:rsid w:val="221D1128"/>
    <w:rsid w:val="221D369C"/>
    <w:rsid w:val="222608A0"/>
    <w:rsid w:val="22280ABD"/>
    <w:rsid w:val="222C235B"/>
    <w:rsid w:val="222D26E1"/>
    <w:rsid w:val="222D60D3"/>
    <w:rsid w:val="222F3BF9"/>
    <w:rsid w:val="223631D9"/>
    <w:rsid w:val="22394A78"/>
    <w:rsid w:val="22396826"/>
    <w:rsid w:val="223F04E2"/>
    <w:rsid w:val="22405E06"/>
    <w:rsid w:val="22407BB4"/>
    <w:rsid w:val="224736DC"/>
    <w:rsid w:val="224A458F"/>
    <w:rsid w:val="224D0523"/>
    <w:rsid w:val="224E3F10"/>
    <w:rsid w:val="224F1189"/>
    <w:rsid w:val="22511DC1"/>
    <w:rsid w:val="22525217"/>
    <w:rsid w:val="22576990"/>
    <w:rsid w:val="22590C76"/>
    <w:rsid w:val="225A0088"/>
    <w:rsid w:val="225A426B"/>
    <w:rsid w:val="225B2C40"/>
    <w:rsid w:val="225B7477"/>
    <w:rsid w:val="225D3A4C"/>
    <w:rsid w:val="225F35EB"/>
    <w:rsid w:val="22632A99"/>
    <w:rsid w:val="2265761B"/>
    <w:rsid w:val="22680EB9"/>
    <w:rsid w:val="22702C63"/>
    <w:rsid w:val="22723AE6"/>
    <w:rsid w:val="22753050"/>
    <w:rsid w:val="22784192"/>
    <w:rsid w:val="22806203"/>
    <w:rsid w:val="22821F7B"/>
    <w:rsid w:val="228C5D81"/>
    <w:rsid w:val="228D4F28"/>
    <w:rsid w:val="22925F36"/>
    <w:rsid w:val="22943A5C"/>
    <w:rsid w:val="2298179E"/>
    <w:rsid w:val="22993768"/>
    <w:rsid w:val="229C4EAB"/>
    <w:rsid w:val="22AC2B5D"/>
    <w:rsid w:val="22AF0896"/>
    <w:rsid w:val="22B674CB"/>
    <w:rsid w:val="22B70195"/>
    <w:rsid w:val="22BA0BC0"/>
    <w:rsid w:val="22BF62A8"/>
    <w:rsid w:val="22C02AA3"/>
    <w:rsid w:val="22C2681B"/>
    <w:rsid w:val="22C2713B"/>
    <w:rsid w:val="22C5455D"/>
    <w:rsid w:val="22C55A01"/>
    <w:rsid w:val="22C81958"/>
    <w:rsid w:val="22CB70E1"/>
    <w:rsid w:val="22CC1448"/>
    <w:rsid w:val="22D50B4C"/>
    <w:rsid w:val="22DB168B"/>
    <w:rsid w:val="22DB78DD"/>
    <w:rsid w:val="22DF12E8"/>
    <w:rsid w:val="22E20C6B"/>
    <w:rsid w:val="22E26EBD"/>
    <w:rsid w:val="22E370DD"/>
    <w:rsid w:val="22E42C35"/>
    <w:rsid w:val="22E5075C"/>
    <w:rsid w:val="22E9024C"/>
    <w:rsid w:val="22EC0514"/>
    <w:rsid w:val="22EC1AEA"/>
    <w:rsid w:val="22EC3898"/>
    <w:rsid w:val="22EC40DB"/>
    <w:rsid w:val="22EF3388"/>
    <w:rsid w:val="22EF5136"/>
    <w:rsid w:val="22F10325"/>
    <w:rsid w:val="22F32E79"/>
    <w:rsid w:val="22F36224"/>
    <w:rsid w:val="22F626D9"/>
    <w:rsid w:val="22F95FB5"/>
    <w:rsid w:val="22F97D63"/>
    <w:rsid w:val="22FA5320"/>
    <w:rsid w:val="23005752"/>
    <w:rsid w:val="230307BE"/>
    <w:rsid w:val="23052BAC"/>
    <w:rsid w:val="230706D2"/>
    <w:rsid w:val="230B3A9D"/>
    <w:rsid w:val="231057D9"/>
    <w:rsid w:val="23124597"/>
    <w:rsid w:val="23150953"/>
    <w:rsid w:val="23181CF2"/>
    <w:rsid w:val="23187C1A"/>
    <w:rsid w:val="231A09C1"/>
    <w:rsid w:val="23250B58"/>
    <w:rsid w:val="23256DAA"/>
    <w:rsid w:val="23264FFC"/>
    <w:rsid w:val="23270D74"/>
    <w:rsid w:val="232A43C0"/>
    <w:rsid w:val="232C1EE7"/>
    <w:rsid w:val="232E2103"/>
    <w:rsid w:val="2331574F"/>
    <w:rsid w:val="23343401"/>
    <w:rsid w:val="23362D65"/>
    <w:rsid w:val="233C481F"/>
    <w:rsid w:val="2342795C"/>
    <w:rsid w:val="2346744C"/>
    <w:rsid w:val="234A05BF"/>
    <w:rsid w:val="234B6811"/>
    <w:rsid w:val="234E6301"/>
    <w:rsid w:val="23520BD5"/>
    <w:rsid w:val="235558E1"/>
    <w:rsid w:val="2355768F"/>
    <w:rsid w:val="235A0D1F"/>
    <w:rsid w:val="23607DE2"/>
    <w:rsid w:val="23625212"/>
    <w:rsid w:val="23627FFE"/>
    <w:rsid w:val="236553F8"/>
    <w:rsid w:val="23696C97"/>
    <w:rsid w:val="236C49D9"/>
    <w:rsid w:val="236E0751"/>
    <w:rsid w:val="236E6522"/>
    <w:rsid w:val="23720241"/>
    <w:rsid w:val="23735D67"/>
    <w:rsid w:val="23765646"/>
    <w:rsid w:val="2378512C"/>
    <w:rsid w:val="237A70F6"/>
    <w:rsid w:val="237C2E6E"/>
    <w:rsid w:val="23817A20"/>
    <w:rsid w:val="23827D58"/>
    <w:rsid w:val="238D507B"/>
    <w:rsid w:val="23902475"/>
    <w:rsid w:val="239051F6"/>
    <w:rsid w:val="23922691"/>
    <w:rsid w:val="23975438"/>
    <w:rsid w:val="23983A20"/>
    <w:rsid w:val="239A32F4"/>
    <w:rsid w:val="239D2DE4"/>
    <w:rsid w:val="23A67EEB"/>
    <w:rsid w:val="23A979DB"/>
    <w:rsid w:val="23B00D6A"/>
    <w:rsid w:val="23B4085A"/>
    <w:rsid w:val="23B51EDC"/>
    <w:rsid w:val="23B753E0"/>
    <w:rsid w:val="23BA5744"/>
    <w:rsid w:val="23BE146B"/>
    <w:rsid w:val="23BE2382"/>
    <w:rsid w:val="23C05D79"/>
    <w:rsid w:val="23C10881"/>
    <w:rsid w:val="23C14D25"/>
    <w:rsid w:val="23C16AD3"/>
    <w:rsid w:val="23C71C0F"/>
    <w:rsid w:val="23C94B75"/>
    <w:rsid w:val="23CD191B"/>
    <w:rsid w:val="23CD5478"/>
    <w:rsid w:val="23CE0B11"/>
    <w:rsid w:val="23CE11F0"/>
    <w:rsid w:val="23CE7442"/>
    <w:rsid w:val="23D21AEA"/>
    <w:rsid w:val="23D46F68"/>
    <w:rsid w:val="23D9206E"/>
    <w:rsid w:val="23DA4A93"/>
    <w:rsid w:val="23DC3528"/>
    <w:rsid w:val="23DC390D"/>
    <w:rsid w:val="23DD3EED"/>
    <w:rsid w:val="23DE15D6"/>
    <w:rsid w:val="23E2215F"/>
    <w:rsid w:val="23E32EED"/>
    <w:rsid w:val="23E70CF0"/>
    <w:rsid w:val="23E95F3E"/>
    <w:rsid w:val="23EB3172"/>
    <w:rsid w:val="23ED78C8"/>
    <w:rsid w:val="23EF6DDD"/>
    <w:rsid w:val="23F24EDE"/>
    <w:rsid w:val="23F724F4"/>
    <w:rsid w:val="23FA1FE5"/>
    <w:rsid w:val="23FC4938"/>
    <w:rsid w:val="24014C67"/>
    <w:rsid w:val="24062738"/>
    <w:rsid w:val="24083C50"/>
    <w:rsid w:val="240864B0"/>
    <w:rsid w:val="240D3AC6"/>
    <w:rsid w:val="241412F8"/>
    <w:rsid w:val="24174945"/>
    <w:rsid w:val="241B709D"/>
    <w:rsid w:val="242332EA"/>
    <w:rsid w:val="242846A7"/>
    <w:rsid w:val="242D23BA"/>
    <w:rsid w:val="24373239"/>
    <w:rsid w:val="24383F19"/>
    <w:rsid w:val="24413208"/>
    <w:rsid w:val="2441678D"/>
    <w:rsid w:val="2444010B"/>
    <w:rsid w:val="24446896"/>
    <w:rsid w:val="244A2F6C"/>
    <w:rsid w:val="244E3A9F"/>
    <w:rsid w:val="244F2331"/>
    <w:rsid w:val="244F40DF"/>
    <w:rsid w:val="24547947"/>
    <w:rsid w:val="245729C4"/>
    <w:rsid w:val="245C4A4D"/>
    <w:rsid w:val="245E2574"/>
    <w:rsid w:val="24661642"/>
    <w:rsid w:val="246B4E01"/>
    <w:rsid w:val="246C3C2F"/>
    <w:rsid w:val="246F4781"/>
    <w:rsid w:val="247052DC"/>
    <w:rsid w:val="247104F9"/>
    <w:rsid w:val="24735AD4"/>
    <w:rsid w:val="247509BC"/>
    <w:rsid w:val="247578BD"/>
    <w:rsid w:val="24773635"/>
    <w:rsid w:val="247C660B"/>
    <w:rsid w:val="24863878"/>
    <w:rsid w:val="2487585F"/>
    <w:rsid w:val="248B7CD0"/>
    <w:rsid w:val="248F6BD1"/>
    <w:rsid w:val="24942439"/>
    <w:rsid w:val="249441E7"/>
    <w:rsid w:val="249B0B09"/>
    <w:rsid w:val="24A0493A"/>
    <w:rsid w:val="24A106B2"/>
    <w:rsid w:val="24A23DB7"/>
    <w:rsid w:val="24AA57B9"/>
    <w:rsid w:val="24AE5267"/>
    <w:rsid w:val="24B31DC2"/>
    <w:rsid w:val="24B634E8"/>
    <w:rsid w:val="24BB1774"/>
    <w:rsid w:val="24BB2C9E"/>
    <w:rsid w:val="24BB4180"/>
    <w:rsid w:val="24C148B0"/>
    <w:rsid w:val="24C20D54"/>
    <w:rsid w:val="24C21763"/>
    <w:rsid w:val="24CA19B7"/>
    <w:rsid w:val="24CD11E7"/>
    <w:rsid w:val="24CD76F9"/>
    <w:rsid w:val="24CE594B"/>
    <w:rsid w:val="24D3426C"/>
    <w:rsid w:val="24D40A88"/>
    <w:rsid w:val="24DF6C29"/>
    <w:rsid w:val="24E579C1"/>
    <w:rsid w:val="24E61397"/>
    <w:rsid w:val="24E76A0D"/>
    <w:rsid w:val="24EA11A8"/>
    <w:rsid w:val="24ED56A6"/>
    <w:rsid w:val="24EE1B49"/>
    <w:rsid w:val="24F25D15"/>
    <w:rsid w:val="24F42ED8"/>
    <w:rsid w:val="24F469CF"/>
    <w:rsid w:val="24F66C50"/>
    <w:rsid w:val="24F84776"/>
    <w:rsid w:val="24FB4266"/>
    <w:rsid w:val="24FB6014"/>
    <w:rsid w:val="2503311B"/>
    <w:rsid w:val="25045019"/>
    <w:rsid w:val="25050C41"/>
    <w:rsid w:val="25076767"/>
    <w:rsid w:val="250C1FD0"/>
    <w:rsid w:val="250C6474"/>
    <w:rsid w:val="25115838"/>
    <w:rsid w:val="25132A7F"/>
    <w:rsid w:val="25186BC6"/>
    <w:rsid w:val="251B2B2D"/>
    <w:rsid w:val="251B3144"/>
    <w:rsid w:val="25203CCD"/>
    <w:rsid w:val="2524556B"/>
    <w:rsid w:val="252B4B4C"/>
    <w:rsid w:val="252D53FE"/>
    <w:rsid w:val="253B28B5"/>
    <w:rsid w:val="253F0438"/>
    <w:rsid w:val="253F69F2"/>
    <w:rsid w:val="25401C79"/>
    <w:rsid w:val="2540611D"/>
    <w:rsid w:val="25423C43"/>
    <w:rsid w:val="254575B5"/>
    <w:rsid w:val="254C2D14"/>
    <w:rsid w:val="254C3116"/>
    <w:rsid w:val="254D39A1"/>
    <w:rsid w:val="254E083A"/>
    <w:rsid w:val="254F0607"/>
    <w:rsid w:val="254F7725"/>
    <w:rsid w:val="2551032A"/>
    <w:rsid w:val="25552D38"/>
    <w:rsid w:val="2557798A"/>
    <w:rsid w:val="255B6AB3"/>
    <w:rsid w:val="256516E0"/>
    <w:rsid w:val="256736AA"/>
    <w:rsid w:val="2576562C"/>
    <w:rsid w:val="25783B09"/>
    <w:rsid w:val="25787583"/>
    <w:rsid w:val="257A6826"/>
    <w:rsid w:val="257E0B6C"/>
    <w:rsid w:val="258129BE"/>
    <w:rsid w:val="25820CEA"/>
    <w:rsid w:val="25822292"/>
    <w:rsid w:val="25826736"/>
    <w:rsid w:val="258424AE"/>
    <w:rsid w:val="25854EB2"/>
    <w:rsid w:val="258C1362"/>
    <w:rsid w:val="258C4EBE"/>
    <w:rsid w:val="258D2BFC"/>
    <w:rsid w:val="2590283A"/>
    <w:rsid w:val="25916979"/>
    <w:rsid w:val="259721E1"/>
    <w:rsid w:val="259874E2"/>
    <w:rsid w:val="259B0619"/>
    <w:rsid w:val="259C77F7"/>
    <w:rsid w:val="259F4BF2"/>
    <w:rsid w:val="25A14E0E"/>
    <w:rsid w:val="25A20B86"/>
    <w:rsid w:val="25A246E2"/>
    <w:rsid w:val="25AC38D5"/>
    <w:rsid w:val="25B6018D"/>
    <w:rsid w:val="25B95E84"/>
    <w:rsid w:val="25BC1CC0"/>
    <w:rsid w:val="25BD776E"/>
    <w:rsid w:val="25C428AA"/>
    <w:rsid w:val="25D02FFD"/>
    <w:rsid w:val="25D074A1"/>
    <w:rsid w:val="25D725DE"/>
    <w:rsid w:val="25D77F7D"/>
    <w:rsid w:val="25D845A8"/>
    <w:rsid w:val="25D961D0"/>
    <w:rsid w:val="25DE1BBE"/>
    <w:rsid w:val="25DF76E4"/>
    <w:rsid w:val="25E1345C"/>
    <w:rsid w:val="25E60A73"/>
    <w:rsid w:val="25EB42DB"/>
    <w:rsid w:val="25EC2D81"/>
    <w:rsid w:val="25ED1E01"/>
    <w:rsid w:val="25F106D6"/>
    <w:rsid w:val="25F46FCE"/>
    <w:rsid w:val="25F52A64"/>
    <w:rsid w:val="25F74973"/>
    <w:rsid w:val="25FC13BE"/>
    <w:rsid w:val="25FD5DBC"/>
    <w:rsid w:val="26022290"/>
    <w:rsid w:val="260458EE"/>
    <w:rsid w:val="260809E9"/>
    <w:rsid w:val="26086C3B"/>
    <w:rsid w:val="260D24A3"/>
    <w:rsid w:val="260E3B25"/>
    <w:rsid w:val="260E7FC9"/>
    <w:rsid w:val="26110E6F"/>
    <w:rsid w:val="26121868"/>
    <w:rsid w:val="26170C2C"/>
    <w:rsid w:val="261730FD"/>
    <w:rsid w:val="26192BF6"/>
    <w:rsid w:val="262072FB"/>
    <w:rsid w:val="2624159B"/>
    <w:rsid w:val="262477ED"/>
    <w:rsid w:val="262C1DCB"/>
    <w:rsid w:val="262D48F3"/>
    <w:rsid w:val="262D66A1"/>
    <w:rsid w:val="262E5F76"/>
    <w:rsid w:val="26323CB8"/>
    <w:rsid w:val="263317DE"/>
    <w:rsid w:val="26377839"/>
    <w:rsid w:val="26381B56"/>
    <w:rsid w:val="26413EFB"/>
    <w:rsid w:val="26431A21"/>
    <w:rsid w:val="2644502B"/>
    <w:rsid w:val="26446FFE"/>
    <w:rsid w:val="264528BD"/>
    <w:rsid w:val="26467763"/>
    <w:rsid w:val="26490BC0"/>
    <w:rsid w:val="264B4D7A"/>
    <w:rsid w:val="264B6B28"/>
    <w:rsid w:val="264F486A"/>
    <w:rsid w:val="26515721"/>
    <w:rsid w:val="26591245"/>
    <w:rsid w:val="265A4FBD"/>
    <w:rsid w:val="265C0D35"/>
    <w:rsid w:val="26606A77"/>
    <w:rsid w:val="26645926"/>
    <w:rsid w:val="26647BE9"/>
    <w:rsid w:val="26663961"/>
    <w:rsid w:val="26667E05"/>
    <w:rsid w:val="26681488"/>
    <w:rsid w:val="266B5D96"/>
    <w:rsid w:val="266F6CBA"/>
    <w:rsid w:val="2670172F"/>
    <w:rsid w:val="26760048"/>
    <w:rsid w:val="2678331D"/>
    <w:rsid w:val="26795443"/>
    <w:rsid w:val="2681079B"/>
    <w:rsid w:val="268465AB"/>
    <w:rsid w:val="268828FF"/>
    <w:rsid w:val="268E3B27"/>
    <w:rsid w:val="268F6768"/>
    <w:rsid w:val="26923BC9"/>
    <w:rsid w:val="2696358E"/>
    <w:rsid w:val="269823AA"/>
    <w:rsid w:val="26995AE5"/>
    <w:rsid w:val="269C3827"/>
    <w:rsid w:val="26A36964"/>
    <w:rsid w:val="26AA5F44"/>
    <w:rsid w:val="26AD1F5C"/>
    <w:rsid w:val="26AF5308"/>
    <w:rsid w:val="26B20955"/>
    <w:rsid w:val="26B7240F"/>
    <w:rsid w:val="26BD5C77"/>
    <w:rsid w:val="26BE72FA"/>
    <w:rsid w:val="26C07516"/>
    <w:rsid w:val="26C37006"/>
    <w:rsid w:val="26C568DA"/>
    <w:rsid w:val="26C80178"/>
    <w:rsid w:val="26CB3A94"/>
    <w:rsid w:val="26CC7C68"/>
    <w:rsid w:val="26CF7759"/>
    <w:rsid w:val="26D0702D"/>
    <w:rsid w:val="26D134D1"/>
    <w:rsid w:val="26D15253"/>
    <w:rsid w:val="26D60AE7"/>
    <w:rsid w:val="26D66D39"/>
    <w:rsid w:val="26D92385"/>
    <w:rsid w:val="26D94133"/>
    <w:rsid w:val="26DC6C91"/>
    <w:rsid w:val="26DE174A"/>
    <w:rsid w:val="26E10197"/>
    <w:rsid w:val="26E14D5A"/>
    <w:rsid w:val="26E33204"/>
    <w:rsid w:val="26E36D60"/>
    <w:rsid w:val="26E47D34"/>
    <w:rsid w:val="26E66850"/>
    <w:rsid w:val="26E74AA2"/>
    <w:rsid w:val="26E80EE7"/>
    <w:rsid w:val="26EB7AB1"/>
    <w:rsid w:val="26EF7DFB"/>
    <w:rsid w:val="26F15921"/>
    <w:rsid w:val="26F40F6D"/>
    <w:rsid w:val="26F60CAF"/>
    <w:rsid w:val="26F61189"/>
    <w:rsid w:val="26F71615"/>
    <w:rsid w:val="26F86CAF"/>
    <w:rsid w:val="2700492A"/>
    <w:rsid w:val="27160EE4"/>
    <w:rsid w:val="271967C0"/>
    <w:rsid w:val="271B0BF0"/>
    <w:rsid w:val="27230BFF"/>
    <w:rsid w:val="27233601"/>
    <w:rsid w:val="272445CF"/>
    <w:rsid w:val="27247AA4"/>
    <w:rsid w:val="272E5D11"/>
    <w:rsid w:val="273121C1"/>
    <w:rsid w:val="273306F3"/>
    <w:rsid w:val="27377A67"/>
    <w:rsid w:val="27383550"/>
    <w:rsid w:val="27391076"/>
    <w:rsid w:val="273F5F9F"/>
    <w:rsid w:val="27433CA3"/>
    <w:rsid w:val="274C0DA9"/>
    <w:rsid w:val="274E2D73"/>
    <w:rsid w:val="274E4B21"/>
    <w:rsid w:val="274F616C"/>
    <w:rsid w:val="2750262D"/>
    <w:rsid w:val="27524CC1"/>
    <w:rsid w:val="2753038A"/>
    <w:rsid w:val="27585A15"/>
    <w:rsid w:val="2758774E"/>
    <w:rsid w:val="27592132"/>
    <w:rsid w:val="275B2D9A"/>
    <w:rsid w:val="27610126"/>
    <w:rsid w:val="2762237B"/>
    <w:rsid w:val="27653C19"/>
    <w:rsid w:val="276A7481"/>
    <w:rsid w:val="276C31F9"/>
    <w:rsid w:val="276E0D20"/>
    <w:rsid w:val="27734588"/>
    <w:rsid w:val="277420AE"/>
    <w:rsid w:val="27786E27"/>
    <w:rsid w:val="277976C4"/>
    <w:rsid w:val="277B0D7F"/>
    <w:rsid w:val="277B343D"/>
    <w:rsid w:val="277B51EB"/>
    <w:rsid w:val="277F117F"/>
    <w:rsid w:val="27800A53"/>
    <w:rsid w:val="27806CA5"/>
    <w:rsid w:val="27826579"/>
    <w:rsid w:val="27871DE1"/>
    <w:rsid w:val="27895B59"/>
    <w:rsid w:val="27897907"/>
    <w:rsid w:val="278E278E"/>
    <w:rsid w:val="278E3170"/>
    <w:rsid w:val="27905EE6"/>
    <w:rsid w:val="27941119"/>
    <w:rsid w:val="27985E53"/>
    <w:rsid w:val="279B6677"/>
    <w:rsid w:val="279D1605"/>
    <w:rsid w:val="279D7857"/>
    <w:rsid w:val="279F193A"/>
    <w:rsid w:val="279F537D"/>
    <w:rsid w:val="27A60C72"/>
    <w:rsid w:val="27AD6260"/>
    <w:rsid w:val="27AD638E"/>
    <w:rsid w:val="27AE3812"/>
    <w:rsid w:val="27B01338"/>
    <w:rsid w:val="27B23302"/>
    <w:rsid w:val="27B30E28"/>
    <w:rsid w:val="27B40E77"/>
    <w:rsid w:val="27B70259"/>
    <w:rsid w:val="27BA5D13"/>
    <w:rsid w:val="27BF3329"/>
    <w:rsid w:val="27C1173F"/>
    <w:rsid w:val="27C2106B"/>
    <w:rsid w:val="27C76682"/>
    <w:rsid w:val="27C9064C"/>
    <w:rsid w:val="27CB43C4"/>
    <w:rsid w:val="27D15DD1"/>
    <w:rsid w:val="27D50D9F"/>
    <w:rsid w:val="27D72D69"/>
    <w:rsid w:val="27E40FE2"/>
    <w:rsid w:val="27EE09E2"/>
    <w:rsid w:val="27EE3C0E"/>
    <w:rsid w:val="27F473D8"/>
    <w:rsid w:val="27FA6426"/>
    <w:rsid w:val="27FF7BCA"/>
    <w:rsid w:val="28011B94"/>
    <w:rsid w:val="28017DE6"/>
    <w:rsid w:val="280428BF"/>
    <w:rsid w:val="280478D6"/>
    <w:rsid w:val="280507BA"/>
    <w:rsid w:val="280653FC"/>
    <w:rsid w:val="28096C9A"/>
    <w:rsid w:val="280B656E"/>
    <w:rsid w:val="280B7BC3"/>
    <w:rsid w:val="28123DA1"/>
    <w:rsid w:val="28153891"/>
    <w:rsid w:val="28164F13"/>
    <w:rsid w:val="28173165"/>
    <w:rsid w:val="28177609"/>
    <w:rsid w:val="281A2C55"/>
    <w:rsid w:val="281F201A"/>
    <w:rsid w:val="28212236"/>
    <w:rsid w:val="28213FE4"/>
    <w:rsid w:val="28277120"/>
    <w:rsid w:val="28304227"/>
    <w:rsid w:val="28304CAC"/>
    <w:rsid w:val="28327F9F"/>
    <w:rsid w:val="283334DF"/>
    <w:rsid w:val="2833567F"/>
    <w:rsid w:val="28335AC5"/>
    <w:rsid w:val="28337E41"/>
    <w:rsid w:val="28396011"/>
    <w:rsid w:val="283D06F2"/>
    <w:rsid w:val="283F26BC"/>
    <w:rsid w:val="284C02A7"/>
    <w:rsid w:val="284D6B87"/>
    <w:rsid w:val="284E28FF"/>
    <w:rsid w:val="28506677"/>
    <w:rsid w:val="28551EE0"/>
    <w:rsid w:val="285717B4"/>
    <w:rsid w:val="285C14C0"/>
    <w:rsid w:val="285C501C"/>
    <w:rsid w:val="285D2B42"/>
    <w:rsid w:val="285F2D5E"/>
    <w:rsid w:val="285F4B0C"/>
    <w:rsid w:val="285F7943"/>
    <w:rsid w:val="28602527"/>
    <w:rsid w:val="286363AA"/>
    <w:rsid w:val="28650375"/>
    <w:rsid w:val="28652321"/>
    <w:rsid w:val="286677D8"/>
    <w:rsid w:val="286914E7"/>
    <w:rsid w:val="2869172C"/>
    <w:rsid w:val="28695417"/>
    <w:rsid w:val="286B34B1"/>
    <w:rsid w:val="286C33DB"/>
    <w:rsid w:val="28702875"/>
    <w:rsid w:val="287217F2"/>
    <w:rsid w:val="287560DE"/>
    <w:rsid w:val="28757E8C"/>
    <w:rsid w:val="28760635"/>
    <w:rsid w:val="2876639C"/>
    <w:rsid w:val="287A36F4"/>
    <w:rsid w:val="287F0D0A"/>
    <w:rsid w:val="28813F71"/>
    <w:rsid w:val="28814A83"/>
    <w:rsid w:val="288D78CB"/>
    <w:rsid w:val="28924EE2"/>
    <w:rsid w:val="289447B6"/>
    <w:rsid w:val="289504BB"/>
    <w:rsid w:val="2895052E"/>
    <w:rsid w:val="289651BD"/>
    <w:rsid w:val="289933AC"/>
    <w:rsid w:val="289E5635"/>
    <w:rsid w:val="289F4A11"/>
    <w:rsid w:val="28A1297A"/>
    <w:rsid w:val="28A76295"/>
    <w:rsid w:val="28A864B3"/>
    <w:rsid w:val="28AB1AFF"/>
    <w:rsid w:val="28AB7D51"/>
    <w:rsid w:val="28AD3ACA"/>
    <w:rsid w:val="28B135BA"/>
    <w:rsid w:val="28B210E0"/>
    <w:rsid w:val="28B766F6"/>
    <w:rsid w:val="28B8366A"/>
    <w:rsid w:val="28BA1D43"/>
    <w:rsid w:val="28BC7129"/>
    <w:rsid w:val="28C36E49"/>
    <w:rsid w:val="28C606E7"/>
    <w:rsid w:val="28C66939"/>
    <w:rsid w:val="28CA01D8"/>
    <w:rsid w:val="28CC21F1"/>
    <w:rsid w:val="28D252DE"/>
    <w:rsid w:val="28D6244E"/>
    <w:rsid w:val="28D64DCE"/>
    <w:rsid w:val="28DA4193"/>
    <w:rsid w:val="28DB32AB"/>
    <w:rsid w:val="28DE142D"/>
    <w:rsid w:val="28DE1ED5"/>
    <w:rsid w:val="28DF3C8D"/>
    <w:rsid w:val="28E079FB"/>
    <w:rsid w:val="28E54BC4"/>
    <w:rsid w:val="28E60D8A"/>
    <w:rsid w:val="28EA3771"/>
    <w:rsid w:val="28EE2D47"/>
    <w:rsid w:val="28F45255"/>
    <w:rsid w:val="28F64025"/>
    <w:rsid w:val="29017971"/>
    <w:rsid w:val="29023E15"/>
    <w:rsid w:val="29080D00"/>
    <w:rsid w:val="290D27BA"/>
    <w:rsid w:val="29121B7F"/>
    <w:rsid w:val="291D0C4F"/>
    <w:rsid w:val="291F738B"/>
    <w:rsid w:val="29206EB8"/>
    <w:rsid w:val="29211DC2"/>
    <w:rsid w:val="292136CE"/>
    <w:rsid w:val="29244525"/>
    <w:rsid w:val="292518B2"/>
    <w:rsid w:val="29253660"/>
    <w:rsid w:val="292813A2"/>
    <w:rsid w:val="292875F4"/>
    <w:rsid w:val="29291B2B"/>
    <w:rsid w:val="292A511A"/>
    <w:rsid w:val="292D4147"/>
    <w:rsid w:val="292E034E"/>
    <w:rsid w:val="292F0982"/>
    <w:rsid w:val="292F2731"/>
    <w:rsid w:val="292F67EE"/>
    <w:rsid w:val="29324F91"/>
    <w:rsid w:val="29347D47"/>
    <w:rsid w:val="29373393"/>
    <w:rsid w:val="2939710B"/>
    <w:rsid w:val="29415ED6"/>
    <w:rsid w:val="29420FD2"/>
    <w:rsid w:val="29471828"/>
    <w:rsid w:val="294A1318"/>
    <w:rsid w:val="294A3CD7"/>
    <w:rsid w:val="294C22A1"/>
    <w:rsid w:val="294C5091"/>
    <w:rsid w:val="295757E3"/>
    <w:rsid w:val="295876D6"/>
    <w:rsid w:val="295E3016"/>
    <w:rsid w:val="29606D8E"/>
    <w:rsid w:val="29657F00"/>
    <w:rsid w:val="29695E26"/>
    <w:rsid w:val="296B6BF6"/>
    <w:rsid w:val="296C128F"/>
    <w:rsid w:val="296C4BAC"/>
    <w:rsid w:val="296F6FD1"/>
    <w:rsid w:val="297168A5"/>
    <w:rsid w:val="2973261D"/>
    <w:rsid w:val="29736AC1"/>
    <w:rsid w:val="29785E86"/>
    <w:rsid w:val="29797B7D"/>
    <w:rsid w:val="297C5914"/>
    <w:rsid w:val="297E7214"/>
    <w:rsid w:val="297F5466"/>
    <w:rsid w:val="29852351"/>
    <w:rsid w:val="29890093"/>
    <w:rsid w:val="298E38FB"/>
    <w:rsid w:val="29916F47"/>
    <w:rsid w:val="2996177C"/>
    <w:rsid w:val="2996455E"/>
    <w:rsid w:val="29966FCF"/>
    <w:rsid w:val="29967E2D"/>
    <w:rsid w:val="29982084"/>
    <w:rsid w:val="299A404E"/>
    <w:rsid w:val="299B2660"/>
    <w:rsid w:val="29A5470F"/>
    <w:rsid w:val="29A90022"/>
    <w:rsid w:val="29AA0009"/>
    <w:rsid w:val="29AA1DB7"/>
    <w:rsid w:val="29AB625B"/>
    <w:rsid w:val="29AE18A7"/>
    <w:rsid w:val="29B143AE"/>
    <w:rsid w:val="29B175E9"/>
    <w:rsid w:val="29B202F1"/>
    <w:rsid w:val="29B806DA"/>
    <w:rsid w:val="29B82726"/>
    <w:rsid w:val="29BD08F2"/>
    <w:rsid w:val="29BE1908"/>
    <w:rsid w:val="29BF1D06"/>
    <w:rsid w:val="29C410CB"/>
    <w:rsid w:val="29CC7F7F"/>
    <w:rsid w:val="29D63102"/>
    <w:rsid w:val="29D82DC8"/>
    <w:rsid w:val="29D84B76"/>
    <w:rsid w:val="29DA279F"/>
    <w:rsid w:val="29DD4321"/>
    <w:rsid w:val="29DF7CB3"/>
    <w:rsid w:val="29E325E0"/>
    <w:rsid w:val="29EB48A9"/>
    <w:rsid w:val="29EB7E9F"/>
    <w:rsid w:val="29EC23D0"/>
    <w:rsid w:val="29EF43E8"/>
    <w:rsid w:val="29F00112"/>
    <w:rsid w:val="29F5538C"/>
    <w:rsid w:val="29FB2071"/>
    <w:rsid w:val="29FF2103"/>
    <w:rsid w:val="29FF496A"/>
    <w:rsid w:val="29FF65A7"/>
    <w:rsid w:val="2A0616E3"/>
    <w:rsid w:val="2A0911D4"/>
    <w:rsid w:val="2A0A5FF9"/>
    <w:rsid w:val="2A0C6676"/>
    <w:rsid w:val="2A110088"/>
    <w:rsid w:val="2A1262DA"/>
    <w:rsid w:val="2A142478"/>
    <w:rsid w:val="2A163DA4"/>
    <w:rsid w:val="2A1738F0"/>
    <w:rsid w:val="2A1C25CC"/>
    <w:rsid w:val="2A263B34"/>
    <w:rsid w:val="2A2A2060"/>
    <w:rsid w:val="2A2C7A58"/>
    <w:rsid w:val="2A2D05FF"/>
    <w:rsid w:val="2A353D77"/>
    <w:rsid w:val="2A360FB4"/>
    <w:rsid w:val="2A385615"/>
    <w:rsid w:val="2A426494"/>
    <w:rsid w:val="2A4346E5"/>
    <w:rsid w:val="2A452503"/>
    <w:rsid w:val="2A4B17EC"/>
    <w:rsid w:val="2A4E4E38"/>
    <w:rsid w:val="2A510485"/>
    <w:rsid w:val="2A524929"/>
    <w:rsid w:val="2A540F94"/>
    <w:rsid w:val="2A5561C7"/>
    <w:rsid w:val="2A581813"/>
    <w:rsid w:val="2A585CB7"/>
    <w:rsid w:val="2A5D6D30"/>
    <w:rsid w:val="2A61691A"/>
    <w:rsid w:val="2A6401B8"/>
    <w:rsid w:val="2A643B57"/>
    <w:rsid w:val="2A685EFA"/>
    <w:rsid w:val="2A697EC4"/>
    <w:rsid w:val="2A6B1334"/>
    <w:rsid w:val="2A6D3510"/>
    <w:rsid w:val="2A6D50E4"/>
    <w:rsid w:val="2A6F54DA"/>
    <w:rsid w:val="2A73489F"/>
    <w:rsid w:val="2A742AF1"/>
    <w:rsid w:val="2A756869"/>
    <w:rsid w:val="2A78062B"/>
    <w:rsid w:val="2A791292"/>
    <w:rsid w:val="2A7B6309"/>
    <w:rsid w:val="2A801755"/>
    <w:rsid w:val="2A83183D"/>
    <w:rsid w:val="2A870159"/>
    <w:rsid w:val="2A8A2271"/>
    <w:rsid w:val="2A9211C9"/>
    <w:rsid w:val="2A922F77"/>
    <w:rsid w:val="2A924FCC"/>
    <w:rsid w:val="2A9C2048"/>
    <w:rsid w:val="2A9D15F2"/>
    <w:rsid w:val="2A9E4D57"/>
    <w:rsid w:val="2AA1140C"/>
    <w:rsid w:val="2AA2188F"/>
    <w:rsid w:val="2AA2529F"/>
    <w:rsid w:val="2AA92C71"/>
    <w:rsid w:val="2AAB5DE7"/>
    <w:rsid w:val="2AAD433F"/>
    <w:rsid w:val="2AB00919"/>
    <w:rsid w:val="2AB23619"/>
    <w:rsid w:val="2AB24AC6"/>
    <w:rsid w:val="2AB412AE"/>
    <w:rsid w:val="2AB56C65"/>
    <w:rsid w:val="2AB96756"/>
    <w:rsid w:val="2ABA24CE"/>
    <w:rsid w:val="2ABB62E3"/>
    <w:rsid w:val="2ABC7FF4"/>
    <w:rsid w:val="2ABE4C3D"/>
    <w:rsid w:val="2AC01F46"/>
    <w:rsid w:val="2AC07B49"/>
    <w:rsid w:val="2AC24A4E"/>
    <w:rsid w:val="2AC450FA"/>
    <w:rsid w:val="2AC66B4F"/>
    <w:rsid w:val="2ACB0237"/>
    <w:rsid w:val="2ACB6489"/>
    <w:rsid w:val="2ACE4132"/>
    <w:rsid w:val="2AD57308"/>
    <w:rsid w:val="2AD757E4"/>
    <w:rsid w:val="2AD905D3"/>
    <w:rsid w:val="2ADE440E"/>
    <w:rsid w:val="2AE5579D"/>
    <w:rsid w:val="2AEA21EB"/>
    <w:rsid w:val="2AEE17B2"/>
    <w:rsid w:val="2AEF03C9"/>
    <w:rsid w:val="2AEF3F25"/>
    <w:rsid w:val="2AF2781B"/>
    <w:rsid w:val="2AF43C32"/>
    <w:rsid w:val="2AF459E0"/>
    <w:rsid w:val="2AF7102C"/>
    <w:rsid w:val="2AF84B1D"/>
    <w:rsid w:val="2AFA28CA"/>
    <w:rsid w:val="2AFE685E"/>
    <w:rsid w:val="2B033E75"/>
    <w:rsid w:val="2B085C59"/>
    <w:rsid w:val="2B087877"/>
    <w:rsid w:val="2B0A5203"/>
    <w:rsid w:val="2B0B5E2F"/>
    <w:rsid w:val="2B0C0FDF"/>
    <w:rsid w:val="2B0E3784"/>
    <w:rsid w:val="2B1240B8"/>
    <w:rsid w:val="2B163BA8"/>
    <w:rsid w:val="2B165956"/>
    <w:rsid w:val="2B1716CE"/>
    <w:rsid w:val="2B183861"/>
    <w:rsid w:val="2B1C4F36"/>
    <w:rsid w:val="2B234836"/>
    <w:rsid w:val="2B277B63"/>
    <w:rsid w:val="2B2838DB"/>
    <w:rsid w:val="2B2B6B3F"/>
    <w:rsid w:val="2B2C517A"/>
    <w:rsid w:val="2B361B54"/>
    <w:rsid w:val="2B381D70"/>
    <w:rsid w:val="2B38364D"/>
    <w:rsid w:val="2B3B11AE"/>
    <w:rsid w:val="2B3C1135"/>
    <w:rsid w:val="2B3E6C5B"/>
    <w:rsid w:val="2B435C33"/>
    <w:rsid w:val="2B45623B"/>
    <w:rsid w:val="2B457FE9"/>
    <w:rsid w:val="2B492D8D"/>
    <w:rsid w:val="2B4A3852"/>
    <w:rsid w:val="2B4A5600"/>
    <w:rsid w:val="2B4F2C16"/>
    <w:rsid w:val="2B4F70BA"/>
    <w:rsid w:val="2B5041D5"/>
    <w:rsid w:val="2B535A56"/>
    <w:rsid w:val="2B54022C"/>
    <w:rsid w:val="2B54647E"/>
    <w:rsid w:val="2B5841C1"/>
    <w:rsid w:val="2B59723B"/>
    <w:rsid w:val="2B597F39"/>
    <w:rsid w:val="2B5B780D"/>
    <w:rsid w:val="2B604E23"/>
    <w:rsid w:val="2B606BD1"/>
    <w:rsid w:val="2B620B9B"/>
    <w:rsid w:val="2B634913"/>
    <w:rsid w:val="2B6366C1"/>
    <w:rsid w:val="2B69017C"/>
    <w:rsid w:val="2B6A7A50"/>
    <w:rsid w:val="2B6C5576"/>
    <w:rsid w:val="2B6C62CF"/>
    <w:rsid w:val="2B6C7C6C"/>
    <w:rsid w:val="2B6D775F"/>
    <w:rsid w:val="2B6F2DD8"/>
    <w:rsid w:val="2B74267D"/>
    <w:rsid w:val="2B764647"/>
    <w:rsid w:val="2B7B7EAF"/>
    <w:rsid w:val="2B7E34FB"/>
    <w:rsid w:val="2B83097A"/>
    <w:rsid w:val="2B8723B0"/>
    <w:rsid w:val="2B8C3E6A"/>
    <w:rsid w:val="2B8F5708"/>
    <w:rsid w:val="2B8F74B6"/>
    <w:rsid w:val="2B9B0113"/>
    <w:rsid w:val="2B9B22FF"/>
    <w:rsid w:val="2BA03472"/>
    <w:rsid w:val="2BA1588C"/>
    <w:rsid w:val="2BA61030"/>
    <w:rsid w:val="2BA70CA4"/>
    <w:rsid w:val="2BA936A8"/>
    <w:rsid w:val="2BA94A1C"/>
    <w:rsid w:val="2BAA0794"/>
    <w:rsid w:val="2BAE2033"/>
    <w:rsid w:val="2BAE6156"/>
    <w:rsid w:val="2BB45CC1"/>
    <w:rsid w:val="2BB533C1"/>
    <w:rsid w:val="2BB83445"/>
    <w:rsid w:val="2BB86A0D"/>
    <w:rsid w:val="2BBA5CF7"/>
    <w:rsid w:val="2BBD04C8"/>
    <w:rsid w:val="2BBD13CD"/>
    <w:rsid w:val="2BBD4A6B"/>
    <w:rsid w:val="2BBE64C7"/>
    <w:rsid w:val="2BBE7D9C"/>
    <w:rsid w:val="2BC01D66"/>
    <w:rsid w:val="2BC264BA"/>
    <w:rsid w:val="2BC442AE"/>
    <w:rsid w:val="2BC73F2E"/>
    <w:rsid w:val="2BC82F3A"/>
    <w:rsid w:val="2BC90C1A"/>
    <w:rsid w:val="2BCF5BB2"/>
    <w:rsid w:val="2BD1187D"/>
    <w:rsid w:val="2BD355F5"/>
    <w:rsid w:val="2BD61589"/>
    <w:rsid w:val="2BDB6BA0"/>
    <w:rsid w:val="2BDC2840"/>
    <w:rsid w:val="2BE55328"/>
    <w:rsid w:val="2BE733F6"/>
    <w:rsid w:val="2BEA71D2"/>
    <w:rsid w:val="2BEE68D3"/>
    <w:rsid w:val="2BF043F9"/>
    <w:rsid w:val="2BF06C2B"/>
    <w:rsid w:val="2BF437BD"/>
    <w:rsid w:val="2BFB2D9E"/>
    <w:rsid w:val="2BFD2672"/>
    <w:rsid w:val="2BFD5066"/>
    <w:rsid w:val="2BFF4499"/>
    <w:rsid w:val="2BFF63EA"/>
    <w:rsid w:val="2BFF77EC"/>
    <w:rsid w:val="2C0003B4"/>
    <w:rsid w:val="2C025EDA"/>
    <w:rsid w:val="2C047EA4"/>
    <w:rsid w:val="2C0504DF"/>
    <w:rsid w:val="2C063C1D"/>
    <w:rsid w:val="2C0C6D59"/>
    <w:rsid w:val="2C0F4574"/>
    <w:rsid w:val="2C1125C1"/>
    <w:rsid w:val="2C11436F"/>
    <w:rsid w:val="2C1300E8"/>
    <w:rsid w:val="2C166FF3"/>
    <w:rsid w:val="2C1874AC"/>
    <w:rsid w:val="2C1A1476"/>
    <w:rsid w:val="2C1F083A"/>
    <w:rsid w:val="2C251BC9"/>
    <w:rsid w:val="2C296E55"/>
    <w:rsid w:val="2C2C3DE8"/>
    <w:rsid w:val="2C2C7879"/>
    <w:rsid w:val="2C300C99"/>
    <w:rsid w:val="2C302A48"/>
    <w:rsid w:val="2C31218A"/>
    <w:rsid w:val="2C315A5A"/>
    <w:rsid w:val="2C327883"/>
    <w:rsid w:val="2C363DD6"/>
    <w:rsid w:val="2C3C763E"/>
    <w:rsid w:val="2C4613C9"/>
    <w:rsid w:val="2C477D91"/>
    <w:rsid w:val="2C484235"/>
    <w:rsid w:val="2C487FD5"/>
    <w:rsid w:val="2C50426F"/>
    <w:rsid w:val="2C532BDA"/>
    <w:rsid w:val="2C534988"/>
    <w:rsid w:val="2C571A8D"/>
    <w:rsid w:val="2C587B0C"/>
    <w:rsid w:val="2C5D1363"/>
    <w:rsid w:val="2C604FD3"/>
    <w:rsid w:val="2C640943"/>
    <w:rsid w:val="2C6426F1"/>
    <w:rsid w:val="2C644CC2"/>
    <w:rsid w:val="2C652EE7"/>
    <w:rsid w:val="2C6754A3"/>
    <w:rsid w:val="2C693389"/>
    <w:rsid w:val="2C6D5A4A"/>
    <w:rsid w:val="2C6E531E"/>
    <w:rsid w:val="2C70553A"/>
    <w:rsid w:val="2C736DD8"/>
    <w:rsid w:val="2C7F39CF"/>
    <w:rsid w:val="2C815051"/>
    <w:rsid w:val="2C840FE5"/>
    <w:rsid w:val="2C8608B9"/>
    <w:rsid w:val="2C8C398C"/>
    <w:rsid w:val="2C8E3C12"/>
    <w:rsid w:val="2C9034E6"/>
    <w:rsid w:val="2C923702"/>
    <w:rsid w:val="2C92725E"/>
    <w:rsid w:val="2C954FA0"/>
    <w:rsid w:val="2C985B8A"/>
    <w:rsid w:val="2C9C04B7"/>
    <w:rsid w:val="2C9D5C03"/>
    <w:rsid w:val="2CA62D0A"/>
    <w:rsid w:val="2CA70830"/>
    <w:rsid w:val="2CA86A82"/>
    <w:rsid w:val="2CAD4098"/>
    <w:rsid w:val="2CAE4A0E"/>
    <w:rsid w:val="2CB01DDA"/>
    <w:rsid w:val="2CB34EDA"/>
    <w:rsid w:val="2CB371D5"/>
    <w:rsid w:val="2CB57E76"/>
    <w:rsid w:val="2CB90C8F"/>
    <w:rsid w:val="2CBC252D"/>
    <w:rsid w:val="2CC213E0"/>
    <w:rsid w:val="2CC31B0E"/>
    <w:rsid w:val="2CC413E2"/>
    <w:rsid w:val="2CC66F08"/>
    <w:rsid w:val="2CCD1427"/>
    <w:rsid w:val="2CCD473A"/>
    <w:rsid w:val="2CCE400E"/>
    <w:rsid w:val="2CD629A7"/>
    <w:rsid w:val="2CD77367"/>
    <w:rsid w:val="2CD806BC"/>
    <w:rsid w:val="2CD979CA"/>
    <w:rsid w:val="2CDD51B6"/>
    <w:rsid w:val="2CE11F94"/>
    <w:rsid w:val="2CED3AD0"/>
    <w:rsid w:val="2CED52F7"/>
    <w:rsid w:val="2CF4294C"/>
    <w:rsid w:val="2CFC0B7C"/>
    <w:rsid w:val="2CFE48F4"/>
    <w:rsid w:val="2CFF066C"/>
    <w:rsid w:val="2D0143E4"/>
    <w:rsid w:val="2D0C4CA8"/>
    <w:rsid w:val="2D0D4B37"/>
    <w:rsid w:val="2D104627"/>
    <w:rsid w:val="2D122D03"/>
    <w:rsid w:val="2D142369"/>
    <w:rsid w:val="2D151C3D"/>
    <w:rsid w:val="2D157E8F"/>
    <w:rsid w:val="2D2325AC"/>
    <w:rsid w:val="2D232822"/>
    <w:rsid w:val="2D241E80"/>
    <w:rsid w:val="2D281971"/>
    <w:rsid w:val="2D2A1671"/>
    <w:rsid w:val="2D2A393B"/>
    <w:rsid w:val="2D2A56E9"/>
    <w:rsid w:val="2D2D51D9"/>
    <w:rsid w:val="2D2E3032"/>
    <w:rsid w:val="2D306A77"/>
    <w:rsid w:val="2D32459D"/>
    <w:rsid w:val="2D3447B9"/>
    <w:rsid w:val="2D360531"/>
    <w:rsid w:val="2D3622E0"/>
    <w:rsid w:val="2D3C366E"/>
    <w:rsid w:val="2D3E73E6"/>
    <w:rsid w:val="2D40315E"/>
    <w:rsid w:val="2D4B1056"/>
    <w:rsid w:val="2D4D405D"/>
    <w:rsid w:val="2D502C75"/>
    <w:rsid w:val="2D510EC7"/>
    <w:rsid w:val="2D5664DE"/>
    <w:rsid w:val="2D5B1D46"/>
    <w:rsid w:val="2D5B3AF4"/>
    <w:rsid w:val="2D60110A"/>
    <w:rsid w:val="2D60735C"/>
    <w:rsid w:val="2D616C31"/>
    <w:rsid w:val="2D6329A9"/>
    <w:rsid w:val="2D6741DC"/>
    <w:rsid w:val="2D687AB5"/>
    <w:rsid w:val="2D6A3D37"/>
    <w:rsid w:val="2D6C1150"/>
    <w:rsid w:val="2D71156A"/>
    <w:rsid w:val="2D793729"/>
    <w:rsid w:val="2D796670"/>
    <w:rsid w:val="2D7B7EC6"/>
    <w:rsid w:val="2D7C1CBC"/>
    <w:rsid w:val="2D8868B3"/>
    <w:rsid w:val="2D8C0151"/>
    <w:rsid w:val="2D8D5C78"/>
    <w:rsid w:val="2D8E795D"/>
    <w:rsid w:val="2D9139BA"/>
    <w:rsid w:val="2D940DB4"/>
    <w:rsid w:val="2D945258"/>
    <w:rsid w:val="2D947006"/>
    <w:rsid w:val="2D956126"/>
    <w:rsid w:val="2D9B6B06"/>
    <w:rsid w:val="2D9E56F5"/>
    <w:rsid w:val="2D9E60D7"/>
    <w:rsid w:val="2D9E7E85"/>
    <w:rsid w:val="2DA03BFD"/>
    <w:rsid w:val="2DA37249"/>
    <w:rsid w:val="2DAC07F4"/>
    <w:rsid w:val="2DAC392E"/>
    <w:rsid w:val="2DAF3E40"/>
    <w:rsid w:val="2DB21EF1"/>
    <w:rsid w:val="2DB43204"/>
    <w:rsid w:val="2DB444AD"/>
    <w:rsid w:val="2DB80F46"/>
    <w:rsid w:val="2DBD655D"/>
    <w:rsid w:val="2DBF4B12"/>
    <w:rsid w:val="2DC0604D"/>
    <w:rsid w:val="2DC41EB4"/>
    <w:rsid w:val="2DCD775F"/>
    <w:rsid w:val="2DCE2518"/>
    <w:rsid w:val="2DCF003E"/>
    <w:rsid w:val="2DCF44E2"/>
    <w:rsid w:val="2DD11160"/>
    <w:rsid w:val="2DD37B2E"/>
    <w:rsid w:val="2DDD76C4"/>
    <w:rsid w:val="2DE27D71"/>
    <w:rsid w:val="2DE57862"/>
    <w:rsid w:val="2DE75388"/>
    <w:rsid w:val="2DEA30CA"/>
    <w:rsid w:val="2DED7260"/>
    <w:rsid w:val="2DF06932"/>
    <w:rsid w:val="2DF45CF7"/>
    <w:rsid w:val="2DF6381D"/>
    <w:rsid w:val="2DF8162E"/>
    <w:rsid w:val="2DF91E34"/>
    <w:rsid w:val="2DFA1A5F"/>
    <w:rsid w:val="2DFA44A9"/>
    <w:rsid w:val="2DFB52D7"/>
    <w:rsid w:val="2DFE26D1"/>
    <w:rsid w:val="2E00644A"/>
    <w:rsid w:val="2E042FC4"/>
    <w:rsid w:val="2E075A2A"/>
    <w:rsid w:val="2E087164"/>
    <w:rsid w:val="2E0A551A"/>
    <w:rsid w:val="2E0C1292"/>
    <w:rsid w:val="2E0E0B66"/>
    <w:rsid w:val="2E0E6A8A"/>
    <w:rsid w:val="2E0F48DF"/>
    <w:rsid w:val="2E124A37"/>
    <w:rsid w:val="2E124DA6"/>
    <w:rsid w:val="2E187C37"/>
    <w:rsid w:val="2E1B14D5"/>
    <w:rsid w:val="2E1D6FFC"/>
    <w:rsid w:val="2E2110EE"/>
    <w:rsid w:val="2E233B01"/>
    <w:rsid w:val="2E262354"/>
    <w:rsid w:val="2E2627B5"/>
    <w:rsid w:val="2E291E44"/>
    <w:rsid w:val="2E341F8D"/>
    <w:rsid w:val="2E385BE3"/>
    <w:rsid w:val="2E41718E"/>
    <w:rsid w:val="2E424CB4"/>
    <w:rsid w:val="2E440A2C"/>
    <w:rsid w:val="2E456552"/>
    <w:rsid w:val="2E47051C"/>
    <w:rsid w:val="2E4918A3"/>
    <w:rsid w:val="2E491A3F"/>
    <w:rsid w:val="2E495111"/>
    <w:rsid w:val="2E496043"/>
    <w:rsid w:val="2E4E18AB"/>
    <w:rsid w:val="2E575575"/>
    <w:rsid w:val="2E6030FC"/>
    <w:rsid w:val="2E6305ED"/>
    <w:rsid w:val="2E642E7C"/>
    <w:rsid w:val="2E6435C2"/>
    <w:rsid w:val="2E6469D8"/>
    <w:rsid w:val="2E652751"/>
    <w:rsid w:val="2E6609A2"/>
    <w:rsid w:val="2E667F96"/>
    <w:rsid w:val="2E6B53DA"/>
    <w:rsid w:val="2E7009A8"/>
    <w:rsid w:val="2E7110F5"/>
    <w:rsid w:val="2E734E6D"/>
    <w:rsid w:val="2E772BB0"/>
    <w:rsid w:val="2E7806D6"/>
    <w:rsid w:val="2E7A26A0"/>
    <w:rsid w:val="2E7A444E"/>
    <w:rsid w:val="2E7B4FB2"/>
    <w:rsid w:val="2E7D3F3E"/>
    <w:rsid w:val="2E8226AB"/>
    <w:rsid w:val="2E8227CF"/>
    <w:rsid w:val="2E8250B1"/>
    <w:rsid w:val="2E857DAE"/>
    <w:rsid w:val="2E860B9A"/>
    <w:rsid w:val="2E864BA1"/>
    <w:rsid w:val="2E8D2118"/>
    <w:rsid w:val="2E8E1840"/>
    <w:rsid w:val="2E8E6402"/>
    <w:rsid w:val="2E933762"/>
    <w:rsid w:val="2E953036"/>
    <w:rsid w:val="2E975000"/>
    <w:rsid w:val="2E9A064C"/>
    <w:rsid w:val="2EA119DB"/>
    <w:rsid w:val="2EA27501"/>
    <w:rsid w:val="2EA414CB"/>
    <w:rsid w:val="2EA65243"/>
    <w:rsid w:val="2EA840AC"/>
    <w:rsid w:val="2EAD1279"/>
    <w:rsid w:val="2EB0560C"/>
    <w:rsid w:val="2EB46A04"/>
    <w:rsid w:val="2EB711FE"/>
    <w:rsid w:val="2EB86D24"/>
    <w:rsid w:val="2EBC05C2"/>
    <w:rsid w:val="2EC01828"/>
    <w:rsid w:val="2EC42C7A"/>
    <w:rsid w:val="2EC4391B"/>
    <w:rsid w:val="2EC61441"/>
    <w:rsid w:val="2EC658E5"/>
    <w:rsid w:val="2EC9206D"/>
    <w:rsid w:val="2ECB4CA9"/>
    <w:rsid w:val="2ECB6A58"/>
    <w:rsid w:val="2ED075DC"/>
    <w:rsid w:val="2ED1017B"/>
    <w:rsid w:val="2ED33B5E"/>
    <w:rsid w:val="2EDB31E4"/>
    <w:rsid w:val="2EDC0415"/>
    <w:rsid w:val="2EE31FF3"/>
    <w:rsid w:val="2EE443DB"/>
    <w:rsid w:val="2EEB0EA8"/>
    <w:rsid w:val="2EED2E72"/>
    <w:rsid w:val="2EED4C20"/>
    <w:rsid w:val="2EEE4F05"/>
    <w:rsid w:val="2EF02962"/>
    <w:rsid w:val="2EF04710"/>
    <w:rsid w:val="2EF05FED"/>
    <w:rsid w:val="2EF139C1"/>
    <w:rsid w:val="2EF17594"/>
    <w:rsid w:val="2EF20488"/>
    <w:rsid w:val="2EF27E36"/>
    <w:rsid w:val="2EF35FAE"/>
    <w:rsid w:val="2EF95138"/>
    <w:rsid w:val="2EFF2BA5"/>
    <w:rsid w:val="2F0B142F"/>
    <w:rsid w:val="2F0B154A"/>
    <w:rsid w:val="2F0C08F6"/>
    <w:rsid w:val="2F10029A"/>
    <w:rsid w:val="2F1A178D"/>
    <w:rsid w:val="2F1C5505"/>
    <w:rsid w:val="2F1D6BCC"/>
    <w:rsid w:val="2F21465F"/>
    <w:rsid w:val="2F234AE5"/>
    <w:rsid w:val="2F236894"/>
    <w:rsid w:val="2F2F5238"/>
    <w:rsid w:val="2F300FB0"/>
    <w:rsid w:val="2F391C13"/>
    <w:rsid w:val="2F3A598B"/>
    <w:rsid w:val="2F3D0CEE"/>
    <w:rsid w:val="2F3E191F"/>
    <w:rsid w:val="2F407445"/>
    <w:rsid w:val="2F436554"/>
    <w:rsid w:val="2F436F36"/>
    <w:rsid w:val="2F45680A"/>
    <w:rsid w:val="2F48454C"/>
    <w:rsid w:val="2F4F461B"/>
    <w:rsid w:val="2F5051AF"/>
    <w:rsid w:val="2F57027C"/>
    <w:rsid w:val="2F57653D"/>
    <w:rsid w:val="2F594063"/>
    <w:rsid w:val="2F5C7FF7"/>
    <w:rsid w:val="2F64740E"/>
    <w:rsid w:val="2F697244"/>
    <w:rsid w:val="2F6A2714"/>
    <w:rsid w:val="2F6A44C2"/>
    <w:rsid w:val="2F6B12EF"/>
    <w:rsid w:val="2F6D7B0F"/>
    <w:rsid w:val="2F723377"/>
    <w:rsid w:val="2F7C41F6"/>
    <w:rsid w:val="2F7D4F4A"/>
    <w:rsid w:val="2F832C79"/>
    <w:rsid w:val="2F882B9B"/>
    <w:rsid w:val="2F8C268B"/>
    <w:rsid w:val="2F8F4328"/>
    <w:rsid w:val="2F9627A7"/>
    <w:rsid w:val="2F963038"/>
    <w:rsid w:val="2F9652B7"/>
    <w:rsid w:val="2F967EFE"/>
    <w:rsid w:val="2F994DA8"/>
    <w:rsid w:val="2F9D4288"/>
    <w:rsid w:val="2F9E416C"/>
    <w:rsid w:val="2FA15A0A"/>
    <w:rsid w:val="2FA76FD1"/>
    <w:rsid w:val="2FAA0D63"/>
    <w:rsid w:val="2FAC4ADB"/>
    <w:rsid w:val="2FAD5FC1"/>
    <w:rsid w:val="2FAF6379"/>
    <w:rsid w:val="2FB43990"/>
    <w:rsid w:val="2FB4573E"/>
    <w:rsid w:val="2FB67708"/>
    <w:rsid w:val="2FBC2844"/>
    <w:rsid w:val="2FC00586"/>
    <w:rsid w:val="2FC11C09"/>
    <w:rsid w:val="2FC30453"/>
    <w:rsid w:val="2FC35981"/>
    <w:rsid w:val="2FCC2A87"/>
    <w:rsid w:val="2FCD67FF"/>
    <w:rsid w:val="2FD45DE0"/>
    <w:rsid w:val="2FD52F89"/>
    <w:rsid w:val="2FD64419"/>
    <w:rsid w:val="2FD7142C"/>
    <w:rsid w:val="2FD8767E"/>
    <w:rsid w:val="2FD944DB"/>
    <w:rsid w:val="2FDD4C94"/>
    <w:rsid w:val="2FDE33B6"/>
    <w:rsid w:val="2FE57FED"/>
    <w:rsid w:val="2FE74788"/>
    <w:rsid w:val="2FED29FE"/>
    <w:rsid w:val="2FEE50F3"/>
    <w:rsid w:val="2FEF2D58"/>
    <w:rsid w:val="2FEF6776"/>
    <w:rsid w:val="2FF2263C"/>
    <w:rsid w:val="2FF344B8"/>
    <w:rsid w:val="2FF36512"/>
    <w:rsid w:val="2FF41FDE"/>
    <w:rsid w:val="2FF74010"/>
    <w:rsid w:val="2FFB15BE"/>
    <w:rsid w:val="2FFD0DFC"/>
    <w:rsid w:val="3002033D"/>
    <w:rsid w:val="30030473"/>
    <w:rsid w:val="30077F63"/>
    <w:rsid w:val="30093CDB"/>
    <w:rsid w:val="300F0BC6"/>
    <w:rsid w:val="3014442E"/>
    <w:rsid w:val="301B5877"/>
    <w:rsid w:val="301F52AD"/>
    <w:rsid w:val="302503E9"/>
    <w:rsid w:val="302723B3"/>
    <w:rsid w:val="30297EDA"/>
    <w:rsid w:val="302C79CA"/>
    <w:rsid w:val="303348B4"/>
    <w:rsid w:val="30354AD0"/>
    <w:rsid w:val="30360848"/>
    <w:rsid w:val="303C4D07"/>
    <w:rsid w:val="303D7627"/>
    <w:rsid w:val="30413FA5"/>
    <w:rsid w:val="30416A1A"/>
    <w:rsid w:val="3042552E"/>
    <w:rsid w:val="30443C64"/>
    <w:rsid w:val="30444D13"/>
    <w:rsid w:val="304A7E50"/>
    <w:rsid w:val="304E0CC8"/>
    <w:rsid w:val="305331A8"/>
    <w:rsid w:val="305558AE"/>
    <w:rsid w:val="3056544F"/>
    <w:rsid w:val="305667F5"/>
    <w:rsid w:val="30580BC9"/>
    <w:rsid w:val="305B3E0B"/>
    <w:rsid w:val="305F1B4D"/>
    <w:rsid w:val="30657FDD"/>
    <w:rsid w:val="30676C54"/>
    <w:rsid w:val="3069477A"/>
    <w:rsid w:val="306C6018"/>
    <w:rsid w:val="3071362F"/>
    <w:rsid w:val="30731155"/>
    <w:rsid w:val="307341F2"/>
    <w:rsid w:val="307373A7"/>
    <w:rsid w:val="30744ECD"/>
    <w:rsid w:val="3075311F"/>
    <w:rsid w:val="307750E9"/>
    <w:rsid w:val="30785D29"/>
    <w:rsid w:val="30793568"/>
    <w:rsid w:val="307D6477"/>
    <w:rsid w:val="307E5655"/>
    <w:rsid w:val="3080086A"/>
    <w:rsid w:val="30843362"/>
    <w:rsid w:val="30845298"/>
    <w:rsid w:val="30845E67"/>
    <w:rsid w:val="30872E52"/>
    <w:rsid w:val="308B2942"/>
    <w:rsid w:val="308E5F8F"/>
    <w:rsid w:val="309061AB"/>
    <w:rsid w:val="30915A7F"/>
    <w:rsid w:val="309335A5"/>
    <w:rsid w:val="30946CE0"/>
    <w:rsid w:val="30963095"/>
    <w:rsid w:val="309655D5"/>
    <w:rsid w:val="309A2B85"/>
    <w:rsid w:val="309B1AA0"/>
    <w:rsid w:val="309D5228"/>
    <w:rsid w:val="30A003C2"/>
    <w:rsid w:val="30A457B2"/>
    <w:rsid w:val="30A6152A"/>
    <w:rsid w:val="30A9726C"/>
    <w:rsid w:val="30B3391F"/>
    <w:rsid w:val="30B33C47"/>
    <w:rsid w:val="30BC6FA0"/>
    <w:rsid w:val="30C81950"/>
    <w:rsid w:val="30C9346B"/>
    <w:rsid w:val="30D02A78"/>
    <w:rsid w:val="30D065A7"/>
    <w:rsid w:val="30D342E9"/>
    <w:rsid w:val="30D81136"/>
    <w:rsid w:val="30DA5678"/>
    <w:rsid w:val="30DA6B89"/>
    <w:rsid w:val="30DC4672"/>
    <w:rsid w:val="30E327D8"/>
    <w:rsid w:val="30E3452C"/>
    <w:rsid w:val="30EB4A3B"/>
    <w:rsid w:val="30F77FD8"/>
    <w:rsid w:val="30F87556"/>
    <w:rsid w:val="3102072B"/>
    <w:rsid w:val="31032463"/>
    <w:rsid w:val="310426F5"/>
    <w:rsid w:val="310C2C8C"/>
    <w:rsid w:val="310D15A9"/>
    <w:rsid w:val="310E70CF"/>
    <w:rsid w:val="31152A06"/>
    <w:rsid w:val="31181346"/>
    <w:rsid w:val="311A7304"/>
    <w:rsid w:val="311B250B"/>
    <w:rsid w:val="311E2ED7"/>
    <w:rsid w:val="312132A7"/>
    <w:rsid w:val="31216E03"/>
    <w:rsid w:val="3126266B"/>
    <w:rsid w:val="31280191"/>
    <w:rsid w:val="312C373D"/>
    <w:rsid w:val="313759B1"/>
    <w:rsid w:val="313C3C3D"/>
    <w:rsid w:val="313D1CA2"/>
    <w:rsid w:val="31411253"/>
    <w:rsid w:val="314A1279"/>
    <w:rsid w:val="315076E8"/>
    <w:rsid w:val="315216B2"/>
    <w:rsid w:val="31570A76"/>
    <w:rsid w:val="315A40C3"/>
    <w:rsid w:val="315C42DF"/>
    <w:rsid w:val="315C449C"/>
    <w:rsid w:val="315C7E3B"/>
    <w:rsid w:val="315E0057"/>
    <w:rsid w:val="31660CB9"/>
    <w:rsid w:val="31677457"/>
    <w:rsid w:val="3168536D"/>
    <w:rsid w:val="316867E0"/>
    <w:rsid w:val="316B644C"/>
    <w:rsid w:val="316D2048"/>
    <w:rsid w:val="31750EFD"/>
    <w:rsid w:val="317E6003"/>
    <w:rsid w:val="317F1D7B"/>
    <w:rsid w:val="317F1F89"/>
    <w:rsid w:val="31813D45"/>
    <w:rsid w:val="31864EB8"/>
    <w:rsid w:val="318A2BFA"/>
    <w:rsid w:val="318B0720"/>
    <w:rsid w:val="318B0BE0"/>
    <w:rsid w:val="318D6246"/>
    <w:rsid w:val="31943A79"/>
    <w:rsid w:val="319475D5"/>
    <w:rsid w:val="3195334D"/>
    <w:rsid w:val="3196684B"/>
    <w:rsid w:val="31973569"/>
    <w:rsid w:val="319C292D"/>
    <w:rsid w:val="319E0453"/>
    <w:rsid w:val="31A05F02"/>
    <w:rsid w:val="31A16195"/>
    <w:rsid w:val="31A31F0E"/>
    <w:rsid w:val="31A677D0"/>
    <w:rsid w:val="31A84329"/>
    <w:rsid w:val="31AA07B4"/>
    <w:rsid w:val="31AA6DF8"/>
    <w:rsid w:val="31AD0696"/>
    <w:rsid w:val="31AF2660"/>
    <w:rsid w:val="31AF440F"/>
    <w:rsid w:val="31B4289A"/>
    <w:rsid w:val="31B45209"/>
    <w:rsid w:val="31B5579D"/>
    <w:rsid w:val="31B82709"/>
    <w:rsid w:val="31BA1C29"/>
    <w:rsid w:val="31BF293A"/>
    <w:rsid w:val="31C12394"/>
    <w:rsid w:val="31CB55CE"/>
    <w:rsid w:val="31CC22E2"/>
    <w:rsid w:val="31CD0D39"/>
    <w:rsid w:val="31CF4AB1"/>
    <w:rsid w:val="31CF69DC"/>
    <w:rsid w:val="31CF7994"/>
    <w:rsid w:val="31D47C7D"/>
    <w:rsid w:val="31DA35B5"/>
    <w:rsid w:val="31DE6AA2"/>
    <w:rsid w:val="31DF4330"/>
    <w:rsid w:val="31E06CBE"/>
    <w:rsid w:val="31E3055C"/>
    <w:rsid w:val="31E3230A"/>
    <w:rsid w:val="31E76BD8"/>
    <w:rsid w:val="31EC0C04"/>
    <w:rsid w:val="31EE33F5"/>
    <w:rsid w:val="31EF5153"/>
    <w:rsid w:val="31F14A27"/>
    <w:rsid w:val="31F167D5"/>
    <w:rsid w:val="31F2254D"/>
    <w:rsid w:val="31F43832"/>
    <w:rsid w:val="31F91B2E"/>
    <w:rsid w:val="31FB7654"/>
    <w:rsid w:val="31FD161E"/>
    <w:rsid w:val="3200110E"/>
    <w:rsid w:val="32036508"/>
    <w:rsid w:val="3207249C"/>
    <w:rsid w:val="32087FC3"/>
    <w:rsid w:val="32132BEF"/>
    <w:rsid w:val="32142E92"/>
    <w:rsid w:val="32191901"/>
    <w:rsid w:val="32193F7E"/>
    <w:rsid w:val="321D0063"/>
    <w:rsid w:val="3220530C"/>
    <w:rsid w:val="32211625"/>
    <w:rsid w:val="3227669B"/>
    <w:rsid w:val="322841C1"/>
    <w:rsid w:val="322975E7"/>
    <w:rsid w:val="322C3CB1"/>
    <w:rsid w:val="322C5A5F"/>
    <w:rsid w:val="322F72FD"/>
    <w:rsid w:val="32320699"/>
    <w:rsid w:val="323418DA"/>
    <w:rsid w:val="32342B66"/>
    <w:rsid w:val="32363CEC"/>
    <w:rsid w:val="323D69CE"/>
    <w:rsid w:val="32400B34"/>
    <w:rsid w:val="32405B2A"/>
    <w:rsid w:val="324234D5"/>
    <w:rsid w:val="32452FC5"/>
    <w:rsid w:val="32454D73"/>
    <w:rsid w:val="32480031"/>
    <w:rsid w:val="324F174E"/>
    <w:rsid w:val="324F5BF1"/>
    <w:rsid w:val="3251196A"/>
    <w:rsid w:val="32524EB8"/>
    <w:rsid w:val="32591540"/>
    <w:rsid w:val="325B78A5"/>
    <w:rsid w:val="32621481"/>
    <w:rsid w:val="326276D3"/>
    <w:rsid w:val="326351F9"/>
    <w:rsid w:val="32650F71"/>
    <w:rsid w:val="3268280F"/>
    <w:rsid w:val="326935B9"/>
    <w:rsid w:val="32696CB3"/>
    <w:rsid w:val="326A2A2B"/>
    <w:rsid w:val="326D3404"/>
    <w:rsid w:val="326E26B3"/>
    <w:rsid w:val="32700042"/>
    <w:rsid w:val="32737B32"/>
    <w:rsid w:val="32747406"/>
    <w:rsid w:val="32764F2C"/>
    <w:rsid w:val="32793C04"/>
    <w:rsid w:val="32847F41"/>
    <w:rsid w:val="32891103"/>
    <w:rsid w:val="328C0BF4"/>
    <w:rsid w:val="32935ADE"/>
    <w:rsid w:val="32957AA8"/>
    <w:rsid w:val="329769BD"/>
    <w:rsid w:val="32987598"/>
    <w:rsid w:val="32991471"/>
    <w:rsid w:val="329B4993"/>
    <w:rsid w:val="329C0D99"/>
    <w:rsid w:val="329E6876"/>
    <w:rsid w:val="32A25D21"/>
    <w:rsid w:val="32A32356"/>
    <w:rsid w:val="32A41A99"/>
    <w:rsid w:val="32A95302"/>
    <w:rsid w:val="32AA2E28"/>
    <w:rsid w:val="32B36180"/>
    <w:rsid w:val="32B37F2E"/>
    <w:rsid w:val="32B51EF8"/>
    <w:rsid w:val="32B53CA7"/>
    <w:rsid w:val="32B7315B"/>
    <w:rsid w:val="32B82A64"/>
    <w:rsid w:val="32B83797"/>
    <w:rsid w:val="32BF490D"/>
    <w:rsid w:val="32BF68D3"/>
    <w:rsid w:val="32C263C3"/>
    <w:rsid w:val="32CC1EED"/>
    <w:rsid w:val="32CE61B4"/>
    <w:rsid w:val="32D00AE0"/>
    <w:rsid w:val="32D560F7"/>
    <w:rsid w:val="32DA022E"/>
    <w:rsid w:val="32DA370D"/>
    <w:rsid w:val="32E26A66"/>
    <w:rsid w:val="32E427DE"/>
    <w:rsid w:val="32E4633A"/>
    <w:rsid w:val="32E75E2A"/>
    <w:rsid w:val="32E77BD8"/>
    <w:rsid w:val="32E825DF"/>
    <w:rsid w:val="32EB76C8"/>
    <w:rsid w:val="32F03BA4"/>
    <w:rsid w:val="32F21E9F"/>
    <w:rsid w:val="32F26CA9"/>
    <w:rsid w:val="32FB3683"/>
    <w:rsid w:val="32FD5C9B"/>
    <w:rsid w:val="32FD73FC"/>
    <w:rsid w:val="3301513E"/>
    <w:rsid w:val="330864CC"/>
    <w:rsid w:val="330B7D6A"/>
    <w:rsid w:val="330C763F"/>
    <w:rsid w:val="330D3AE3"/>
    <w:rsid w:val="33114C55"/>
    <w:rsid w:val="33122EA7"/>
    <w:rsid w:val="33134E71"/>
    <w:rsid w:val="33146501"/>
    <w:rsid w:val="33152997"/>
    <w:rsid w:val="331704BD"/>
    <w:rsid w:val="33184235"/>
    <w:rsid w:val="331A61FF"/>
    <w:rsid w:val="331C1F78"/>
    <w:rsid w:val="332130EA"/>
    <w:rsid w:val="332215E4"/>
    <w:rsid w:val="3326188F"/>
    <w:rsid w:val="3328091C"/>
    <w:rsid w:val="332901F1"/>
    <w:rsid w:val="332930F1"/>
    <w:rsid w:val="332D1A72"/>
    <w:rsid w:val="332D7CE1"/>
    <w:rsid w:val="332E4F6B"/>
    <w:rsid w:val="333029D5"/>
    <w:rsid w:val="33386686"/>
    <w:rsid w:val="33395BB8"/>
    <w:rsid w:val="333E57F9"/>
    <w:rsid w:val="334119DE"/>
    <w:rsid w:val="3341553A"/>
    <w:rsid w:val="33496E63"/>
    <w:rsid w:val="334D791B"/>
    <w:rsid w:val="335039CF"/>
    <w:rsid w:val="33527747"/>
    <w:rsid w:val="33541FD5"/>
    <w:rsid w:val="335B5AF2"/>
    <w:rsid w:val="335C05C6"/>
    <w:rsid w:val="335F1E64"/>
    <w:rsid w:val="336B45E5"/>
    <w:rsid w:val="336B6A5B"/>
    <w:rsid w:val="337771AE"/>
    <w:rsid w:val="33791178"/>
    <w:rsid w:val="3381627F"/>
    <w:rsid w:val="3386325D"/>
    <w:rsid w:val="33866BEF"/>
    <w:rsid w:val="33882539"/>
    <w:rsid w:val="33896EE1"/>
    <w:rsid w:val="338D4C23"/>
    <w:rsid w:val="338F274A"/>
    <w:rsid w:val="339128A9"/>
    <w:rsid w:val="3392223A"/>
    <w:rsid w:val="33953AD8"/>
    <w:rsid w:val="339E0BDF"/>
    <w:rsid w:val="33A7639F"/>
    <w:rsid w:val="33B201E6"/>
    <w:rsid w:val="33B2468A"/>
    <w:rsid w:val="33B51A84"/>
    <w:rsid w:val="33B5348D"/>
    <w:rsid w:val="33B77F0D"/>
    <w:rsid w:val="33BC0BBD"/>
    <w:rsid w:val="33C30645"/>
    <w:rsid w:val="33C52D92"/>
    <w:rsid w:val="33C63297"/>
    <w:rsid w:val="33CD6DCE"/>
    <w:rsid w:val="33CF2B46"/>
    <w:rsid w:val="33D771D0"/>
    <w:rsid w:val="33D934D4"/>
    <w:rsid w:val="33DB56BC"/>
    <w:rsid w:val="33DC1707"/>
    <w:rsid w:val="33DF6B01"/>
    <w:rsid w:val="33E660E2"/>
    <w:rsid w:val="33EA1E6B"/>
    <w:rsid w:val="33F829BD"/>
    <w:rsid w:val="33F86541"/>
    <w:rsid w:val="33F9642F"/>
    <w:rsid w:val="33FB1B8D"/>
    <w:rsid w:val="33FE2F6A"/>
    <w:rsid w:val="33FF738F"/>
    <w:rsid w:val="340824FC"/>
    <w:rsid w:val="340A0022"/>
    <w:rsid w:val="340C5B48"/>
    <w:rsid w:val="340F5638"/>
    <w:rsid w:val="3414192E"/>
    <w:rsid w:val="34190265"/>
    <w:rsid w:val="341E7629"/>
    <w:rsid w:val="34224435"/>
    <w:rsid w:val="342310E4"/>
    <w:rsid w:val="34242FB6"/>
    <w:rsid w:val="3425595B"/>
    <w:rsid w:val="34255B84"/>
    <w:rsid w:val="342563FC"/>
    <w:rsid w:val="342653A7"/>
    <w:rsid w:val="342866FA"/>
    <w:rsid w:val="342D3D10"/>
    <w:rsid w:val="34313C5A"/>
    <w:rsid w:val="343155AF"/>
    <w:rsid w:val="343230D5"/>
    <w:rsid w:val="343432F1"/>
    <w:rsid w:val="3434509F"/>
    <w:rsid w:val="34360E17"/>
    <w:rsid w:val="34362BC5"/>
    <w:rsid w:val="343A5A3C"/>
    <w:rsid w:val="343B2D13"/>
    <w:rsid w:val="343B467F"/>
    <w:rsid w:val="343E47B7"/>
    <w:rsid w:val="344057F2"/>
    <w:rsid w:val="34425A0E"/>
    <w:rsid w:val="34433534"/>
    <w:rsid w:val="3451678A"/>
    <w:rsid w:val="34565015"/>
    <w:rsid w:val="34574764"/>
    <w:rsid w:val="3457548F"/>
    <w:rsid w:val="345B087E"/>
    <w:rsid w:val="345E5902"/>
    <w:rsid w:val="34627928"/>
    <w:rsid w:val="34637732"/>
    <w:rsid w:val="346534AA"/>
    <w:rsid w:val="34675474"/>
    <w:rsid w:val="34684D49"/>
    <w:rsid w:val="34690D1B"/>
    <w:rsid w:val="346911EC"/>
    <w:rsid w:val="346A6D13"/>
    <w:rsid w:val="346E6803"/>
    <w:rsid w:val="347150DC"/>
    <w:rsid w:val="34727975"/>
    <w:rsid w:val="34796F56"/>
    <w:rsid w:val="347C1C67"/>
    <w:rsid w:val="347C3FD8"/>
    <w:rsid w:val="347D6A46"/>
    <w:rsid w:val="347E7F4E"/>
    <w:rsid w:val="34806536"/>
    <w:rsid w:val="34807019"/>
    <w:rsid w:val="34825E0A"/>
    <w:rsid w:val="34880F47"/>
    <w:rsid w:val="3489363D"/>
    <w:rsid w:val="348A5F67"/>
    <w:rsid w:val="348C0A37"/>
    <w:rsid w:val="348F6779"/>
    <w:rsid w:val="3491429F"/>
    <w:rsid w:val="34936269"/>
    <w:rsid w:val="34983880"/>
    <w:rsid w:val="349A13A6"/>
    <w:rsid w:val="349B2A17"/>
    <w:rsid w:val="349B511E"/>
    <w:rsid w:val="349D49F2"/>
    <w:rsid w:val="34A31424"/>
    <w:rsid w:val="34A43FD3"/>
    <w:rsid w:val="34AB35B3"/>
    <w:rsid w:val="34AC10D9"/>
    <w:rsid w:val="34AE07E1"/>
    <w:rsid w:val="34AE6BFF"/>
    <w:rsid w:val="34B14942"/>
    <w:rsid w:val="34B34216"/>
    <w:rsid w:val="34B42CD7"/>
    <w:rsid w:val="34B47F8E"/>
    <w:rsid w:val="34B63D06"/>
    <w:rsid w:val="34B65AB4"/>
    <w:rsid w:val="34BB30CA"/>
    <w:rsid w:val="34C401D1"/>
    <w:rsid w:val="34C943A5"/>
    <w:rsid w:val="34CA77B1"/>
    <w:rsid w:val="34CE091E"/>
    <w:rsid w:val="34CE72A2"/>
    <w:rsid w:val="34CE7CA8"/>
    <w:rsid w:val="34D10B40"/>
    <w:rsid w:val="34D26E21"/>
    <w:rsid w:val="34E940DB"/>
    <w:rsid w:val="34EE3925"/>
    <w:rsid w:val="34F43D78"/>
    <w:rsid w:val="34F5482E"/>
    <w:rsid w:val="34F82570"/>
    <w:rsid w:val="34FA1E45"/>
    <w:rsid w:val="34FA3BF3"/>
    <w:rsid w:val="34FB5395"/>
    <w:rsid w:val="350B5E00"/>
    <w:rsid w:val="350C3926"/>
    <w:rsid w:val="351006CF"/>
    <w:rsid w:val="35123632"/>
    <w:rsid w:val="35131158"/>
    <w:rsid w:val="351331F9"/>
    <w:rsid w:val="35134CB4"/>
    <w:rsid w:val="35145978"/>
    <w:rsid w:val="35161C05"/>
    <w:rsid w:val="351647A5"/>
    <w:rsid w:val="3518051D"/>
    <w:rsid w:val="351B4977"/>
    <w:rsid w:val="351C000D"/>
    <w:rsid w:val="35243365"/>
    <w:rsid w:val="352B31F5"/>
    <w:rsid w:val="352B532A"/>
    <w:rsid w:val="35344874"/>
    <w:rsid w:val="35352E7D"/>
    <w:rsid w:val="353A0493"/>
    <w:rsid w:val="353C420B"/>
    <w:rsid w:val="353F1F4D"/>
    <w:rsid w:val="35415CC5"/>
    <w:rsid w:val="35417A73"/>
    <w:rsid w:val="354237EC"/>
    <w:rsid w:val="35443D18"/>
    <w:rsid w:val="35447564"/>
    <w:rsid w:val="354E2190"/>
    <w:rsid w:val="354F3EEC"/>
    <w:rsid w:val="35523A2F"/>
    <w:rsid w:val="35527ED3"/>
    <w:rsid w:val="355754E9"/>
    <w:rsid w:val="35586B6B"/>
    <w:rsid w:val="355C2A85"/>
    <w:rsid w:val="355C48AD"/>
    <w:rsid w:val="3560331F"/>
    <w:rsid w:val="35631901"/>
    <w:rsid w:val="356541A8"/>
    <w:rsid w:val="35673502"/>
    <w:rsid w:val="356F59EC"/>
    <w:rsid w:val="35727C2D"/>
    <w:rsid w:val="357339A5"/>
    <w:rsid w:val="357716E7"/>
    <w:rsid w:val="357961FE"/>
    <w:rsid w:val="357A2F85"/>
    <w:rsid w:val="357A3B1C"/>
    <w:rsid w:val="357C0AAC"/>
    <w:rsid w:val="3583008C"/>
    <w:rsid w:val="35843E04"/>
    <w:rsid w:val="35867B7C"/>
    <w:rsid w:val="358856A2"/>
    <w:rsid w:val="358931C8"/>
    <w:rsid w:val="359009FB"/>
    <w:rsid w:val="35942299"/>
    <w:rsid w:val="35944047"/>
    <w:rsid w:val="359A53D6"/>
    <w:rsid w:val="359A63C0"/>
    <w:rsid w:val="359F64F2"/>
    <w:rsid w:val="35A239BC"/>
    <w:rsid w:val="35A46254"/>
    <w:rsid w:val="35A5691A"/>
    <w:rsid w:val="35A61FCC"/>
    <w:rsid w:val="35A63D7A"/>
    <w:rsid w:val="35A746CB"/>
    <w:rsid w:val="35AD6EB7"/>
    <w:rsid w:val="35B446E9"/>
    <w:rsid w:val="35BA15D4"/>
    <w:rsid w:val="35BC17F0"/>
    <w:rsid w:val="35BC70FA"/>
    <w:rsid w:val="35C04B91"/>
    <w:rsid w:val="35C83CF1"/>
    <w:rsid w:val="35CA5CBB"/>
    <w:rsid w:val="35CB558F"/>
    <w:rsid w:val="35CD1307"/>
    <w:rsid w:val="35CE1DFE"/>
    <w:rsid w:val="35CF6816"/>
    <w:rsid w:val="35D501BC"/>
    <w:rsid w:val="35D73F34"/>
    <w:rsid w:val="35D7578A"/>
    <w:rsid w:val="35DB7EC8"/>
    <w:rsid w:val="35DF2C43"/>
    <w:rsid w:val="35DF2FB2"/>
    <w:rsid w:val="35E04660"/>
    <w:rsid w:val="35EA7D42"/>
    <w:rsid w:val="35EB5CD8"/>
    <w:rsid w:val="35EE3AC7"/>
    <w:rsid w:val="35EF4301"/>
    <w:rsid w:val="35EF74CF"/>
    <w:rsid w:val="35F24F62"/>
    <w:rsid w:val="35FF348B"/>
    <w:rsid w:val="36015455"/>
    <w:rsid w:val="36074A7F"/>
    <w:rsid w:val="36080591"/>
    <w:rsid w:val="3608233F"/>
    <w:rsid w:val="3608381A"/>
    <w:rsid w:val="36107446"/>
    <w:rsid w:val="36145188"/>
    <w:rsid w:val="36162CAE"/>
    <w:rsid w:val="36174C78"/>
    <w:rsid w:val="361909F0"/>
    <w:rsid w:val="361E6007"/>
    <w:rsid w:val="361F444A"/>
    <w:rsid w:val="36251143"/>
    <w:rsid w:val="362C0724"/>
    <w:rsid w:val="362C2EF1"/>
    <w:rsid w:val="362D7FF8"/>
    <w:rsid w:val="362F1FC2"/>
    <w:rsid w:val="3632560E"/>
    <w:rsid w:val="36374158"/>
    <w:rsid w:val="363C023B"/>
    <w:rsid w:val="3643115A"/>
    <w:rsid w:val="36432478"/>
    <w:rsid w:val="364A2958"/>
    <w:rsid w:val="36525CB0"/>
    <w:rsid w:val="36530255"/>
    <w:rsid w:val="365437D6"/>
    <w:rsid w:val="36545584"/>
    <w:rsid w:val="365612FD"/>
    <w:rsid w:val="365732C7"/>
    <w:rsid w:val="365E6403"/>
    <w:rsid w:val="36653C36"/>
    <w:rsid w:val="36681030"/>
    <w:rsid w:val="366D6646"/>
    <w:rsid w:val="366F76E7"/>
    <w:rsid w:val="367141CE"/>
    <w:rsid w:val="36745C27"/>
    <w:rsid w:val="36782E63"/>
    <w:rsid w:val="367B6FB5"/>
    <w:rsid w:val="368340BC"/>
    <w:rsid w:val="36862834"/>
    <w:rsid w:val="36871691"/>
    <w:rsid w:val="3687277C"/>
    <w:rsid w:val="36891FCF"/>
    <w:rsid w:val="369129F7"/>
    <w:rsid w:val="36923549"/>
    <w:rsid w:val="36964EAD"/>
    <w:rsid w:val="36966D52"/>
    <w:rsid w:val="369736C3"/>
    <w:rsid w:val="3699743B"/>
    <w:rsid w:val="369D33CF"/>
    <w:rsid w:val="369D517D"/>
    <w:rsid w:val="369D6F2B"/>
    <w:rsid w:val="36A21135"/>
    <w:rsid w:val="36A55DE0"/>
    <w:rsid w:val="36AF19C0"/>
    <w:rsid w:val="36B240C8"/>
    <w:rsid w:val="36B31729"/>
    <w:rsid w:val="36B424C7"/>
    <w:rsid w:val="36B60F67"/>
    <w:rsid w:val="36B727F9"/>
    <w:rsid w:val="36B75FBF"/>
    <w:rsid w:val="36B83D65"/>
    <w:rsid w:val="36BA5D2F"/>
    <w:rsid w:val="36BD312A"/>
    <w:rsid w:val="36C47148"/>
    <w:rsid w:val="36C81818"/>
    <w:rsid w:val="36C827C2"/>
    <w:rsid w:val="36C97D20"/>
    <w:rsid w:val="36CA3A99"/>
    <w:rsid w:val="36CD6D52"/>
    <w:rsid w:val="36D42D35"/>
    <w:rsid w:val="36D466C5"/>
    <w:rsid w:val="36D93CDC"/>
    <w:rsid w:val="36DF5796"/>
    <w:rsid w:val="36E36908"/>
    <w:rsid w:val="36E7464B"/>
    <w:rsid w:val="36E87DFA"/>
    <w:rsid w:val="36E903C3"/>
    <w:rsid w:val="36E90A53"/>
    <w:rsid w:val="36E94D26"/>
    <w:rsid w:val="36EA57B9"/>
    <w:rsid w:val="36EA5EE9"/>
    <w:rsid w:val="36EE319D"/>
    <w:rsid w:val="36EE7787"/>
    <w:rsid w:val="36F01751"/>
    <w:rsid w:val="36F13DD3"/>
    <w:rsid w:val="36F6488E"/>
    <w:rsid w:val="36F80606"/>
    <w:rsid w:val="36F8396F"/>
    <w:rsid w:val="36FB4891"/>
    <w:rsid w:val="37003BEE"/>
    <w:rsid w:val="37076A9B"/>
    <w:rsid w:val="370C40B1"/>
    <w:rsid w:val="37100462"/>
    <w:rsid w:val="37103BA1"/>
    <w:rsid w:val="37107F95"/>
    <w:rsid w:val="37113475"/>
    <w:rsid w:val="37117300"/>
    <w:rsid w:val="37144D14"/>
    <w:rsid w:val="37152F66"/>
    <w:rsid w:val="37160A8C"/>
    <w:rsid w:val="371A057C"/>
    <w:rsid w:val="371B60A2"/>
    <w:rsid w:val="371F3DE4"/>
    <w:rsid w:val="37213AEB"/>
    <w:rsid w:val="37215DAE"/>
    <w:rsid w:val="37217B5C"/>
    <w:rsid w:val="372223AA"/>
    <w:rsid w:val="37226B12"/>
    <w:rsid w:val="37257503"/>
    <w:rsid w:val="372633C5"/>
    <w:rsid w:val="37265173"/>
    <w:rsid w:val="372C4753"/>
    <w:rsid w:val="372E04CB"/>
    <w:rsid w:val="372E4C5F"/>
    <w:rsid w:val="37305FF2"/>
    <w:rsid w:val="373553B6"/>
    <w:rsid w:val="37362EDC"/>
    <w:rsid w:val="373A4D44"/>
    <w:rsid w:val="373D24BC"/>
    <w:rsid w:val="37412642"/>
    <w:rsid w:val="37461371"/>
    <w:rsid w:val="37465815"/>
    <w:rsid w:val="37465A08"/>
    <w:rsid w:val="3748158D"/>
    <w:rsid w:val="374A567A"/>
    <w:rsid w:val="374B2E2B"/>
    <w:rsid w:val="374B6987"/>
    <w:rsid w:val="374E0226"/>
    <w:rsid w:val="37500442"/>
    <w:rsid w:val="37503F9E"/>
    <w:rsid w:val="375241BA"/>
    <w:rsid w:val="37544FE6"/>
    <w:rsid w:val="375515B4"/>
    <w:rsid w:val="37557806"/>
    <w:rsid w:val="375C3AD3"/>
    <w:rsid w:val="375F0685"/>
    <w:rsid w:val="37643EED"/>
    <w:rsid w:val="37667C65"/>
    <w:rsid w:val="376A024E"/>
    <w:rsid w:val="376E73A5"/>
    <w:rsid w:val="37725830"/>
    <w:rsid w:val="37744822"/>
    <w:rsid w:val="37760883"/>
    <w:rsid w:val="37773C20"/>
    <w:rsid w:val="377C1237"/>
    <w:rsid w:val="37804506"/>
    <w:rsid w:val="378123A9"/>
    <w:rsid w:val="378325C5"/>
    <w:rsid w:val="378835C5"/>
    <w:rsid w:val="378E4AC6"/>
    <w:rsid w:val="37904CE2"/>
    <w:rsid w:val="37920FAE"/>
    <w:rsid w:val="379775C4"/>
    <w:rsid w:val="37977BBC"/>
    <w:rsid w:val="37977E1F"/>
    <w:rsid w:val="37983B97"/>
    <w:rsid w:val="37985945"/>
    <w:rsid w:val="37991DE9"/>
    <w:rsid w:val="379929F5"/>
    <w:rsid w:val="379B23DD"/>
    <w:rsid w:val="379C5435"/>
    <w:rsid w:val="379E11AD"/>
    <w:rsid w:val="379F6CD3"/>
    <w:rsid w:val="37A12A4B"/>
    <w:rsid w:val="37A442EA"/>
    <w:rsid w:val="37A91900"/>
    <w:rsid w:val="37AB5678"/>
    <w:rsid w:val="37B10249"/>
    <w:rsid w:val="37B7226F"/>
    <w:rsid w:val="37B90489"/>
    <w:rsid w:val="37B95FE7"/>
    <w:rsid w:val="37BA3B0D"/>
    <w:rsid w:val="37BC1633"/>
    <w:rsid w:val="37BC5AD7"/>
    <w:rsid w:val="37C52C3A"/>
    <w:rsid w:val="37C64260"/>
    <w:rsid w:val="37C8622A"/>
    <w:rsid w:val="37C93D50"/>
    <w:rsid w:val="37CB1876"/>
    <w:rsid w:val="37CD5B9C"/>
    <w:rsid w:val="37CE75B8"/>
    <w:rsid w:val="37CF0E96"/>
    <w:rsid w:val="37D00B7F"/>
    <w:rsid w:val="37D3697D"/>
    <w:rsid w:val="37DA41AF"/>
    <w:rsid w:val="37DE77FC"/>
    <w:rsid w:val="37E128C2"/>
    <w:rsid w:val="37EA43F2"/>
    <w:rsid w:val="37ED3EE3"/>
    <w:rsid w:val="37ED7A3F"/>
    <w:rsid w:val="37F012DD"/>
    <w:rsid w:val="37F76B0F"/>
    <w:rsid w:val="37FE3BFC"/>
    <w:rsid w:val="37FE7E9E"/>
    <w:rsid w:val="380A4A95"/>
    <w:rsid w:val="38170F5F"/>
    <w:rsid w:val="38172D0E"/>
    <w:rsid w:val="381E32DD"/>
    <w:rsid w:val="38203594"/>
    <w:rsid w:val="38206066"/>
    <w:rsid w:val="3825542A"/>
    <w:rsid w:val="382B67B9"/>
    <w:rsid w:val="38303DA7"/>
    <w:rsid w:val="3831064E"/>
    <w:rsid w:val="38325D99"/>
    <w:rsid w:val="38353194"/>
    <w:rsid w:val="3835486A"/>
    <w:rsid w:val="383A6DB4"/>
    <w:rsid w:val="383B4C4E"/>
    <w:rsid w:val="384229DF"/>
    <w:rsid w:val="38467783"/>
    <w:rsid w:val="38471845"/>
    <w:rsid w:val="38471D9D"/>
    <w:rsid w:val="3848736B"/>
    <w:rsid w:val="384A30E3"/>
    <w:rsid w:val="384B29B7"/>
    <w:rsid w:val="384E4FBD"/>
    <w:rsid w:val="384F204E"/>
    <w:rsid w:val="384F24A7"/>
    <w:rsid w:val="38510B28"/>
    <w:rsid w:val="38547ABE"/>
    <w:rsid w:val="385950D4"/>
    <w:rsid w:val="386046B4"/>
    <w:rsid w:val="38635F53"/>
    <w:rsid w:val="38653A79"/>
    <w:rsid w:val="386D5023"/>
    <w:rsid w:val="386D6DD1"/>
    <w:rsid w:val="387463B2"/>
    <w:rsid w:val="3875408A"/>
    <w:rsid w:val="38763ED8"/>
    <w:rsid w:val="38787C50"/>
    <w:rsid w:val="387B40F9"/>
    <w:rsid w:val="38883C0B"/>
    <w:rsid w:val="38912AC0"/>
    <w:rsid w:val="38926838"/>
    <w:rsid w:val="389425B0"/>
    <w:rsid w:val="38972D3F"/>
    <w:rsid w:val="38983E4E"/>
    <w:rsid w:val="389B56ED"/>
    <w:rsid w:val="389F78EA"/>
    <w:rsid w:val="38A65E3F"/>
    <w:rsid w:val="38AA5930"/>
    <w:rsid w:val="38AC5B4C"/>
    <w:rsid w:val="38B7004D"/>
    <w:rsid w:val="38B86F38"/>
    <w:rsid w:val="38B90459"/>
    <w:rsid w:val="38B927E7"/>
    <w:rsid w:val="38BA2623"/>
    <w:rsid w:val="38BB18EB"/>
    <w:rsid w:val="38BB2412"/>
    <w:rsid w:val="38BD1B07"/>
    <w:rsid w:val="38C35493"/>
    <w:rsid w:val="38C42E95"/>
    <w:rsid w:val="38C8225A"/>
    <w:rsid w:val="38CF5396"/>
    <w:rsid w:val="38D0417E"/>
    <w:rsid w:val="38D1110E"/>
    <w:rsid w:val="38D66725"/>
    <w:rsid w:val="38E075A3"/>
    <w:rsid w:val="38E250CA"/>
    <w:rsid w:val="38E452E6"/>
    <w:rsid w:val="38E91D32"/>
    <w:rsid w:val="38E928FC"/>
    <w:rsid w:val="38E946AA"/>
    <w:rsid w:val="38EA21D0"/>
    <w:rsid w:val="38EC5F48"/>
    <w:rsid w:val="38EE040E"/>
    <w:rsid w:val="38F12CD3"/>
    <w:rsid w:val="38F1355F"/>
    <w:rsid w:val="38F44DFD"/>
    <w:rsid w:val="38F92413"/>
    <w:rsid w:val="38F94373"/>
    <w:rsid w:val="38F94775"/>
    <w:rsid w:val="38FF3ECD"/>
    <w:rsid w:val="3901717A"/>
    <w:rsid w:val="390246F3"/>
    <w:rsid w:val="39070FD4"/>
    <w:rsid w:val="390B6245"/>
    <w:rsid w:val="39162FC5"/>
    <w:rsid w:val="39167469"/>
    <w:rsid w:val="3919532C"/>
    <w:rsid w:val="391B05DB"/>
    <w:rsid w:val="391D4354"/>
    <w:rsid w:val="39237490"/>
    <w:rsid w:val="39246EA0"/>
    <w:rsid w:val="39290F4A"/>
    <w:rsid w:val="392971ED"/>
    <w:rsid w:val="39304C93"/>
    <w:rsid w:val="39311478"/>
    <w:rsid w:val="39322601"/>
    <w:rsid w:val="3938118D"/>
    <w:rsid w:val="393A3157"/>
    <w:rsid w:val="393D2C48"/>
    <w:rsid w:val="394051F8"/>
    <w:rsid w:val="39455658"/>
    <w:rsid w:val="39461AFC"/>
    <w:rsid w:val="394C4C39"/>
    <w:rsid w:val="394D77FC"/>
    <w:rsid w:val="39504729"/>
    <w:rsid w:val="3950579F"/>
    <w:rsid w:val="3953226C"/>
    <w:rsid w:val="3953286E"/>
    <w:rsid w:val="39535FC7"/>
    <w:rsid w:val="39551D3F"/>
    <w:rsid w:val="39561614"/>
    <w:rsid w:val="39567866"/>
    <w:rsid w:val="39581830"/>
    <w:rsid w:val="395A55A8"/>
    <w:rsid w:val="395C1320"/>
    <w:rsid w:val="3962620A"/>
    <w:rsid w:val="39657AA9"/>
    <w:rsid w:val="39663F4D"/>
    <w:rsid w:val="39665CFB"/>
    <w:rsid w:val="396C0E37"/>
    <w:rsid w:val="396E2E01"/>
    <w:rsid w:val="39706B79"/>
    <w:rsid w:val="397117F7"/>
    <w:rsid w:val="39736669"/>
    <w:rsid w:val="39761CB6"/>
    <w:rsid w:val="397D3044"/>
    <w:rsid w:val="397D6458"/>
    <w:rsid w:val="397D70D7"/>
    <w:rsid w:val="39810D86"/>
    <w:rsid w:val="3983274D"/>
    <w:rsid w:val="39837AA9"/>
    <w:rsid w:val="398B3A18"/>
    <w:rsid w:val="398B750F"/>
    <w:rsid w:val="398C14D9"/>
    <w:rsid w:val="398C590D"/>
    <w:rsid w:val="39902346"/>
    <w:rsid w:val="39906069"/>
    <w:rsid w:val="399225DD"/>
    <w:rsid w:val="3995213C"/>
    <w:rsid w:val="399860D0"/>
    <w:rsid w:val="399C796E"/>
    <w:rsid w:val="399F120C"/>
    <w:rsid w:val="39A14F85"/>
    <w:rsid w:val="39A63CD6"/>
    <w:rsid w:val="39A86313"/>
    <w:rsid w:val="39AB2E16"/>
    <w:rsid w:val="39AE76A2"/>
    <w:rsid w:val="39AF0983"/>
    <w:rsid w:val="39BC1DBE"/>
    <w:rsid w:val="39BC70BE"/>
    <w:rsid w:val="39BD18DE"/>
    <w:rsid w:val="39BF365D"/>
    <w:rsid w:val="39C3314D"/>
    <w:rsid w:val="39CD5D7A"/>
    <w:rsid w:val="39CE3969"/>
    <w:rsid w:val="39D07613"/>
    <w:rsid w:val="39D30EB6"/>
    <w:rsid w:val="39D52E80"/>
    <w:rsid w:val="39D54C2E"/>
    <w:rsid w:val="39D569DC"/>
    <w:rsid w:val="39D64A99"/>
    <w:rsid w:val="39DF6898"/>
    <w:rsid w:val="39E6508D"/>
    <w:rsid w:val="39E758BD"/>
    <w:rsid w:val="39E97DA8"/>
    <w:rsid w:val="39ED170C"/>
    <w:rsid w:val="39ED1F78"/>
    <w:rsid w:val="39F552D0"/>
    <w:rsid w:val="39FA4695"/>
    <w:rsid w:val="39FE4185"/>
    <w:rsid w:val="3A0117D1"/>
    <w:rsid w:val="3A064DE8"/>
    <w:rsid w:val="3A0A0C34"/>
    <w:rsid w:val="3A0A0D7C"/>
    <w:rsid w:val="3A0B0650"/>
    <w:rsid w:val="3A10210A"/>
    <w:rsid w:val="3A103EB8"/>
    <w:rsid w:val="3A192D6D"/>
    <w:rsid w:val="3A1A4D37"/>
    <w:rsid w:val="3A1B12AC"/>
    <w:rsid w:val="3A1B478A"/>
    <w:rsid w:val="3A1C0AAF"/>
    <w:rsid w:val="3A1E073A"/>
    <w:rsid w:val="3A255BB6"/>
    <w:rsid w:val="3A29194C"/>
    <w:rsid w:val="3A2B3AE8"/>
    <w:rsid w:val="3A2E4B81"/>
    <w:rsid w:val="3A2E7EAC"/>
    <w:rsid w:val="3A306308"/>
    <w:rsid w:val="3A3E4582"/>
    <w:rsid w:val="3A3F654C"/>
    <w:rsid w:val="3A40479E"/>
    <w:rsid w:val="3A410516"/>
    <w:rsid w:val="3A414072"/>
    <w:rsid w:val="3A440893"/>
    <w:rsid w:val="3A443B62"/>
    <w:rsid w:val="3A465B2C"/>
    <w:rsid w:val="3A496293"/>
    <w:rsid w:val="3A4A1178"/>
    <w:rsid w:val="3A4A561C"/>
    <w:rsid w:val="3A4C4242"/>
    <w:rsid w:val="3A513BB2"/>
    <w:rsid w:val="3A53360C"/>
    <w:rsid w:val="3A540410"/>
    <w:rsid w:val="3A5448AB"/>
    <w:rsid w:val="3A575643"/>
    <w:rsid w:val="3A581C37"/>
    <w:rsid w:val="3A59760D"/>
    <w:rsid w:val="3A5E2E76"/>
    <w:rsid w:val="3A63223A"/>
    <w:rsid w:val="3A663AD8"/>
    <w:rsid w:val="3A6A6066"/>
    <w:rsid w:val="3A6B550B"/>
    <w:rsid w:val="3A742699"/>
    <w:rsid w:val="3A751279"/>
    <w:rsid w:val="3A8723CC"/>
    <w:rsid w:val="3A887EF3"/>
    <w:rsid w:val="3A8B353F"/>
    <w:rsid w:val="3A8D6676"/>
    <w:rsid w:val="3A916DA7"/>
    <w:rsid w:val="3A921CEB"/>
    <w:rsid w:val="3A944AE9"/>
    <w:rsid w:val="3A95616C"/>
    <w:rsid w:val="3A995C5C"/>
    <w:rsid w:val="3A9C574C"/>
    <w:rsid w:val="3A9D19CF"/>
    <w:rsid w:val="3AA26176"/>
    <w:rsid w:val="3AA45590"/>
    <w:rsid w:val="3AA54601"/>
    <w:rsid w:val="3AA60379"/>
    <w:rsid w:val="3AA64BD0"/>
    <w:rsid w:val="3AA82343"/>
    <w:rsid w:val="3AA8578D"/>
    <w:rsid w:val="3AAC1E33"/>
    <w:rsid w:val="3AB33BF5"/>
    <w:rsid w:val="3AB900AC"/>
    <w:rsid w:val="3ABC194A"/>
    <w:rsid w:val="3ABE2449"/>
    <w:rsid w:val="3ACD3B57"/>
    <w:rsid w:val="3ACF167E"/>
    <w:rsid w:val="3ACF5B21"/>
    <w:rsid w:val="3AD35612"/>
    <w:rsid w:val="3AD82C28"/>
    <w:rsid w:val="3AD849D6"/>
    <w:rsid w:val="3AD969A0"/>
    <w:rsid w:val="3ADA2030"/>
    <w:rsid w:val="3ADB0022"/>
    <w:rsid w:val="3AE315B0"/>
    <w:rsid w:val="3AE852B6"/>
    <w:rsid w:val="3AEA64B7"/>
    <w:rsid w:val="3AEC0481"/>
    <w:rsid w:val="3AED5FA8"/>
    <w:rsid w:val="3AF92B9E"/>
    <w:rsid w:val="3AFD4730"/>
    <w:rsid w:val="3AFD5E03"/>
    <w:rsid w:val="3AFD61EB"/>
    <w:rsid w:val="3B007A89"/>
    <w:rsid w:val="3B014298"/>
    <w:rsid w:val="3B021A53"/>
    <w:rsid w:val="3B070E17"/>
    <w:rsid w:val="3B082DE1"/>
    <w:rsid w:val="3B111C96"/>
    <w:rsid w:val="3B132EBB"/>
    <w:rsid w:val="3B181276"/>
    <w:rsid w:val="3B1874C8"/>
    <w:rsid w:val="3B191B5E"/>
    <w:rsid w:val="3B1A5974"/>
    <w:rsid w:val="3B1B0D67"/>
    <w:rsid w:val="3B1D688D"/>
    <w:rsid w:val="3B21695D"/>
    <w:rsid w:val="3B2A0FAA"/>
    <w:rsid w:val="3B2F036E"/>
    <w:rsid w:val="3B304812"/>
    <w:rsid w:val="3B31760D"/>
    <w:rsid w:val="3B345984"/>
    <w:rsid w:val="3B3763D1"/>
    <w:rsid w:val="3B3D0CDD"/>
    <w:rsid w:val="3B3D6F2F"/>
    <w:rsid w:val="3B3E4314"/>
    <w:rsid w:val="3B424545"/>
    <w:rsid w:val="3B4262F3"/>
    <w:rsid w:val="3B4406AD"/>
    <w:rsid w:val="3B451F73"/>
    <w:rsid w:val="3B4A51A8"/>
    <w:rsid w:val="3B4E6A46"/>
    <w:rsid w:val="3B530501"/>
    <w:rsid w:val="3B5424B5"/>
    <w:rsid w:val="3B561D9F"/>
    <w:rsid w:val="3B5C3046"/>
    <w:rsid w:val="3B6444BC"/>
    <w:rsid w:val="3B660234"/>
    <w:rsid w:val="3B6B3A9C"/>
    <w:rsid w:val="3B6B584A"/>
    <w:rsid w:val="3B6D4F6B"/>
    <w:rsid w:val="3B7346FF"/>
    <w:rsid w:val="3B7A5A8D"/>
    <w:rsid w:val="3B81506E"/>
    <w:rsid w:val="3B903503"/>
    <w:rsid w:val="3B905FB8"/>
    <w:rsid w:val="3B974891"/>
    <w:rsid w:val="3B9A7EDD"/>
    <w:rsid w:val="3B9D5C20"/>
    <w:rsid w:val="3B9F54F4"/>
    <w:rsid w:val="3BA35F47"/>
    <w:rsid w:val="3BA945C4"/>
    <w:rsid w:val="3BAB1B9C"/>
    <w:rsid w:val="3BAB20EB"/>
    <w:rsid w:val="3BAB3E99"/>
    <w:rsid w:val="3BAB7ADE"/>
    <w:rsid w:val="3BAE24DA"/>
    <w:rsid w:val="3BB014AF"/>
    <w:rsid w:val="3BB15227"/>
    <w:rsid w:val="3BB164CD"/>
    <w:rsid w:val="3BB645EB"/>
    <w:rsid w:val="3BBF7944"/>
    <w:rsid w:val="3BC1190E"/>
    <w:rsid w:val="3BC136BC"/>
    <w:rsid w:val="3BC44F5A"/>
    <w:rsid w:val="3BC60CD2"/>
    <w:rsid w:val="3BCE7B87"/>
    <w:rsid w:val="3BD11425"/>
    <w:rsid w:val="3BD776DA"/>
    <w:rsid w:val="3BD80A06"/>
    <w:rsid w:val="3BDA477E"/>
    <w:rsid w:val="3BDC22A4"/>
    <w:rsid w:val="3BDF1D94"/>
    <w:rsid w:val="3BE21884"/>
    <w:rsid w:val="3BEE0229"/>
    <w:rsid w:val="3BF36DBD"/>
    <w:rsid w:val="3BF84C04"/>
    <w:rsid w:val="3BFC46F4"/>
    <w:rsid w:val="3BFD046C"/>
    <w:rsid w:val="3BFE66BE"/>
    <w:rsid w:val="3C011D0B"/>
    <w:rsid w:val="3C0417FB"/>
    <w:rsid w:val="3C0637C5"/>
    <w:rsid w:val="3C067321"/>
    <w:rsid w:val="3C070B8D"/>
    <w:rsid w:val="3C1001A0"/>
    <w:rsid w:val="3C166A9C"/>
    <w:rsid w:val="3C17152E"/>
    <w:rsid w:val="3C1F6635"/>
    <w:rsid w:val="3C2854E9"/>
    <w:rsid w:val="3C2D2B00"/>
    <w:rsid w:val="3C300842"/>
    <w:rsid w:val="3C3A4B39"/>
    <w:rsid w:val="3C4165AB"/>
    <w:rsid w:val="3C432323"/>
    <w:rsid w:val="3C44609B"/>
    <w:rsid w:val="3C4A1903"/>
    <w:rsid w:val="3C4D13F4"/>
    <w:rsid w:val="3C504A40"/>
    <w:rsid w:val="3C553E04"/>
    <w:rsid w:val="3C5A141B"/>
    <w:rsid w:val="3C5A45CF"/>
    <w:rsid w:val="3C5E0F0B"/>
    <w:rsid w:val="3C5F4C83"/>
    <w:rsid w:val="3C611042"/>
    <w:rsid w:val="3C6179FE"/>
    <w:rsid w:val="3C667DC0"/>
    <w:rsid w:val="3C6B3628"/>
    <w:rsid w:val="3C700C3E"/>
    <w:rsid w:val="3C7050E2"/>
    <w:rsid w:val="3C7E335B"/>
    <w:rsid w:val="3C7E4C3C"/>
    <w:rsid w:val="3C7E77FF"/>
    <w:rsid w:val="3C7F0E81"/>
    <w:rsid w:val="3C805325"/>
    <w:rsid w:val="3C857708"/>
    <w:rsid w:val="3C8766A6"/>
    <w:rsid w:val="3C8B3CCA"/>
    <w:rsid w:val="3C940DD1"/>
    <w:rsid w:val="3C9618E6"/>
    <w:rsid w:val="3C990195"/>
    <w:rsid w:val="3C9C3DF5"/>
    <w:rsid w:val="3C9C7C85"/>
    <w:rsid w:val="3C9E1C4F"/>
    <w:rsid w:val="3CA164D5"/>
    <w:rsid w:val="3CA1704A"/>
    <w:rsid w:val="3CA22536"/>
    <w:rsid w:val="3CA31F01"/>
    <w:rsid w:val="3CA408E8"/>
    <w:rsid w:val="3CBB45AF"/>
    <w:rsid w:val="3CBC20D5"/>
    <w:rsid w:val="3CBE19AA"/>
    <w:rsid w:val="3CBE640F"/>
    <w:rsid w:val="3CC0462F"/>
    <w:rsid w:val="3CC05722"/>
    <w:rsid w:val="3CC316B6"/>
    <w:rsid w:val="3CC571DC"/>
    <w:rsid w:val="3CC61931"/>
    <w:rsid w:val="3CCA65A0"/>
    <w:rsid w:val="3CCD3C8C"/>
    <w:rsid w:val="3CCD6091"/>
    <w:rsid w:val="3CD613E9"/>
    <w:rsid w:val="3CDA245A"/>
    <w:rsid w:val="3CDB255C"/>
    <w:rsid w:val="3CDB7B24"/>
    <w:rsid w:val="3CE05DC4"/>
    <w:rsid w:val="3CE37662"/>
    <w:rsid w:val="3CE7185D"/>
    <w:rsid w:val="3CEA4A31"/>
    <w:rsid w:val="3CEB6517"/>
    <w:rsid w:val="3CEC4769"/>
    <w:rsid w:val="3CEE0A37"/>
    <w:rsid w:val="3CF0711C"/>
    <w:rsid w:val="3CF67395"/>
    <w:rsid w:val="3CFA3924"/>
    <w:rsid w:val="3CFB49AC"/>
    <w:rsid w:val="3CFC24D2"/>
    <w:rsid w:val="3CFC735A"/>
    <w:rsid w:val="3CFE624A"/>
    <w:rsid w:val="3D011811"/>
    <w:rsid w:val="3D05582A"/>
    <w:rsid w:val="3D056A3F"/>
    <w:rsid w:val="3D0F48FB"/>
    <w:rsid w:val="3D10720F"/>
    <w:rsid w:val="3D112421"/>
    <w:rsid w:val="3D1617E6"/>
    <w:rsid w:val="3D18555E"/>
    <w:rsid w:val="3D1B3B06"/>
    <w:rsid w:val="3D2008B6"/>
    <w:rsid w:val="3D204412"/>
    <w:rsid w:val="3D2C1009"/>
    <w:rsid w:val="3D2C725B"/>
    <w:rsid w:val="3D2F0AF9"/>
    <w:rsid w:val="3D3035F9"/>
    <w:rsid w:val="3D344362"/>
    <w:rsid w:val="3D363C36"/>
    <w:rsid w:val="3D3D6D72"/>
    <w:rsid w:val="3D430101"/>
    <w:rsid w:val="3D4520CB"/>
    <w:rsid w:val="3D475E43"/>
    <w:rsid w:val="3D491BBB"/>
    <w:rsid w:val="3D4D6987"/>
    <w:rsid w:val="3D4E71D1"/>
    <w:rsid w:val="3D4F2F4A"/>
    <w:rsid w:val="3D50442D"/>
    <w:rsid w:val="3D5672BD"/>
    <w:rsid w:val="3D5D11C3"/>
    <w:rsid w:val="3D5E4F3B"/>
    <w:rsid w:val="3D605157"/>
    <w:rsid w:val="3D6215E7"/>
    <w:rsid w:val="3D624A2B"/>
    <w:rsid w:val="3D6469F5"/>
    <w:rsid w:val="3D6562C9"/>
    <w:rsid w:val="3D670293"/>
    <w:rsid w:val="3D672041"/>
    <w:rsid w:val="3D691975"/>
    <w:rsid w:val="3D6A7D83"/>
    <w:rsid w:val="3D6B6BFA"/>
    <w:rsid w:val="3D6D517E"/>
    <w:rsid w:val="3D6E33D0"/>
    <w:rsid w:val="3D700FA5"/>
    <w:rsid w:val="3D736C38"/>
    <w:rsid w:val="3D736D65"/>
    <w:rsid w:val="3D766728"/>
    <w:rsid w:val="3D785FFC"/>
    <w:rsid w:val="3D7B789B"/>
    <w:rsid w:val="3D7E17DF"/>
    <w:rsid w:val="3D842BF3"/>
    <w:rsid w:val="3D89020A"/>
    <w:rsid w:val="3D913562"/>
    <w:rsid w:val="3D915310"/>
    <w:rsid w:val="3D9170BE"/>
    <w:rsid w:val="3D9B618F"/>
    <w:rsid w:val="3D9C66F8"/>
    <w:rsid w:val="3D9F17DB"/>
    <w:rsid w:val="3D9F7A2D"/>
    <w:rsid w:val="3DA23C6B"/>
    <w:rsid w:val="3DA4758B"/>
    <w:rsid w:val="3DA47914"/>
    <w:rsid w:val="3DB3369B"/>
    <w:rsid w:val="3DBB238D"/>
    <w:rsid w:val="3DBC3A61"/>
    <w:rsid w:val="3DBD2CBA"/>
    <w:rsid w:val="3DBD4357"/>
    <w:rsid w:val="3DC65F30"/>
    <w:rsid w:val="3DD31485"/>
    <w:rsid w:val="3DD516A1"/>
    <w:rsid w:val="3DDD2303"/>
    <w:rsid w:val="3DE03BA2"/>
    <w:rsid w:val="3DE11078"/>
    <w:rsid w:val="3DE37306"/>
    <w:rsid w:val="3DE73182"/>
    <w:rsid w:val="3DEB2C72"/>
    <w:rsid w:val="3DF338D5"/>
    <w:rsid w:val="3DF37D79"/>
    <w:rsid w:val="3DF96E3A"/>
    <w:rsid w:val="3DFC7B0B"/>
    <w:rsid w:val="3DFD29A6"/>
    <w:rsid w:val="3E015FF2"/>
    <w:rsid w:val="3E0203F7"/>
    <w:rsid w:val="3E02320C"/>
    <w:rsid w:val="3E083824"/>
    <w:rsid w:val="3E104487"/>
    <w:rsid w:val="3E1113DE"/>
    <w:rsid w:val="3E135D25"/>
    <w:rsid w:val="3E175750"/>
    <w:rsid w:val="3E18333B"/>
    <w:rsid w:val="3E1877DF"/>
    <w:rsid w:val="3E1A5306"/>
    <w:rsid w:val="3E1A6DC1"/>
    <w:rsid w:val="3E1D0952"/>
    <w:rsid w:val="3E1D4DF6"/>
    <w:rsid w:val="3E1F291C"/>
    <w:rsid w:val="3E23240C"/>
    <w:rsid w:val="3E247F32"/>
    <w:rsid w:val="3E29379B"/>
    <w:rsid w:val="3E295549"/>
    <w:rsid w:val="3E2A60B5"/>
    <w:rsid w:val="3E2E7003"/>
    <w:rsid w:val="3E3143FD"/>
    <w:rsid w:val="3E3144BE"/>
    <w:rsid w:val="3E377C66"/>
    <w:rsid w:val="3E38578C"/>
    <w:rsid w:val="3E3A106C"/>
    <w:rsid w:val="3E3D275E"/>
    <w:rsid w:val="3E3F6B1A"/>
    <w:rsid w:val="3E43485C"/>
    <w:rsid w:val="3E46434D"/>
    <w:rsid w:val="3E467DCB"/>
    <w:rsid w:val="3E4E3201"/>
    <w:rsid w:val="3E4F1453"/>
    <w:rsid w:val="3E4F1FA4"/>
    <w:rsid w:val="3E587BDC"/>
    <w:rsid w:val="3E5E3444"/>
    <w:rsid w:val="3E6246F2"/>
    <w:rsid w:val="3E636CAD"/>
    <w:rsid w:val="3E692FF0"/>
    <w:rsid w:val="3E693B97"/>
    <w:rsid w:val="3E6D7B2B"/>
    <w:rsid w:val="3E7013C9"/>
    <w:rsid w:val="3E767CA2"/>
    <w:rsid w:val="3E78202C"/>
    <w:rsid w:val="3E78424B"/>
    <w:rsid w:val="3E7C7D6E"/>
    <w:rsid w:val="3E864749"/>
    <w:rsid w:val="3E8B7FB1"/>
    <w:rsid w:val="3E8E35FE"/>
    <w:rsid w:val="3E90381A"/>
    <w:rsid w:val="3E907376"/>
    <w:rsid w:val="3E921340"/>
    <w:rsid w:val="3E941710"/>
    <w:rsid w:val="3E95498C"/>
    <w:rsid w:val="3E976956"/>
    <w:rsid w:val="3E983B7D"/>
    <w:rsid w:val="3E9A01F4"/>
    <w:rsid w:val="3E9C5D1B"/>
    <w:rsid w:val="3E9D66EF"/>
    <w:rsid w:val="3EA10976"/>
    <w:rsid w:val="3EA11583"/>
    <w:rsid w:val="3EA11895"/>
    <w:rsid w:val="3EAC2D08"/>
    <w:rsid w:val="3EB06725"/>
    <w:rsid w:val="3EB9437E"/>
    <w:rsid w:val="3EBF1FF6"/>
    <w:rsid w:val="3EC7118D"/>
    <w:rsid w:val="3ECC5112"/>
    <w:rsid w:val="3ECD2378"/>
    <w:rsid w:val="3ECF148E"/>
    <w:rsid w:val="3ED90D1D"/>
    <w:rsid w:val="3EDD198D"/>
    <w:rsid w:val="3EE020AB"/>
    <w:rsid w:val="3EE31B9B"/>
    <w:rsid w:val="3EE86526"/>
    <w:rsid w:val="3EE871B2"/>
    <w:rsid w:val="3EEA4CD8"/>
    <w:rsid w:val="3EEF23AA"/>
    <w:rsid w:val="3EF15791"/>
    <w:rsid w:val="3EF23B8C"/>
    <w:rsid w:val="3EF47905"/>
    <w:rsid w:val="3EF9316D"/>
    <w:rsid w:val="3EFB0C93"/>
    <w:rsid w:val="3F001B51"/>
    <w:rsid w:val="3F03223E"/>
    <w:rsid w:val="3F06588A"/>
    <w:rsid w:val="3F0840B9"/>
    <w:rsid w:val="3F0A35CC"/>
    <w:rsid w:val="3F0B2DA6"/>
    <w:rsid w:val="3F0F473E"/>
    <w:rsid w:val="3F171845"/>
    <w:rsid w:val="3F19736B"/>
    <w:rsid w:val="3F197F5F"/>
    <w:rsid w:val="3F1E4982"/>
    <w:rsid w:val="3F220916"/>
    <w:rsid w:val="3F2268A2"/>
    <w:rsid w:val="3F260B3C"/>
    <w:rsid w:val="3F281CA4"/>
    <w:rsid w:val="3F3146B5"/>
    <w:rsid w:val="3F375A43"/>
    <w:rsid w:val="3F397A0D"/>
    <w:rsid w:val="3F3E5CD5"/>
    <w:rsid w:val="3F3F46D3"/>
    <w:rsid w:val="3F407113"/>
    <w:rsid w:val="3F441A8C"/>
    <w:rsid w:val="3F44662B"/>
    <w:rsid w:val="3F4A741D"/>
    <w:rsid w:val="3F4D34B9"/>
    <w:rsid w:val="3F4D4F72"/>
    <w:rsid w:val="3F5465F5"/>
    <w:rsid w:val="3F555269"/>
    <w:rsid w:val="3F5605BF"/>
    <w:rsid w:val="3F56236D"/>
    <w:rsid w:val="3F5900B0"/>
    <w:rsid w:val="3F591E5E"/>
    <w:rsid w:val="3F5A676C"/>
    <w:rsid w:val="3F5D36FC"/>
    <w:rsid w:val="3F5D5AEE"/>
    <w:rsid w:val="3F604F9A"/>
    <w:rsid w:val="3F660E74"/>
    <w:rsid w:val="3F6C1B91"/>
    <w:rsid w:val="3F6C393F"/>
    <w:rsid w:val="3F6D50FF"/>
    <w:rsid w:val="3F6E19E9"/>
    <w:rsid w:val="3F6F1681"/>
    <w:rsid w:val="3F710F55"/>
    <w:rsid w:val="3F744EE9"/>
    <w:rsid w:val="3F780536"/>
    <w:rsid w:val="3F7942AE"/>
    <w:rsid w:val="3F7B7B8A"/>
    <w:rsid w:val="3F811F08"/>
    <w:rsid w:val="3F817E67"/>
    <w:rsid w:val="3F862E62"/>
    <w:rsid w:val="3F8844F1"/>
    <w:rsid w:val="3F905FED"/>
    <w:rsid w:val="3F9115F7"/>
    <w:rsid w:val="3F9335CD"/>
    <w:rsid w:val="3F995D91"/>
    <w:rsid w:val="3F9D1D4A"/>
    <w:rsid w:val="3FA94B93"/>
    <w:rsid w:val="3FAC01DF"/>
    <w:rsid w:val="3FAC745B"/>
    <w:rsid w:val="3FAF13AE"/>
    <w:rsid w:val="3FAF7CCF"/>
    <w:rsid w:val="3FB12ADB"/>
    <w:rsid w:val="3FB164F4"/>
    <w:rsid w:val="3FB26203"/>
    <w:rsid w:val="3FB3156E"/>
    <w:rsid w:val="3FB53538"/>
    <w:rsid w:val="3FBD419A"/>
    <w:rsid w:val="3FBE7F13"/>
    <w:rsid w:val="3FC26C5C"/>
    <w:rsid w:val="3FC63871"/>
    <w:rsid w:val="3FC75AA0"/>
    <w:rsid w:val="3FC96EB0"/>
    <w:rsid w:val="3FCF2120"/>
    <w:rsid w:val="3FCF3ECE"/>
    <w:rsid w:val="3FD002E1"/>
    <w:rsid w:val="3FD55988"/>
    <w:rsid w:val="3FD6525C"/>
    <w:rsid w:val="3FD80FD4"/>
    <w:rsid w:val="3FDA2F9E"/>
    <w:rsid w:val="3FDF2363"/>
    <w:rsid w:val="3FE16D38"/>
    <w:rsid w:val="3FE32EF2"/>
    <w:rsid w:val="3FE55985"/>
    <w:rsid w:val="3FEA0D08"/>
    <w:rsid w:val="3FEE07F8"/>
    <w:rsid w:val="3FF027C2"/>
    <w:rsid w:val="3FF102E8"/>
    <w:rsid w:val="3FFA34B2"/>
    <w:rsid w:val="3FFB3BF1"/>
    <w:rsid w:val="3FFD2A12"/>
    <w:rsid w:val="3FFD4EDF"/>
    <w:rsid w:val="3FFF0C57"/>
    <w:rsid w:val="40062655"/>
    <w:rsid w:val="400647A9"/>
    <w:rsid w:val="400B75FC"/>
    <w:rsid w:val="400C0C7E"/>
    <w:rsid w:val="400D1750"/>
    <w:rsid w:val="400D3374"/>
    <w:rsid w:val="400E7546"/>
    <w:rsid w:val="4010076E"/>
    <w:rsid w:val="401144E6"/>
    <w:rsid w:val="40170617"/>
    <w:rsid w:val="40175FA1"/>
    <w:rsid w:val="40183AC7"/>
    <w:rsid w:val="401D4686"/>
    <w:rsid w:val="401F4E55"/>
    <w:rsid w:val="40203CB1"/>
    <w:rsid w:val="40227D90"/>
    <w:rsid w:val="4024246B"/>
    <w:rsid w:val="4025767C"/>
    <w:rsid w:val="402814CD"/>
    <w:rsid w:val="40291830"/>
    <w:rsid w:val="402E32EA"/>
    <w:rsid w:val="4030560B"/>
    <w:rsid w:val="403264EC"/>
    <w:rsid w:val="40330901"/>
    <w:rsid w:val="403326AF"/>
    <w:rsid w:val="40442B0E"/>
    <w:rsid w:val="40477F08"/>
    <w:rsid w:val="40490A4D"/>
    <w:rsid w:val="404B79F8"/>
    <w:rsid w:val="404E1296"/>
    <w:rsid w:val="405014B2"/>
    <w:rsid w:val="40572841"/>
    <w:rsid w:val="40583EC3"/>
    <w:rsid w:val="405E3BCF"/>
    <w:rsid w:val="405E758E"/>
    <w:rsid w:val="405F1467"/>
    <w:rsid w:val="40630A6C"/>
    <w:rsid w:val="40646D0C"/>
    <w:rsid w:val="406665E0"/>
    <w:rsid w:val="40692574"/>
    <w:rsid w:val="40697DEF"/>
    <w:rsid w:val="406B009A"/>
    <w:rsid w:val="406E36E7"/>
    <w:rsid w:val="407231D7"/>
    <w:rsid w:val="40723CDF"/>
    <w:rsid w:val="40744D04"/>
    <w:rsid w:val="40797D44"/>
    <w:rsid w:val="407A6407"/>
    <w:rsid w:val="407A79D6"/>
    <w:rsid w:val="407F58F4"/>
    <w:rsid w:val="408353E4"/>
    <w:rsid w:val="40863629"/>
    <w:rsid w:val="40890521"/>
    <w:rsid w:val="408F7457"/>
    <w:rsid w:val="409018CD"/>
    <w:rsid w:val="40910A42"/>
    <w:rsid w:val="40923879"/>
    <w:rsid w:val="409475F1"/>
    <w:rsid w:val="40967C9A"/>
    <w:rsid w:val="4099146F"/>
    <w:rsid w:val="4099578D"/>
    <w:rsid w:val="409D0A43"/>
    <w:rsid w:val="40A315E2"/>
    <w:rsid w:val="40A57942"/>
    <w:rsid w:val="40A67324"/>
    <w:rsid w:val="40AB3FA1"/>
    <w:rsid w:val="40AB493B"/>
    <w:rsid w:val="40AD06B3"/>
    <w:rsid w:val="40AE41D1"/>
    <w:rsid w:val="40B25CC9"/>
    <w:rsid w:val="40BB7697"/>
    <w:rsid w:val="40BE0DB2"/>
    <w:rsid w:val="40BE0F76"/>
    <w:rsid w:val="40C1373E"/>
    <w:rsid w:val="40C41060"/>
    <w:rsid w:val="40C655E2"/>
    <w:rsid w:val="40C67C6D"/>
    <w:rsid w:val="40C74FEA"/>
    <w:rsid w:val="40C96B6F"/>
    <w:rsid w:val="40CD48B1"/>
    <w:rsid w:val="40CD582B"/>
    <w:rsid w:val="40CF4866"/>
    <w:rsid w:val="40D07EFD"/>
    <w:rsid w:val="40DA57F1"/>
    <w:rsid w:val="40DC2D46"/>
    <w:rsid w:val="40DE4339"/>
    <w:rsid w:val="40E37C31"/>
    <w:rsid w:val="40E85247"/>
    <w:rsid w:val="40EC1096"/>
    <w:rsid w:val="40ED0AAF"/>
    <w:rsid w:val="40F24318"/>
    <w:rsid w:val="40F41E3E"/>
    <w:rsid w:val="40F621C4"/>
    <w:rsid w:val="40F67CBC"/>
    <w:rsid w:val="40FA31CC"/>
    <w:rsid w:val="40FE4A6B"/>
    <w:rsid w:val="40FF07E3"/>
    <w:rsid w:val="410127AD"/>
    <w:rsid w:val="410140EC"/>
    <w:rsid w:val="4101455B"/>
    <w:rsid w:val="410249FD"/>
    <w:rsid w:val="41027567"/>
    <w:rsid w:val="41055DF9"/>
    <w:rsid w:val="41076015"/>
    <w:rsid w:val="410A5D60"/>
    <w:rsid w:val="410B7187"/>
    <w:rsid w:val="410D6D4A"/>
    <w:rsid w:val="41123E0D"/>
    <w:rsid w:val="41160006"/>
    <w:rsid w:val="41171FD0"/>
    <w:rsid w:val="411A73CB"/>
    <w:rsid w:val="411C3143"/>
    <w:rsid w:val="411E6EBB"/>
    <w:rsid w:val="41225921"/>
    <w:rsid w:val="41230975"/>
    <w:rsid w:val="41281AE7"/>
    <w:rsid w:val="412A3AB2"/>
    <w:rsid w:val="412C5A7C"/>
    <w:rsid w:val="412D48D8"/>
    <w:rsid w:val="41332DEE"/>
    <w:rsid w:val="41336AA3"/>
    <w:rsid w:val="413E093E"/>
    <w:rsid w:val="41441117"/>
    <w:rsid w:val="414B6FDA"/>
    <w:rsid w:val="414F0FC2"/>
    <w:rsid w:val="41536C1F"/>
    <w:rsid w:val="41562AF9"/>
    <w:rsid w:val="41641FEF"/>
    <w:rsid w:val="41656898"/>
    <w:rsid w:val="416A0352"/>
    <w:rsid w:val="416D24A3"/>
    <w:rsid w:val="41742F7F"/>
    <w:rsid w:val="4177481D"/>
    <w:rsid w:val="417D0085"/>
    <w:rsid w:val="417E204F"/>
    <w:rsid w:val="41815E93"/>
    <w:rsid w:val="41856F3A"/>
    <w:rsid w:val="418B6F45"/>
    <w:rsid w:val="418E2292"/>
    <w:rsid w:val="419453CF"/>
    <w:rsid w:val="419B49AF"/>
    <w:rsid w:val="41A03D74"/>
    <w:rsid w:val="41A354FD"/>
    <w:rsid w:val="41AB3DDC"/>
    <w:rsid w:val="41AC7C60"/>
    <w:rsid w:val="41B11ADD"/>
    <w:rsid w:val="41B21056"/>
    <w:rsid w:val="41B36CDD"/>
    <w:rsid w:val="41B8730F"/>
    <w:rsid w:val="41BA23CC"/>
    <w:rsid w:val="41BB0BAE"/>
    <w:rsid w:val="41BB2BB0"/>
    <w:rsid w:val="41BE5A2A"/>
    <w:rsid w:val="41C12819"/>
    <w:rsid w:val="41C31810"/>
    <w:rsid w:val="41C37A62"/>
    <w:rsid w:val="41C454A4"/>
    <w:rsid w:val="41C63BEE"/>
    <w:rsid w:val="41C662EF"/>
    <w:rsid w:val="41C932CA"/>
    <w:rsid w:val="41CE6B33"/>
    <w:rsid w:val="41CF2217"/>
    <w:rsid w:val="41D1217F"/>
    <w:rsid w:val="41D34149"/>
    <w:rsid w:val="41DB1250"/>
    <w:rsid w:val="41DB4DAC"/>
    <w:rsid w:val="41DC3706"/>
    <w:rsid w:val="41E40104"/>
    <w:rsid w:val="41E579D9"/>
    <w:rsid w:val="41E952A1"/>
    <w:rsid w:val="41EC6FB9"/>
    <w:rsid w:val="41EE19F9"/>
    <w:rsid w:val="41EE4ADF"/>
    <w:rsid w:val="41F145CF"/>
    <w:rsid w:val="41F23423"/>
    <w:rsid w:val="41F30347"/>
    <w:rsid w:val="41F523E8"/>
    <w:rsid w:val="41F61BE6"/>
    <w:rsid w:val="41FA16D6"/>
    <w:rsid w:val="41FB71FC"/>
    <w:rsid w:val="42002A64"/>
    <w:rsid w:val="42004812"/>
    <w:rsid w:val="42044303"/>
    <w:rsid w:val="420A5BE2"/>
    <w:rsid w:val="420E33EE"/>
    <w:rsid w:val="420F4A55"/>
    <w:rsid w:val="42132798"/>
    <w:rsid w:val="421502BE"/>
    <w:rsid w:val="42162288"/>
    <w:rsid w:val="42204EB5"/>
    <w:rsid w:val="4223328B"/>
    <w:rsid w:val="42291FBB"/>
    <w:rsid w:val="42295B17"/>
    <w:rsid w:val="422B6E76"/>
    <w:rsid w:val="4235270E"/>
    <w:rsid w:val="423821FE"/>
    <w:rsid w:val="423A0FD9"/>
    <w:rsid w:val="423A3BCC"/>
    <w:rsid w:val="423D7815"/>
    <w:rsid w:val="42440BA3"/>
    <w:rsid w:val="425012F6"/>
    <w:rsid w:val="425154F8"/>
    <w:rsid w:val="42576B28"/>
    <w:rsid w:val="425A03C6"/>
    <w:rsid w:val="425A3F23"/>
    <w:rsid w:val="425C413F"/>
    <w:rsid w:val="425D3A13"/>
    <w:rsid w:val="42612D34"/>
    <w:rsid w:val="42624A0B"/>
    <w:rsid w:val="426B4382"/>
    <w:rsid w:val="426D5A4D"/>
    <w:rsid w:val="426D634C"/>
    <w:rsid w:val="426F5A55"/>
    <w:rsid w:val="42707BEA"/>
    <w:rsid w:val="42721D88"/>
    <w:rsid w:val="427C5B2B"/>
    <w:rsid w:val="42816FF2"/>
    <w:rsid w:val="4283791D"/>
    <w:rsid w:val="42843695"/>
    <w:rsid w:val="42843BC2"/>
    <w:rsid w:val="428561CB"/>
    <w:rsid w:val="428B4A24"/>
    <w:rsid w:val="428C585C"/>
    <w:rsid w:val="42903DE8"/>
    <w:rsid w:val="429733C9"/>
    <w:rsid w:val="42A31D6D"/>
    <w:rsid w:val="42A35700"/>
    <w:rsid w:val="42A653BA"/>
    <w:rsid w:val="42A950BB"/>
    <w:rsid w:val="42AA5F72"/>
    <w:rsid w:val="42AC04F6"/>
    <w:rsid w:val="42B34E2B"/>
    <w:rsid w:val="42B45D29"/>
    <w:rsid w:val="42B51AA1"/>
    <w:rsid w:val="42B52239"/>
    <w:rsid w:val="42B5384F"/>
    <w:rsid w:val="42BD444E"/>
    <w:rsid w:val="42BF46CD"/>
    <w:rsid w:val="42C24102"/>
    <w:rsid w:val="42C341BE"/>
    <w:rsid w:val="42C615B8"/>
    <w:rsid w:val="42C73697"/>
    <w:rsid w:val="42D261AF"/>
    <w:rsid w:val="42D737C5"/>
    <w:rsid w:val="42DA5063"/>
    <w:rsid w:val="42DA7950"/>
    <w:rsid w:val="42E20147"/>
    <w:rsid w:val="42E3216A"/>
    <w:rsid w:val="42E421CA"/>
    <w:rsid w:val="42E44134"/>
    <w:rsid w:val="42E87780"/>
    <w:rsid w:val="42EB101F"/>
    <w:rsid w:val="42ED1DD1"/>
    <w:rsid w:val="42F500EF"/>
    <w:rsid w:val="42FE6FA4"/>
    <w:rsid w:val="43112019"/>
    <w:rsid w:val="43122A4F"/>
    <w:rsid w:val="43140575"/>
    <w:rsid w:val="431542ED"/>
    <w:rsid w:val="431A7B56"/>
    <w:rsid w:val="431C567C"/>
    <w:rsid w:val="431D0717"/>
    <w:rsid w:val="431D372B"/>
    <w:rsid w:val="432033BE"/>
    <w:rsid w:val="4320516C"/>
    <w:rsid w:val="432602A9"/>
    <w:rsid w:val="432E070E"/>
    <w:rsid w:val="43302ED5"/>
    <w:rsid w:val="4339622E"/>
    <w:rsid w:val="433A6FE6"/>
    <w:rsid w:val="434075BC"/>
    <w:rsid w:val="434123BC"/>
    <w:rsid w:val="43421586"/>
    <w:rsid w:val="43443F1E"/>
    <w:rsid w:val="43452E25"/>
    <w:rsid w:val="43454BD3"/>
    <w:rsid w:val="4346094B"/>
    <w:rsid w:val="434E7CF8"/>
    <w:rsid w:val="4350713C"/>
    <w:rsid w:val="4352109E"/>
    <w:rsid w:val="435D5832"/>
    <w:rsid w:val="436653E0"/>
    <w:rsid w:val="4368266F"/>
    <w:rsid w:val="43696F7C"/>
    <w:rsid w:val="436B215F"/>
    <w:rsid w:val="436D237B"/>
    <w:rsid w:val="436F39FE"/>
    <w:rsid w:val="437454B8"/>
    <w:rsid w:val="437901B2"/>
    <w:rsid w:val="43790D20"/>
    <w:rsid w:val="4379487C"/>
    <w:rsid w:val="43843DC2"/>
    <w:rsid w:val="43866F99"/>
    <w:rsid w:val="43882D11"/>
    <w:rsid w:val="438D102F"/>
    <w:rsid w:val="438F2C60"/>
    <w:rsid w:val="43902128"/>
    <w:rsid w:val="439213E9"/>
    <w:rsid w:val="43930246"/>
    <w:rsid w:val="439671DC"/>
    <w:rsid w:val="439711A6"/>
    <w:rsid w:val="43973DCE"/>
    <w:rsid w:val="43A86F10"/>
    <w:rsid w:val="43A92953"/>
    <w:rsid w:val="43AC6A00"/>
    <w:rsid w:val="43AE6F7D"/>
    <w:rsid w:val="43B12268"/>
    <w:rsid w:val="43B14016"/>
    <w:rsid w:val="43B600AD"/>
    <w:rsid w:val="43B83D72"/>
    <w:rsid w:val="43B9736F"/>
    <w:rsid w:val="43BF3FB9"/>
    <w:rsid w:val="43C006FD"/>
    <w:rsid w:val="43C04259"/>
    <w:rsid w:val="43C24475"/>
    <w:rsid w:val="43C31F9B"/>
    <w:rsid w:val="43C401ED"/>
    <w:rsid w:val="43C81360"/>
    <w:rsid w:val="43C8760E"/>
    <w:rsid w:val="43CC0E50"/>
    <w:rsid w:val="43CD667C"/>
    <w:rsid w:val="43CE2E1A"/>
    <w:rsid w:val="43CF1E4E"/>
    <w:rsid w:val="43CF26EE"/>
    <w:rsid w:val="43D45F57"/>
    <w:rsid w:val="43E02BE7"/>
    <w:rsid w:val="43E36C7A"/>
    <w:rsid w:val="43E75C8A"/>
    <w:rsid w:val="43E85EA9"/>
    <w:rsid w:val="43F30330"/>
    <w:rsid w:val="43F62371"/>
    <w:rsid w:val="43F839F3"/>
    <w:rsid w:val="44022AC4"/>
    <w:rsid w:val="440426ED"/>
    <w:rsid w:val="44046976"/>
    <w:rsid w:val="44071E88"/>
    <w:rsid w:val="44087AD1"/>
    <w:rsid w:val="440A7BCA"/>
    <w:rsid w:val="440C749E"/>
    <w:rsid w:val="440E3217"/>
    <w:rsid w:val="441445A5"/>
    <w:rsid w:val="44150A49"/>
    <w:rsid w:val="44156B63"/>
    <w:rsid w:val="44175E54"/>
    <w:rsid w:val="44222311"/>
    <w:rsid w:val="44223EC2"/>
    <w:rsid w:val="44226CC2"/>
    <w:rsid w:val="442962A2"/>
    <w:rsid w:val="442E1B0B"/>
    <w:rsid w:val="44330ECF"/>
    <w:rsid w:val="443D58AA"/>
    <w:rsid w:val="443F7874"/>
    <w:rsid w:val="444430DC"/>
    <w:rsid w:val="44476729"/>
    <w:rsid w:val="445157F9"/>
    <w:rsid w:val="44557097"/>
    <w:rsid w:val="445A46AE"/>
    <w:rsid w:val="446107E9"/>
    <w:rsid w:val="44611C1B"/>
    <w:rsid w:val="446175D3"/>
    <w:rsid w:val="44661A1F"/>
    <w:rsid w:val="446C43E1"/>
    <w:rsid w:val="446E1F07"/>
    <w:rsid w:val="446E2DED"/>
    <w:rsid w:val="4473751E"/>
    <w:rsid w:val="447A68EF"/>
    <w:rsid w:val="448259B3"/>
    <w:rsid w:val="4484797D"/>
    <w:rsid w:val="44861074"/>
    <w:rsid w:val="44872FC9"/>
    <w:rsid w:val="448E7078"/>
    <w:rsid w:val="448F2126"/>
    <w:rsid w:val="44913E48"/>
    <w:rsid w:val="4496320C"/>
    <w:rsid w:val="44971FF9"/>
    <w:rsid w:val="449C4CC6"/>
    <w:rsid w:val="44A14FA7"/>
    <w:rsid w:val="44A27E03"/>
    <w:rsid w:val="44A8626A"/>
    <w:rsid w:val="44AE49FA"/>
    <w:rsid w:val="44AE67A8"/>
    <w:rsid w:val="44B042CE"/>
    <w:rsid w:val="44B32010"/>
    <w:rsid w:val="44B738AE"/>
    <w:rsid w:val="44BA7F63"/>
    <w:rsid w:val="44BE2E8F"/>
    <w:rsid w:val="44BF2763"/>
    <w:rsid w:val="44C10289"/>
    <w:rsid w:val="44C24001"/>
    <w:rsid w:val="44CB1108"/>
    <w:rsid w:val="44CB3B1B"/>
    <w:rsid w:val="44CD14E0"/>
    <w:rsid w:val="44CD30D2"/>
    <w:rsid w:val="44D0671E"/>
    <w:rsid w:val="44D37FBC"/>
    <w:rsid w:val="44D63F79"/>
    <w:rsid w:val="44D73F50"/>
    <w:rsid w:val="44DC2978"/>
    <w:rsid w:val="44DF1057"/>
    <w:rsid w:val="44E81CBA"/>
    <w:rsid w:val="44E83CA9"/>
    <w:rsid w:val="44E93C84"/>
    <w:rsid w:val="44EB3558"/>
    <w:rsid w:val="44EC4ED1"/>
    <w:rsid w:val="44F05012"/>
    <w:rsid w:val="44F06DC0"/>
    <w:rsid w:val="44F22B38"/>
    <w:rsid w:val="44F42EE1"/>
    <w:rsid w:val="44F63F31"/>
    <w:rsid w:val="44F85C75"/>
    <w:rsid w:val="44F87A23"/>
    <w:rsid w:val="44FA4815"/>
    <w:rsid w:val="45034D45"/>
    <w:rsid w:val="451231DA"/>
    <w:rsid w:val="45141548"/>
    <w:rsid w:val="451505D5"/>
    <w:rsid w:val="4517434D"/>
    <w:rsid w:val="451A3E3D"/>
    <w:rsid w:val="451C1963"/>
    <w:rsid w:val="451C5E07"/>
    <w:rsid w:val="451E56DB"/>
    <w:rsid w:val="45237196"/>
    <w:rsid w:val="452409D7"/>
    <w:rsid w:val="45280308"/>
    <w:rsid w:val="452847AC"/>
    <w:rsid w:val="452B604A"/>
    <w:rsid w:val="452D1715"/>
    <w:rsid w:val="45322F35"/>
    <w:rsid w:val="453250A1"/>
    <w:rsid w:val="4545710C"/>
    <w:rsid w:val="454A2974"/>
    <w:rsid w:val="454F1D39"/>
    <w:rsid w:val="4550160D"/>
    <w:rsid w:val="45505AB1"/>
    <w:rsid w:val="45554E75"/>
    <w:rsid w:val="45561AB0"/>
    <w:rsid w:val="455A248C"/>
    <w:rsid w:val="455D1412"/>
    <w:rsid w:val="45622249"/>
    <w:rsid w:val="45633A36"/>
    <w:rsid w:val="45633A91"/>
    <w:rsid w:val="4565155C"/>
    <w:rsid w:val="456D21BF"/>
    <w:rsid w:val="456D2CB0"/>
    <w:rsid w:val="456E41DF"/>
    <w:rsid w:val="456E4C88"/>
    <w:rsid w:val="456F4189"/>
    <w:rsid w:val="456F738A"/>
    <w:rsid w:val="45735B6A"/>
    <w:rsid w:val="457E5811"/>
    <w:rsid w:val="457E617A"/>
    <w:rsid w:val="45800144"/>
    <w:rsid w:val="45812155"/>
    <w:rsid w:val="45833790"/>
    <w:rsid w:val="458946E9"/>
    <w:rsid w:val="45911A11"/>
    <w:rsid w:val="45986D8C"/>
    <w:rsid w:val="45992C39"/>
    <w:rsid w:val="459B4382"/>
    <w:rsid w:val="459C0CF6"/>
    <w:rsid w:val="459C2AA4"/>
    <w:rsid w:val="45AE54CB"/>
    <w:rsid w:val="45B1654F"/>
    <w:rsid w:val="45B222C8"/>
    <w:rsid w:val="45B918A8"/>
    <w:rsid w:val="45B91D13"/>
    <w:rsid w:val="45BB117C"/>
    <w:rsid w:val="45C16A25"/>
    <w:rsid w:val="45C36283"/>
    <w:rsid w:val="45C66EB9"/>
    <w:rsid w:val="45CA13BF"/>
    <w:rsid w:val="45CA1598"/>
    <w:rsid w:val="45CD0A54"/>
    <w:rsid w:val="45CF69D6"/>
    <w:rsid w:val="45D072E7"/>
    <w:rsid w:val="45DA5812"/>
    <w:rsid w:val="45DE130F"/>
    <w:rsid w:val="45E06E35"/>
    <w:rsid w:val="45E22BAD"/>
    <w:rsid w:val="45EA380F"/>
    <w:rsid w:val="45EB289C"/>
    <w:rsid w:val="45EC3A2B"/>
    <w:rsid w:val="45ED3300"/>
    <w:rsid w:val="45EF20CE"/>
    <w:rsid w:val="45F11042"/>
    <w:rsid w:val="45F244DE"/>
    <w:rsid w:val="45F4468E"/>
    <w:rsid w:val="45F4653A"/>
    <w:rsid w:val="45F97EF6"/>
    <w:rsid w:val="460743C1"/>
    <w:rsid w:val="460A2104"/>
    <w:rsid w:val="460C70AB"/>
    <w:rsid w:val="46113D93"/>
    <w:rsid w:val="46132D66"/>
    <w:rsid w:val="4618037D"/>
    <w:rsid w:val="461865CE"/>
    <w:rsid w:val="461B1C1B"/>
    <w:rsid w:val="461D1E37"/>
    <w:rsid w:val="461F516B"/>
    <w:rsid w:val="46256F3D"/>
    <w:rsid w:val="46266A8D"/>
    <w:rsid w:val="462A65A2"/>
    <w:rsid w:val="462C02CC"/>
    <w:rsid w:val="462E5CB9"/>
    <w:rsid w:val="462F1B6A"/>
    <w:rsid w:val="463351B6"/>
    <w:rsid w:val="46357180"/>
    <w:rsid w:val="46377A12"/>
    <w:rsid w:val="46381AE3"/>
    <w:rsid w:val="463902F3"/>
    <w:rsid w:val="463D7073"/>
    <w:rsid w:val="46496788"/>
    <w:rsid w:val="464C0026"/>
    <w:rsid w:val="464F5C0D"/>
    <w:rsid w:val="46535859"/>
    <w:rsid w:val="46584C1D"/>
    <w:rsid w:val="465901DB"/>
    <w:rsid w:val="465B3B2E"/>
    <w:rsid w:val="4665558C"/>
    <w:rsid w:val="4669507C"/>
    <w:rsid w:val="466B2BA2"/>
    <w:rsid w:val="467001B9"/>
    <w:rsid w:val="4674757D"/>
    <w:rsid w:val="46770F87"/>
    <w:rsid w:val="467852BF"/>
    <w:rsid w:val="4678706D"/>
    <w:rsid w:val="467B090B"/>
    <w:rsid w:val="467F21AA"/>
    <w:rsid w:val="46821C9A"/>
    <w:rsid w:val="468679DC"/>
    <w:rsid w:val="46873754"/>
    <w:rsid w:val="468C2B19"/>
    <w:rsid w:val="469032A3"/>
    <w:rsid w:val="46916EDC"/>
    <w:rsid w:val="46971BE9"/>
    <w:rsid w:val="469B2D5C"/>
    <w:rsid w:val="46A47E62"/>
    <w:rsid w:val="46A84713"/>
    <w:rsid w:val="46AD52B3"/>
    <w:rsid w:val="46AE0CE1"/>
    <w:rsid w:val="46B06807"/>
    <w:rsid w:val="46B300A5"/>
    <w:rsid w:val="46B36B91"/>
    <w:rsid w:val="46B75DE7"/>
    <w:rsid w:val="46BB2149"/>
    <w:rsid w:val="46BB787A"/>
    <w:rsid w:val="46BD2CD2"/>
    <w:rsid w:val="46BF2EEE"/>
    <w:rsid w:val="46BF64C2"/>
    <w:rsid w:val="46C422B2"/>
    <w:rsid w:val="46C51F28"/>
    <w:rsid w:val="46CD355E"/>
    <w:rsid w:val="46CE09C1"/>
    <w:rsid w:val="46D064A5"/>
    <w:rsid w:val="46D149CF"/>
    <w:rsid w:val="46D1677D"/>
    <w:rsid w:val="46D70238"/>
    <w:rsid w:val="46D955A7"/>
    <w:rsid w:val="46D97270"/>
    <w:rsid w:val="46DB13AA"/>
    <w:rsid w:val="46DC7FF2"/>
    <w:rsid w:val="46E110B6"/>
    <w:rsid w:val="46E42955"/>
    <w:rsid w:val="46E97F6B"/>
    <w:rsid w:val="46ED0E13"/>
    <w:rsid w:val="46EF3D9F"/>
    <w:rsid w:val="46F13E60"/>
    <w:rsid w:val="46F15894"/>
    <w:rsid w:val="46F56910"/>
    <w:rsid w:val="46F72688"/>
    <w:rsid w:val="46F90487"/>
    <w:rsid w:val="46FA3F26"/>
    <w:rsid w:val="46FA6535"/>
    <w:rsid w:val="46FD1503"/>
    <w:rsid w:val="470152B5"/>
    <w:rsid w:val="47024B89"/>
    <w:rsid w:val="47044DA5"/>
    <w:rsid w:val="470923BB"/>
    <w:rsid w:val="470B7EE1"/>
    <w:rsid w:val="470E2EE7"/>
    <w:rsid w:val="471054F8"/>
    <w:rsid w:val="47133957"/>
    <w:rsid w:val="4714323A"/>
    <w:rsid w:val="471919C1"/>
    <w:rsid w:val="471A69C9"/>
    <w:rsid w:val="471E5E67"/>
    <w:rsid w:val="472114B3"/>
    <w:rsid w:val="47217705"/>
    <w:rsid w:val="47250D5F"/>
    <w:rsid w:val="47275169"/>
    <w:rsid w:val="472866DC"/>
    <w:rsid w:val="472D42FC"/>
    <w:rsid w:val="473236C0"/>
    <w:rsid w:val="47342495"/>
    <w:rsid w:val="47356D0C"/>
    <w:rsid w:val="47370CD6"/>
    <w:rsid w:val="4737208D"/>
    <w:rsid w:val="47394A4E"/>
    <w:rsid w:val="473C009B"/>
    <w:rsid w:val="473C0CFB"/>
    <w:rsid w:val="473E02B7"/>
    <w:rsid w:val="473E2065"/>
    <w:rsid w:val="474317E8"/>
    <w:rsid w:val="47503B46"/>
    <w:rsid w:val="47507FEA"/>
    <w:rsid w:val="47571378"/>
    <w:rsid w:val="47581F60"/>
    <w:rsid w:val="475911F7"/>
    <w:rsid w:val="47596E9F"/>
    <w:rsid w:val="476A10AC"/>
    <w:rsid w:val="477517FF"/>
    <w:rsid w:val="47775577"/>
    <w:rsid w:val="477912EF"/>
    <w:rsid w:val="4779329E"/>
    <w:rsid w:val="477E06B3"/>
    <w:rsid w:val="477E6905"/>
    <w:rsid w:val="47811F51"/>
    <w:rsid w:val="47881532"/>
    <w:rsid w:val="47887784"/>
    <w:rsid w:val="478B0022"/>
    <w:rsid w:val="47901267"/>
    <w:rsid w:val="47953C4F"/>
    <w:rsid w:val="479C7C8A"/>
    <w:rsid w:val="479F062A"/>
    <w:rsid w:val="47A07E0C"/>
    <w:rsid w:val="47A619B8"/>
    <w:rsid w:val="47AA594C"/>
    <w:rsid w:val="47B24801"/>
    <w:rsid w:val="47B67368"/>
    <w:rsid w:val="47B746AA"/>
    <w:rsid w:val="47BE6D02"/>
    <w:rsid w:val="47BF7F9B"/>
    <w:rsid w:val="47C6205A"/>
    <w:rsid w:val="47CA7D9C"/>
    <w:rsid w:val="47CD20BC"/>
    <w:rsid w:val="47CF7161"/>
    <w:rsid w:val="47D26C51"/>
    <w:rsid w:val="47D44777"/>
    <w:rsid w:val="47D51161"/>
    <w:rsid w:val="47D567FA"/>
    <w:rsid w:val="47D863C3"/>
    <w:rsid w:val="47DC3CA8"/>
    <w:rsid w:val="47DC523D"/>
    <w:rsid w:val="47DF34E2"/>
    <w:rsid w:val="47E0311C"/>
    <w:rsid w:val="47E524E0"/>
    <w:rsid w:val="47E81FD1"/>
    <w:rsid w:val="47EF37F7"/>
    <w:rsid w:val="47F44E19"/>
    <w:rsid w:val="47FB61A8"/>
    <w:rsid w:val="47FB7F56"/>
    <w:rsid w:val="47FF688C"/>
    <w:rsid w:val="48014387"/>
    <w:rsid w:val="48036E0A"/>
    <w:rsid w:val="48041878"/>
    <w:rsid w:val="480A136E"/>
    <w:rsid w:val="480B5E1D"/>
    <w:rsid w:val="48153186"/>
    <w:rsid w:val="481608EC"/>
    <w:rsid w:val="4816432D"/>
    <w:rsid w:val="481903DC"/>
    <w:rsid w:val="481E59F2"/>
    <w:rsid w:val="481F27F7"/>
    <w:rsid w:val="48254FD3"/>
    <w:rsid w:val="48256D81"/>
    <w:rsid w:val="48270D4B"/>
    <w:rsid w:val="482B265C"/>
    <w:rsid w:val="482D3E87"/>
    <w:rsid w:val="48335D86"/>
    <w:rsid w:val="483416BA"/>
    <w:rsid w:val="48347F7E"/>
    <w:rsid w:val="484216E1"/>
    <w:rsid w:val="48457423"/>
    <w:rsid w:val="48484C47"/>
    <w:rsid w:val="484C255F"/>
    <w:rsid w:val="484E0AD2"/>
    <w:rsid w:val="484F3DFE"/>
    <w:rsid w:val="485B4F92"/>
    <w:rsid w:val="48623B31"/>
    <w:rsid w:val="48642021"/>
    <w:rsid w:val="48650157"/>
    <w:rsid w:val="48656D8F"/>
    <w:rsid w:val="4867383D"/>
    <w:rsid w:val="486A1C17"/>
    <w:rsid w:val="486C2C02"/>
    <w:rsid w:val="486D24D6"/>
    <w:rsid w:val="486E2425"/>
    <w:rsid w:val="4870272E"/>
    <w:rsid w:val="48714274"/>
    <w:rsid w:val="48723461"/>
    <w:rsid w:val="4879594A"/>
    <w:rsid w:val="487A051B"/>
    <w:rsid w:val="487B1097"/>
    <w:rsid w:val="487B4BF3"/>
    <w:rsid w:val="487C1662"/>
    <w:rsid w:val="4880045B"/>
    <w:rsid w:val="48825F81"/>
    <w:rsid w:val="488404C7"/>
    <w:rsid w:val="48867CD4"/>
    <w:rsid w:val="4889543F"/>
    <w:rsid w:val="488C32A4"/>
    <w:rsid w:val="488F68F0"/>
    <w:rsid w:val="48952158"/>
    <w:rsid w:val="48961A2D"/>
    <w:rsid w:val="489B34E7"/>
    <w:rsid w:val="489D100D"/>
    <w:rsid w:val="489D2DBB"/>
    <w:rsid w:val="48A36846"/>
    <w:rsid w:val="48A4239B"/>
    <w:rsid w:val="48A534D7"/>
    <w:rsid w:val="48A64365"/>
    <w:rsid w:val="48A73C3A"/>
    <w:rsid w:val="48B56357"/>
    <w:rsid w:val="48B9571B"/>
    <w:rsid w:val="48BA396D"/>
    <w:rsid w:val="48BC0D87"/>
    <w:rsid w:val="48BD345D"/>
    <w:rsid w:val="48BD520B"/>
    <w:rsid w:val="48BF5F6A"/>
    <w:rsid w:val="48C04DCB"/>
    <w:rsid w:val="48C12F4D"/>
    <w:rsid w:val="48C4659A"/>
    <w:rsid w:val="48C90054"/>
    <w:rsid w:val="48C91E02"/>
    <w:rsid w:val="48CA7928"/>
    <w:rsid w:val="48CB5B7A"/>
    <w:rsid w:val="48CD108C"/>
    <w:rsid w:val="48CD2E1A"/>
    <w:rsid w:val="48CE7418"/>
    <w:rsid w:val="48D12A65"/>
    <w:rsid w:val="48D3302F"/>
    <w:rsid w:val="48D507A7"/>
    <w:rsid w:val="48D80297"/>
    <w:rsid w:val="48DA5DBD"/>
    <w:rsid w:val="48DB1977"/>
    <w:rsid w:val="48DF0B70"/>
    <w:rsid w:val="48DF5182"/>
    <w:rsid w:val="48E00EFA"/>
    <w:rsid w:val="48E22EC4"/>
    <w:rsid w:val="48E70EA2"/>
    <w:rsid w:val="48EF5D2E"/>
    <w:rsid w:val="48F37E9C"/>
    <w:rsid w:val="48F7696F"/>
    <w:rsid w:val="48FA1472"/>
    <w:rsid w:val="48FA645F"/>
    <w:rsid w:val="48FB5D34"/>
    <w:rsid w:val="490115D2"/>
    <w:rsid w:val="49044BE8"/>
    <w:rsid w:val="49080B7C"/>
    <w:rsid w:val="490D6193"/>
    <w:rsid w:val="490D78A6"/>
    <w:rsid w:val="490E1F0B"/>
    <w:rsid w:val="49162368"/>
    <w:rsid w:val="491A265E"/>
    <w:rsid w:val="491D5CAA"/>
    <w:rsid w:val="491F7C74"/>
    <w:rsid w:val="492334DC"/>
    <w:rsid w:val="49255DFC"/>
    <w:rsid w:val="49325BF9"/>
    <w:rsid w:val="4933371F"/>
    <w:rsid w:val="49362ED7"/>
    <w:rsid w:val="49373210"/>
    <w:rsid w:val="49380D36"/>
    <w:rsid w:val="49385C0C"/>
    <w:rsid w:val="493D3419"/>
    <w:rsid w:val="493F0316"/>
    <w:rsid w:val="493F54EA"/>
    <w:rsid w:val="49410206"/>
    <w:rsid w:val="49424029"/>
    <w:rsid w:val="49425710"/>
    <w:rsid w:val="494616A5"/>
    <w:rsid w:val="49463453"/>
    <w:rsid w:val="494816E4"/>
    <w:rsid w:val="49492F43"/>
    <w:rsid w:val="49496A9F"/>
    <w:rsid w:val="494B0A69"/>
    <w:rsid w:val="494B472D"/>
    <w:rsid w:val="49585496"/>
    <w:rsid w:val="495A6EFE"/>
    <w:rsid w:val="495F2766"/>
    <w:rsid w:val="496164DE"/>
    <w:rsid w:val="49645A63"/>
    <w:rsid w:val="49647D7D"/>
    <w:rsid w:val="496B2EB9"/>
    <w:rsid w:val="496C291C"/>
    <w:rsid w:val="496F62BB"/>
    <w:rsid w:val="497266D3"/>
    <w:rsid w:val="49747FC0"/>
    <w:rsid w:val="4977360C"/>
    <w:rsid w:val="497A75A0"/>
    <w:rsid w:val="498015D8"/>
    <w:rsid w:val="49804BB7"/>
    <w:rsid w:val="4981092F"/>
    <w:rsid w:val="49815D26"/>
    <w:rsid w:val="49816239"/>
    <w:rsid w:val="49861AA1"/>
    <w:rsid w:val="49877112"/>
    <w:rsid w:val="498A77E3"/>
    <w:rsid w:val="498B5657"/>
    <w:rsid w:val="498E392B"/>
    <w:rsid w:val="499046CE"/>
    <w:rsid w:val="499333EF"/>
    <w:rsid w:val="499441BE"/>
    <w:rsid w:val="49951AC7"/>
    <w:rsid w:val="49995C78"/>
    <w:rsid w:val="499A452E"/>
    <w:rsid w:val="499C3073"/>
    <w:rsid w:val="499F2B63"/>
    <w:rsid w:val="49A32653"/>
    <w:rsid w:val="49A3380F"/>
    <w:rsid w:val="49A81A70"/>
    <w:rsid w:val="49A918FB"/>
    <w:rsid w:val="49AA1FDC"/>
    <w:rsid w:val="49AA31B5"/>
    <w:rsid w:val="49AB775A"/>
    <w:rsid w:val="49AC538B"/>
    <w:rsid w:val="49AE2DA6"/>
    <w:rsid w:val="49B0540B"/>
    <w:rsid w:val="49B605D8"/>
    <w:rsid w:val="49B753C7"/>
    <w:rsid w:val="49BA799D"/>
    <w:rsid w:val="49BC2721"/>
    <w:rsid w:val="49C56A6D"/>
    <w:rsid w:val="49C64593"/>
    <w:rsid w:val="49C751FD"/>
    <w:rsid w:val="49CA7BE0"/>
    <w:rsid w:val="49CF169A"/>
    <w:rsid w:val="49D2118A"/>
    <w:rsid w:val="49D40682"/>
    <w:rsid w:val="49D62A28"/>
    <w:rsid w:val="49D7054F"/>
    <w:rsid w:val="49D767A1"/>
    <w:rsid w:val="49DB0EDC"/>
    <w:rsid w:val="49DC7715"/>
    <w:rsid w:val="49E01723"/>
    <w:rsid w:val="49E113CD"/>
    <w:rsid w:val="49E50EBD"/>
    <w:rsid w:val="49E968C3"/>
    <w:rsid w:val="49EC224C"/>
    <w:rsid w:val="49EF7646"/>
    <w:rsid w:val="49F033BE"/>
    <w:rsid w:val="49F20EE5"/>
    <w:rsid w:val="49F7299F"/>
    <w:rsid w:val="49F7474D"/>
    <w:rsid w:val="49FC1D63"/>
    <w:rsid w:val="49FC7FB5"/>
    <w:rsid w:val="49FD6207"/>
    <w:rsid w:val="4A023139"/>
    <w:rsid w:val="4A02381D"/>
    <w:rsid w:val="4A03113E"/>
    <w:rsid w:val="4A0328F9"/>
    <w:rsid w:val="4A0D21C2"/>
    <w:rsid w:val="4A0F5F3A"/>
    <w:rsid w:val="4A1470AD"/>
    <w:rsid w:val="4A17094B"/>
    <w:rsid w:val="4A174DEF"/>
    <w:rsid w:val="4A176B9D"/>
    <w:rsid w:val="4A1E617D"/>
    <w:rsid w:val="4A2410AF"/>
    <w:rsid w:val="4A247CED"/>
    <w:rsid w:val="4A273284"/>
    <w:rsid w:val="4A2C2648"/>
    <w:rsid w:val="4A353E64"/>
    <w:rsid w:val="4A3B0ADD"/>
    <w:rsid w:val="4A413C1A"/>
    <w:rsid w:val="4A435BE4"/>
    <w:rsid w:val="4A436B5C"/>
    <w:rsid w:val="4A443E36"/>
    <w:rsid w:val="4A4756D4"/>
    <w:rsid w:val="4A477482"/>
    <w:rsid w:val="4A492030"/>
    <w:rsid w:val="4A527BD5"/>
    <w:rsid w:val="4A5C2802"/>
    <w:rsid w:val="4A5E0FBF"/>
    <w:rsid w:val="4A600544"/>
    <w:rsid w:val="4A633B90"/>
    <w:rsid w:val="4A695243"/>
    <w:rsid w:val="4A6A3171"/>
    <w:rsid w:val="4A6D4A0F"/>
    <w:rsid w:val="4A6F0787"/>
    <w:rsid w:val="4A6F2535"/>
    <w:rsid w:val="4A6F5A6E"/>
    <w:rsid w:val="4A712751"/>
    <w:rsid w:val="4A721FDF"/>
    <w:rsid w:val="4A727F0E"/>
    <w:rsid w:val="4A730277"/>
    <w:rsid w:val="4A742241"/>
    <w:rsid w:val="4A761B16"/>
    <w:rsid w:val="4A767D68"/>
    <w:rsid w:val="4A791606"/>
    <w:rsid w:val="4A7B576F"/>
    <w:rsid w:val="4A7E09CA"/>
    <w:rsid w:val="4A82495E"/>
    <w:rsid w:val="4A82670C"/>
    <w:rsid w:val="4A857FAB"/>
    <w:rsid w:val="4A8C38A0"/>
    <w:rsid w:val="4A8E09AD"/>
    <w:rsid w:val="4A8F4985"/>
    <w:rsid w:val="4A9621B8"/>
    <w:rsid w:val="4A9B05A9"/>
    <w:rsid w:val="4AA30431"/>
    <w:rsid w:val="4AA448D5"/>
    <w:rsid w:val="4AA91EEB"/>
    <w:rsid w:val="4AAA6481"/>
    <w:rsid w:val="4AAD305D"/>
    <w:rsid w:val="4AAF6887"/>
    <w:rsid w:val="4AB04516"/>
    <w:rsid w:val="4AB16FF2"/>
    <w:rsid w:val="4AB368C6"/>
    <w:rsid w:val="4ABD30CC"/>
    <w:rsid w:val="4AC07235"/>
    <w:rsid w:val="4AC22FAD"/>
    <w:rsid w:val="4AC705C3"/>
    <w:rsid w:val="4ACA3C0F"/>
    <w:rsid w:val="4ACF05F5"/>
    <w:rsid w:val="4AD11442"/>
    <w:rsid w:val="4AD131F0"/>
    <w:rsid w:val="4AD60806"/>
    <w:rsid w:val="4ADB18EB"/>
    <w:rsid w:val="4ADE7383"/>
    <w:rsid w:val="4ADF355A"/>
    <w:rsid w:val="4AE5022F"/>
    <w:rsid w:val="4AE649A3"/>
    <w:rsid w:val="4AE7656F"/>
    <w:rsid w:val="4AEA4061"/>
    <w:rsid w:val="4AEC002A"/>
    <w:rsid w:val="4AEE5B50"/>
    <w:rsid w:val="4AF37CCE"/>
    <w:rsid w:val="4AF56EDE"/>
    <w:rsid w:val="4AF62C56"/>
    <w:rsid w:val="4AF869CF"/>
    <w:rsid w:val="4AF95AE8"/>
    <w:rsid w:val="4AFE2ACC"/>
    <w:rsid w:val="4B0042F9"/>
    <w:rsid w:val="4B094738"/>
    <w:rsid w:val="4B0F5512"/>
    <w:rsid w:val="4B187071"/>
    <w:rsid w:val="4B1A6945"/>
    <w:rsid w:val="4B1D4687"/>
    <w:rsid w:val="4B217CD3"/>
    <w:rsid w:val="4B271062"/>
    <w:rsid w:val="4B2C48CA"/>
    <w:rsid w:val="4B307F16"/>
    <w:rsid w:val="4B3774F7"/>
    <w:rsid w:val="4B386DCB"/>
    <w:rsid w:val="4B48362D"/>
    <w:rsid w:val="4B4C2876"/>
    <w:rsid w:val="4B5005B9"/>
    <w:rsid w:val="4B571947"/>
    <w:rsid w:val="4B5C0D0B"/>
    <w:rsid w:val="4B5F09E6"/>
    <w:rsid w:val="4B616322"/>
    <w:rsid w:val="4B6422B6"/>
    <w:rsid w:val="4B6573C5"/>
    <w:rsid w:val="4B6978CC"/>
    <w:rsid w:val="4B6C4CC7"/>
    <w:rsid w:val="4B6D2F19"/>
    <w:rsid w:val="4B777E35"/>
    <w:rsid w:val="4B797B0F"/>
    <w:rsid w:val="4B7C13AE"/>
    <w:rsid w:val="4B7D55E8"/>
    <w:rsid w:val="4B7F2C4C"/>
    <w:rsid w:val="4B8169C4"/>
    <w:rsid w:val="4B8402B1"/>
    <w:rsid w:val="4B8509FE"/>
    <w:rsid w:val="4B865D88"/>
    <w:rsid w:val="4B871B00"/>
    <w:rsid w:val="4B92297F"/>
    <w:rsid w:val="4B9506C1"/>
    <w:rsid w:val="4B9F6E4A"/>
    <w:rsid w:val="4BA17066"/>
    <w:rsid w:val="4BA426B2"/>
    <w:rsid w:val="4BA803F5"/>
    <w:rsid w:val="4BA821A3"/>
    <w:rsid w:val="4BA97CC9"/>
    <w:rsid w:val="4BAE52DF"/>
    <w:rsid w:val="4BAF6219"/>
    <w:rsid w:val="4BB072A9"/>
    <w:rsid w:val="4BB26B7D"/>
    <w:rsid w:val="4BBA3C84"/>
    <w:rsid w:val="4BBC5C4E"/>
    <w:rsid w:val="4BBD3CED"/>
    <w:rsid w:val="4BBE3774"/>
    <w:rsid w:val="4BBF594C"/>
    <w:rsid w:val="4BC0573E"/>
    <w:rsid w:val="4BD3035B"/>
    <w:rsid w:val="4BD626E7"/>
    <w:rsid w:val="4BD765E4"/>
    <w:rsid w:val="4BD905AE"/>
    <w:rsid w:val="4BDA60D4"/>
    <w:rsid w:val="4BDE3E16"/>
    <w:rsid w:val="4BE156B5"/>
    <w:rsid w:val="4BE56F53"/>
    <w:rsid w:val="4BEA27BB"/>
    <w:rsid w:val="4BEB6533"/>
    <w:rsid w:val="4BED22AB"/>
    <w:rsid w:val="4BF61160"/>
    <w:rsid w:val="4BF70A34"/>
    <w:rsid w:val="4BF90C50"/>
    <w:rsid w:val="4BFC24EE"/>
    <w:rsid w:val="4BFC604B"/>
    <w:rsid w:val="4C0118B3"/>
    <w:rsid w:val="4C072813"/>
    <w:rsid w:val="4C0A2342"/>
    <w:rsid w:val="4C0D2006"/>
    <w:rsid w:val="4C107D48"/>
    <w:rsid w:val="4C11613A"/>
    <w:rsid w:val="4C12586E"/>
    <w:rsid w:val="4C15535E"/>
    <w:rsid w:val="4C175738"/>
    <w:rsid w:val="4C196BFC"/>
    <w:rsid w:val="4C1B0BC7"/>
    <w:rsid w:val="4C1C011A"/>
    <w:rsid w:val="4C20442F"/>
    <w:rsid w:val="4C215AB1"/>
    <w:rsid w:val="4C2757BD"/>
    <w:rsid w:val="4C2F01CE"/>
    <w:rsid w:val="4C2F4672"/>
    <w:rsid w:val="4C3103EA"/>
    <w:rsid w:val="4C343841"/>
    <w:rsid w:val="4C3B6274"/>
    <w:rsid w:val="4C3C28EB"/>
    <w:rsid w:val="4C4A0649"/>
    <w:rsid w:val="4C4C5224"/>
    <w:rsid w:val="4C511115"/>
    <w:rsid w:val="4C516396"/>
    <w:rsid w:val="4C5D5CF6"/>
    <w:rsid w:val="4C641F25"/>
    <w:rsid w:val="4C675BBA"/>
    <w:rsid w:val="4C6B091A"/>
    <w:rsid w:val="4C716A38"/>
    <w:rsid w:val="4C744019"/>
    <w:rsid w:val="4C79769B"/>
    <w:rsid w:val="4C7E4CB1"/>
    <w:rsid w:val="4C804ECE"/>
    <w:rsid w:val="4C87000A"/>
    <w:rsid w:val="4C8C73CE"/>
    <w:rsid w:val="4C922150"/>
    <w:rsid w:val="4C9857B2"/>
    <w:rsid w:val="4C9D782D"/>
    <w:rsid w:val="4CA02E7A"/>
    <w:rsid w:val="4CA10F83"/>
    <w:rsid w:val="4CA24E44"/>
    <w:rsid w:val="4CA276AB"/>
    <w:rsid w:val="4CA412EE"/>
    <w:rsid w:val="4CA50490"/>
    <w:rsid w:val="4CAF130F"/>
    <w:rsid w:val="4CB132D9"/>
    <w:rsid w:val="4CB22BAD"/>
    <w:rsid w:val="4CBB733E"/>
    <w:rsid w:val="4CBF59F6"/>
    <w:rsid w:val="4CC0176E"/>
    <w:rsid w:val="4CC21042"/>
    <w:rsid w:val="4CC2206D"/>
    <w:rsid w:val="4CC261BC"/>
    <w:rsid w:val="4CC4300C"/>
    <w:rsid w:val="4CC50B32"/>
    <w:rsid w:val="4CC528E0"/>
    <w:rsid w:val="4CC622E8"/>
    <w:rsid w:val="4CC72AFC"/>
    <w:rsid w:val="4CC76658"/>
    <w:rsid w:val="4CCE58CF"/>
    <w:rsid w:val="4CD0600E"/>
    <w:rsid w:val="4CD15729"/>
    <w:rsid w:val="4CD174D7"/>
    <w:rsid w:val="4CD3324F"/>
    <w:rsid w:val="4CD40D75"/>
    <w:rsid w:val="4CD62D3F"/>
    <w:rsid w:val="4CD66EB3"/>
    <w:rsid w:val="4CDB0356"/>
    <w:rsid w:val="4CDD5E7C"/>
    <w:rsid w:val="4CE42B3C"/>
    <w:rsid w:val="4CE4647E"/>
    <w:rsid w:val="4CE470D3"/>
    <w:rsid w:val="4CEE62DB"/>
    <w:rsid w:val="4CEF5BAF"/>
    <w:rsid w:val="4CF44F18"/>
    <w:rsid w:val="4CFB4554"/>
    <w:rsid w:val="4D023C3A"/>
    <w:rsid w:val="4D0347ED"/>
    <w:rsid w:val="4D043409"/>
    <w:rsid w:val="4D04450E"/>
    <w:rsid w:val="4D0A4797"/>
    <w:rsid w:val="4D0C050F"/>
    <w:rsid w:val="4D0D77FD"/>
    <w:rsid w:val="4D1004F6"/>
    <w:rsid w:val="4D132342"/>
    <w:rsid w:val="4D153868"/>
    <w:rsid w:val="4D1A36F9"/>
    <w:rsid w:val="4D1D44CA"/>
    <w:rsid w:val="4D2717ED"/>
    <w:rsid w:val="4D2770F7"/>
    <w:rsid w:val="4D2951F8"/>
    <w:rsid w:val="4D2C0BB1"/>
    <w:rsid w:val="4D355CB8"/>
    <w:rsid w:val="4D381CBD"/>
    <w:rsid w:val="4D3857A8"/>
    <w:rsid w:val="4D397551"/>
    <w:rsid w:val="4D3A1520"/>
    <w:rsid w:val="4D3B1C54"/>
    <w:rsid w:val="4D3D691B"/>
    <w:rsid w:val="4D3F481B"/>
    <w:rsid w:val="4D41465D"/>
    <w:rsid w:val="4D4203D5"/>
    <w:rsid w:val="4D467EC5"/>
    <w:rsid w:val="4D4A6344"/>
    <w:rsid w:val="4D4C3002"/>
    <w:rsid w:val="4D4C4DB0"/>
    <w:rsid w:val="4D4F66DD"/>
    <w:rsid w:val="4D5048A0"/>
    <w:rsid w:val="4D5115E9"/>
    <w:rsid w:val="4D511823"/>
    <w:rsid w:val="4D534390"/>
    <w:rsid w:val="4D53613E"/>
    <w:rsid w:val="4D551EB6"/>
    <w:rsid w:val="4D622825"/>
    <w:rsid w:val="4D64034B"/>
    <w:rsid w:val="4D64659D"/>
    <w:rsid w:val="4D6473B4"/>
    <w:rsid w:val="4D6C0BAC"/>
    <w:rsid w:val="4D70238D"/>
    <w:rsid w:val="4D714816"/>
    <w:rsid w:val="4D73058E"/>
    <w:rsid w:val="4D782FD9"/>
    <w:rsid w:val="4D7B170B"/>
    <w:rsid w:val="4D7C06A1"/>
    <w:rsid w:val="4D7F5185"/>
    <w:rsid w:val="4D806F98"/>
    <w:rsid w:val="4D844549"/>
    <w:rsid w:val="4D880DF6"/>
    <w:rsid w:val="4D8B3B2A"/>
    <w:rsid w:val="4D8E361A"/>
    <w:rsid w:val="4D8F45EB"/>
    <w:rsid w:val="4D910B7E"/>
    <w:rsid w:val="4D926C66"/>
    <w:rsid w:val="4D956757"/>
    <w:rsid w:val="4D9E78F3"/>
    <w:rsid w:val="4DA326D4"/>
    <w:rsid w:val="4DA60964"/>
    <w:rsid w:val="4DA67FC9"/>
    <w:rsid w:val="4DA70238"/>
    <w:rsid w:val="4DA846DC"/>
    <w:rsid w:val="4DAA7203"/>
    <w:rsid w:val="4DAB40F0"/>
    <w:rsid w:val="4DAE0572"/>
    <w:rsid w:val="4DAE15C6"/>
    <w:rsid w:val="4DB43081"/>
    <w:rsid w:val="4DB50BA7"/>
    <w:rsid w:val="4DBA61BD"/>
    <w:rsid w:val="4DBE2C0C"/>
    <w:rsid w:val="4DC31F9D"/>
    <w:rsid w:val="4DC66910"/>
    <w:rsid w:val="4DCD5232"/>
    <w:rsid w:val="4DCD7C9F"/>
    <w:rsid w:val="4DCE1C69"/>
    <w:rsid w:val="4DCE2B1A"/>
    <w:rsid w:val="4DD54DA5"/>
    <w:rsid w:val="4DD70B1D"/>
    <w:rsid w:val="4DD85AB8"/>
    <w:rsid w:val="4DD94895"/>
    <w:rsid w:val="4DDE00FE"/>
    <w:rsid w:val="4DDE1EAC"/>
    <w:rsid w:val="4DE21C50"/>
    <w:rsid w:val="4DE809CF"/>
    <w:rsid w:val="4DEC4FB0"/>
    <w:rsid w:val="4DED6593"/>
    <w:rsid w:val="4DEF6FAE"/>
    <w:rsid w:val="4DFF6CE0"/>
    <w:rsid w:val="4E037B64"/>
    <w:rsid w:val="4E075D8A"/>
    <w:rsid w:val="4E08517B"/>
    <w:rsid w:val="4E0B07C7"/>
    <w:rsid w:val="4E0B6A19"/>
    <w:rsid w:val="4E0F6509"/>
    <w:rsid w:val="4E143B1F"/>
    <w:rsid w:val="4E1A4EAE"/>
    <w:rsid w:val="4E1C29D4"/>
    <w:rsid w:val="4E1C6E78"/>
    <w:rsid w:val="4E232905"/>
    <w:rsid w:val="4E263853"/>
    <w:rsid w:val="4E265601"/>
    <w:rsid w:val="4E28581D"/>
    <w:rsid w:val="4E2B0E69"/>
    <w:rsid w:val="4E2B4904"/>
    <w:rsid w:val="4E2F00CD"/>
    <w:rsid w:val="4E30022D"/>
    <w:rsid w:val="4E347D1E"/>
    <w:rsid w:val="4E361CE8"/>
    <w:rsid w:val="4E393586"/>
    <w:rsid w:val="4E3C3076"/>
    <w:rsid w:val="4E3E0B9C"/>
    <w:rsid w:val="4E3E386B"/>
    <w:rsid w:val="4E41243B"/>
    <w:rsid w:val="4E43575C"/>
    <w:rsid w:val="4E453CD9"/>
    <w:rsid w:val="4E497E8D"/>
    <w:rsid w:val="4E4A134F"/>
    <w:rsid w:val="4E4A7541"/>
    <w:rsid w:val="4E4E3531"/>
    <w:rsid w:val="4E4F21B5"/>
    <w:rsid w:val="4E5008D0"/>
    <w:rsid w:val="4E516B22"/>
    <w:rsid w:val="4E557B71"/>
    <w:rsid w:val="4E5B17E2"/>
    <w:rsid w:val="4E5C64FB"/>
    <w:rsid w:val="4E5C7274"/>
    <w:rsid w:val="4E600B13"/>
    <w:rsid w:val="4E612B82"/>
    <w:rsid w:val="4E65437B"/>
    <w:rsid w:val="4E656129"/>
    <w:rsid w:val="4E6B6B36"/>
    <w:rsid w:val="4E6C0560"/>
    <w:rsid w:val="4E6C5709"/>
    <w:rsid w:val="4E704ACE"/>
    <w:rsid w:val="4E7445BE"/>
    <w:rsid w:val="4E7520E4"/>
    <w:rsid w:val="4E796078"/>
    <w:rsid w:val="4E797E26"/>
    <w:rsid w:val="4E850579"/>
    <w:rsid w:val="4E862CA3"/>
    <w:rsid w:val="4E8649E8"/>
    <w:rsid w:val="4E87155B"/>
    <w:rsid w:val="4E87437C"/>
    <w:rsid w:val="4E8C2811"/>
    <w:rsid w:val="4E922C96"/>
    <w:rsid w:val="4E9B7D9D"/>
    <w:rsid w:val="4E9D60A3"/>
    <w:rsid w:val="4EA12ED9"/>
    <w:rsid w:val="4EA43198"/>
    <w:rsid w:val="4EA56E6D"/>
    <w:rsid w:val="4EAA6232"/>
    <w:rsid w:val="4EB90223"/>
    <w:rsid w:val="4EBB5B06"/>
    <w:rsid w:val="4EBD5A47"/>
    <w:rsid w:val="4EC217CD"/>
    <w:rsid w:val="4EC310A1"/>
    <w:rsid w:val="4EC512BE"/>
    <w:rsid w:val="4EC8490A"/>
    <w:rsid w:val="4EC927B3"/>
    <w:rsid w:val="4ECA68D4"/>
    <w:rsid w:val="4ECC264C"/>
    <w:rsid w:val="4ECE6CED"/>
    <w:rsid w:val="4ED11A10"/>
    <w:rsid w:val="4ED355A0"/>
    <w:rsid w:val="4ED3756D"/>
    <w:rsid w:val="4ED432AF"/>
    <w:rsid w:val="4ED4505D"/>
    <w:rsid w:val="4ED60DD5"/>
    <w:rsid w:val="4ED92673"/>
    <w:rsid w:val="4EDD03B5"/>
    <w:rsid w:val="4EDF257D"/>
    <w:rsid w:val="4EE17099"/>
    <w:rsid w:val="4EE51018"/>
    <w:rsid w:val="4EE527CC"/>
    <w:rsid w:val="4EE85483"/>
    <w:rsid w:val="4EEE25C2"/>
    <w:rsid w:val="4EF474AD"/>
    <w:rsid w:val="4EFB504C"/>
    <w:rsid w:val="4EFD45B3"/>
    <w:rsid w:val="4F0022F6"/>
    <w:rsid w:val="4F02503B"/>
    <w:rsid w:val="4F035942"/>
    <w:rsid w:val="4F053468"/>
    <w:rsid w:val="4F0B3174"/>
    <w:rsid w:val="4F0C0C9A"/>
    <w:rsid w:val="4F0D4088"/>
    <w:rsid w:val="4F0E4A13"/>
    <w:rsid w:val="4F0F2539"/>
    <w:rsid w:val="4F0F42E7"/>
    <w:rsid w:val="4F1638C7"/>
    <w:rsid w:val="4F181241"/>
    <w:rsid w:val="4F1933B8"/>
    <w:rsid w:val="4F2558B8"/>
    <w:rsid w:val="4F2908FF"/>
    <w:rsid w:val="4F3065A0"/>
    <w:rsid w:val="4F31425D"/>
    <w:rsid w:val="4F334479"/>
    <w:rsid w:val="4F361873"/>
    <w:rsid w:val="4F3855EC"/>
    <w:rsid w:val="4F3B1580"/>
    <w:rsid w:val="4F3D0E54"/>
    <w:rsid w:val="4F3D70A6"/>
    <w:rsid w:val="4F4641AC"/>
    <w:rsid w:val="4F473A81"/>
    <w:rsid w:val="4F4A531F"/>
    <w:rsid w:val="4F4C1097"/>
    <w:rsid w:val="4F50038B"/>
    <w:rsid w:val="4F50502B"/>
    <w:rsid w:val="4F566538"/>
    <w:rsid w:val="4F587A3C"/>
    <w:rsid w:val="4F5A30F9"/>
    <w:rsid w:val="4F5A37B4"/>
    <w:rsid w:val="4F5A7C58"/>
    <w:rsid w:val="4F5F0DCA"/>
    <w:rsid w:val="4F6005A7"/>
    <w:rsid w:val="4F636270"/>
    <w:rsid w:val="4F6E54B1"/>
    <w:rsid w:val="4F701229"/>
    <w:rsid w:val="4F730D1A"/>
    <w:rsid w:val="4F7328A8"/>
    <w:rsid w:val="4F732AC8"/>
    <w:rsid w:val="4F770156"/>
    <w:rsid w:val="4F77134A"/>
    <w:rsid w:val="4F844CD5"/>
    <w:rsid w:val="4F884993"/>
    <w:rsid w:val="4F885589"/>
    <w:rsid w:val="4F8B1BBF"/>
    <w:rsid w:val="4F8E237C"/>
    <w:rsid w:val="4F8E6A6F"/>
    <w:rsid w:val="4F9273F2"/>
    <w:rsid w:val="4F9A44F8"/>
    <w:rsid w:val="4F9C19A5"/>
    <w:rsid w:val="4FA40ED3"/>
    <w:rsid w:val="4FA54744"/>
    <w:rsid w:val="4FAC7D88"/>
    <w:rsid w:val="4FAD422B"/>
    <w:rsid w:val="4FB05ACA"/>
    <w:rsid w:val="4FB44097"/>
    <w:rsid w:val="4FBD3D43"/>
    <w:rsid w:val="4FC13833"/>
    <w:rsid w:val="4FC155E1"/>
    <w:rsid w:val="4FC43323"/>
    <w:rsid w:val="4FC450D1"/>
    <w:rsid w:val="4FC62A8C"/>
    <w:rsid w:val="4FC736CB"/>
    <w:rsid w:val="4FC9093A"/>
    <w:rsid w:val="4FD33566"/>
    <w:rsid w:val="4FD96283"/>
    <w:rsid w:val="4FDE2637"/>
    <w:rsid w:val="4FE20F0D"/>
    <w:rsid w:val="4FE47521"/>
    <w:rsid w:val="4FE87012"/>
    <w:rsid w:val="4FEB4D54"/>
    <w:rsid w:val="4FED182E"/>
    <w:rsid w:val="4FED4628"/>
    <w:rsid w:val="4FF21C3E"/>
    <w:rsid w:val="4FF37764"/>
    <w:rsid w:val="4FFA5313"/>
    <w:rsid w:val="4FFA6D45"/>
    <w:rsid w:val="4FFD05E3"/>
    <w:rsid w:val="4FFD1564"/>
    <w:rsid w:val="500100D3"/>
    <w:rsid w:val="500D0826"/>
    <w:rsid w:val="50100316"/>
    <w:rsid w:val="501047BA"/>
    <w:rsid w:val="501B6F55"/>
    <w:rsid w:val="501E5995"/>
    <w:rsid w:val="501F49FD"/>
    <w:rsid w:val="502301D1"/>
    <w:rsid w:val="50250266"/>
    <w:rsid w:val="502D0EC8"/>
    <w:rsid w:val="502D2C76"/>
    <w:rsid w:val="503234D1"/>
    <w:rsid w:val="50357D7D"/>
    <w:rsid w:val="503A5393"/>
    <w:rsid w:val="503B1837"/>
    <w:rsid w:val="503B7078"/>
    <w:rsid w:val="503C110B"/>
    <w:rsid w:val="50412BC6"/>
    <w:rsid w:val="50414974"/>
    <w:rsid w:val="50454464"/>
    <w:rsid w:val="504637E5"/>
    <w:rsid w:val="504908E4"/>
    <w:rsid w:val="504A4F1C"/>
    <w:rsid w:val="504B57F2"/>
    <w:rsid w:val="504D156B"/>
    <w:rsid w:val="504D3DB0"/>
    <w:rsid w:val="50503AAD"/>
    <w:rsid w:val="50504C4B"/>
    <w:rsid w:val="50546455"/>
    <w:rsid w:val="50577CF3"/>
    <w:rsid w:val="50581EE5"/>
    <w:rsid w:val="50593A6B"/>
    <w:rsid w:val="505C7A00"/>
    <w:rsid w:val="505F4DFA"/>
    <w:rsid w:val="506403BE"/>
    <w:rsid w:val="50650662"/>
    <w:rsid w:val="506A3ECB"/>
    <w:rsid w:val="506B379F"/>
    <w:rsid w:val="506D39BB"/>
    <w:rsid w:val="506F7733"/>
    <w:rsid w:val="50720FD1"/>
    <w:rsid w:val="50727505"/>
    <w:rsid w:val="507408A5"/>
    <w:rsid w:val="50770396"/>
    <w:rsid w:val="50783C60"/>
    <w:rsid w:val="507904F4"/>
    <w:rsid w:val="50813689"/>
    <w:rsid w:val="50867BFF"/>
    <w:rsid w:val="508B5BEF"/>
    <w:rsid w:val="50903205"/>
    <w:rsid w:val="509623AA"/>
    <w:rsid w:val="509C6E7C"/>
    <w:rsid w:val="509D6FF7"/>
    <w:rsid w:val="509E57AB"/>
    <w:rsid w:val="50A0169A"/>
    <w:rsid w:val="50A15412"/>
    <w:rsid w:val="50A97291"/>
    <w:rsid w:val="50AA42C7"/>
    <w:rsid w:val="50AB7F7F"/>
    <w:rsid w:val="50B43398"/>
    <w:rsid w:val="50B909AE"/>
    <w:rsid w:val="50C15A67"/>
    <w:rsid w:val="50CA6717"/>
    <w:rsid w:val="50D17AA6"/>
    <w:rsid w:val="50D22EE7"/>
    <w:rsid w:val="50D35CFB"/>
    <w:rsid w:val="50D457E8"/>
    <w:rsid w:val="50D94BAC"/>
    <w:rsid w:val="50DD32E6"/>
    <w:rsid w:val="50E0795C"/>
    <w:rsid w:val="50E7551B"/>
    <w:rsid w:val="50EA4404"/>
    <w:rsid w:val="50ED0658"/>
    <w:rsid w:val="50EF43D0"/>
    <w:rsid w:val="50F6750C"/>
    <w:rsid w:val="50F73284"/>
    <w:rsid w:val="50FE4613"/>
    <w:rsid w:val="510565F2"/>
    <w:rsid w:val="510C31D4"/>
    <w:rsid w:val="51176F9E"/>
    <w:rsid w:val="511778D1"/>
    <w:rsid w:val="511B51C5"/>
    <w:rsid w:val="511C2DB0"/>
    <w:rsid w:val="511D0F3D"/>
    <w:rsid w:val="511D2CEB"/>
    <w:rsid w:val="511F1374"/>
    <w:rsid w:val="51220612"/>
    <w:rsid w:val="51226553"/>
    <w:rsid w:val="51281690"/>
    <w:rsid w:val="512C73D2"/>
    <w:rsid w:val="512F645E"/>
    <w:rsid w:val="512F6EC2"/>
    <w:rsid w:val="5131339E"/>
    <w:rsid w:val="513168B9"/>
    <w:rsid w:val="513358DF"/>
    <w:rsid w:val="51383FC9"/>
    <w:rsid w:val="51387B25"/>
    <w:rsid w:val="513A0C0E"/>
    <w:rsid w:val="513A6B13"/>
    <w:rsid w:val="513C3318"/>
    <w:rsid w:val="513D513B"/>
    <w:rsid w:val="513E0EB3"/>
    <w:rsid w:val="51402E7D"/>
    <w:rsid w:val="51404C2B"/>
    <w:rsid w:val="514069D9"/>
    <w:rsid w:val="51422751"/>
    <w:rsid w:val="514D0982"/>
    <w:rsid w:val="514F4E6E"/>
    <w:rsid w:val="5151508A"/>
    <w:rsid w:val="51542485"/>
    <w:rsid w:val="515626A1"/>
    <w:rsid w:val="51576E82"/>
    <w:rsid w:val="515801C7"/>
    <w:rsid w:val="51591E29"/>
    <w:rsid w:val="5160707C"/>
    <w:rsid w:val="51621046"/>
    <w:rsid w:val="5162104E"/>
    <w:rsid w:val="51631640"/>
    <w:rsid w:val="51694182"/>
    <w:rsid w:val="51702517"/>
    <w:rsid w:val="51711289"/>
    <w:rsid w:val="51764AF1"/>
    <w:rsid w:val="51786173"/>
    <w:rsid w:val="517A638F"/>
    <w:rsid w:val="517F5754"/>
    <w:rsid w:val="518014CC"/>
    <w:rsid w:val="51810ACE"/>
    <w:rsid w:val="518134B2"/>
    <w:rsid w:val="51826FF2"/>
    <w:rsid w:val="518502DF"/>
    <w:rsid w:val="51870AAC"/>
    <w:rsid w:val="518A5306"/>
    <w:rsid w:val="518D13F8"/>
    <w:rsid w:val="51937451"/>
    <w:rsid w:val="519531C9"/>
    <w:rsid w:val="519B00B4"/>
    <w:rsid w:val="51A33E68"/>
    <w:rsid w:val="51A4340C"/>
    <w:rsid w:val="51A927D1"/>
    <w:rsid w:val="51AC0513"/>
    <w:rsid w:val="51AE0F7B"/>
    <w:rsid w:val="51BA5593"/>
    <w:rsid w:val="51BA678C"/>
    <w:rsid w:val="51BF0246"/>
    <w:rsid w:val="51C21AE4"/>
    <w:rsid w:val="51C70EA9"/>
    <w:rsid w:val="51CB6BEB"/>
    <w:rsid w:val="51CC64BF"/>
    <w:rsid w:val="51D3240E"/>
    <w:rsid w:val="51D72D57"/>
    <w:rsid w:val="51D84E64"/>
    <w:rsid w:val="51DC0D2B"/>
    <w:rsid w:val="51DD06CC"/>
    <w:rsid w:val="51DD247A"/>
    <w:rsid w:val="51E33C89"/>
    <w:rsid w:val="51E41A5B"/>
    <w:rsid w:val="51E65239"/>
    <w:rsid w:val="51EE0B2B"/>
    <w:rsid w:val="51EE28D9"/>
    <w:rsid w:val="51F1661C"/>
    <w:rsid w:val="51F31C9E"/>
    <w:rsid w:val="51F321F2"/>
    <w:rsid w:val="52020133"/>
    <w:rsid w:val="5204431E"/>
    <w:rsid w:val="52045C59"/>
    <w:rsid w:val="520914C1"/>
    <w:rsid w:val="520B348B"/>
    <w:rsid w:val="520D51E4"/>
    <w:rsid w:val="52122037"/>
    <w:rsid w:val="5215365D"/>
    <w:rsid w:val="521E2410"/>
    <w:rsid w:val="52217969"/>
    <w:rsid w:val="522400A9"/>
    <w:rsid w:val="52244433"/>
    <w:rsid w:val="52287B99"/>
    <w:rsid w:val="522D3402"/>
    <w:rsid w:val="522E717A"/>
    <w:rsid w:val="52320A18"/>
    <w:rsid w:val="52326C6A"/>
    <w:rsid w:val="5237602E"/>
    <w:rsid w:val="523C3645"/>
    <w:rsid w:val="523D116B"/>
    <w:rsid w:val="523E560F"/>
    <w:rsid w:val="524244DF"/>
    <w:rsid w:val="5244074B"/>
    <w:rsid w:val="524424F9"/>
    <w:rsid w:val="52462715"/>
    <w:rsid w:val="52467195"/>
    <w:rsid w:val="5247554A"/>
    <w:rsid w:val="52483D98"/>
    <w:rsid w:val="524B1ADA"/>
    <w:rsid w:val="524D13AE"/>
    <w:rsid w:val="524E2FBC"/>
    <w:rsid w:val="524E5126"/>
    <w:rsid w:val="524F55D2"/>
    <w:rsid w:val="52554706"/>
    <w:rsid w:val="525700B0"/>
    <w:rsid w:val="52574ECB"/>
    <w:rsid w:val="525766D1"/>
    <w:rsid w:val="525941F7"/>
    <w:rsid w:val="525B6CEF"/>
    <w:rsid w:val="525E35BB"/>
    <w:rsid w:val="52636E23"/>
    <w:rsid w:val="52670DFD"/>
    <w:rsid w:val="526D37FE"/>
    <w:rsid w:val="526E0676"/>
    <w:rsid w:val="52720E14"/>
    <w:rsid w:val="527252B8"/>
    <w:rsid w:val="52796647"/>
    <w:rsid w:val="527A33E5"/>
    <w:rsid w:val="5281374D"/>
    <w:rsid w:val="52833022"/>
    <w:rsid w:val="52850AA4"/>
    <w:rsid w:val="52880638"/>
    <w:rsid w:val="528A0854"/>
    <w:rsid w:val="528B0128"/>
    <w:rsid w:val="528B637A"/>
    <w:rsid w:val="528C45CC"/>
    <w:rsid w:val="528D5C4E"/>
    <w:rsid w:val="528E597D"/>
    <w:rsid w:val="528F1410"/>
    <w:rsid w:val="52915273"/>
    <w:rsid w:val="52961E90"/>
    <w:rsid w:val="529671F9"/>
    <w:rsid w:val="52976ACD"/>
    <w:rsid w:val="529E1C09"/>
    <w:rsid w:val="52A336C4"/>
    <w:rsid w:val="52A64F62"/>
    <w:rsid w:val="52A665A4"/>
    <w:rsid w:val="52AA4A52"/>
    <w:rsid w:val="52AD4542"/>
    <w:rsid w:val="52AF2069"/>
    <w:rsid w:val="52B96A43"/>
    <w:rsid w:val="52BE405A"/>
    <w:rsid w:val="52C5188C"/>
    <w:rsid w:val="52C553E8"/>
    <w:rsid w:val="52C92E63"/>
    <w:rsid w:val="52CA0C50"/>
    <w:rsid w:val="52CF6267"/>
    <w:rsid w:val="52D47D21"/>
    <w:rsid w:val="52D73AAB"/>
    <w:rsid w:val="52DD7B03"/>
    <w:rsid w:val="52E53CDC"/>
    <w:rsid w:val="52EA30A1"/>
    <w:rsid w:val="52EC33C3"/>
    <w:rsid w:val="52F1442F"/>
    <w:rsid w:val="52F60FC2"/>
    <w:rsid w:val="52F67C97"/>
    <w:rsid w:val="52FB52AE"/>
    <w:rsid w:val="52FF5472"/>
    <w:rsid w:val="53004672"/>
    <w:rsid w:val="530C167E"/>
    <w:rsid w:val="530D4FE1"/>
    <w:rsid w:val="530E3233"/>
    <w:rsid w:val="5310069C"/>
    <w:rsid w:val="531620E8"/>
    <w:rsid w:val="531B14AC"/>
    <w:rsid w:val="531D273D"/>
    <w:rsid w:val="53204D14"/>
    <w:rsid w:val="53210278"/>
    <w:rsid w:val="5330338D"/>
    <w:rsid w:val="53312A7E"/>
    <w:rsid w:val="533267F6"/>
    <w:rsid w:val="53397B84"/>
    <w:rsid w:val="533D58C6"/>
    <w:rsid w:val="533D68E5"/>
    <w:rsid w:val="53563F10"/>
    <w:rsid w:val="535B7AFB"/>
    <w:rsid w:val="535D1AC5"/>
    <w:rsid w:val="535D2428"/>
    <w:rsid w:val="535E4EAC"/>
    <w:rsid w:val="535E75EB"/>
    <w:rsid w:val="53654E1D"/>
    <w:rsid w:val="53666D3F"/>
    <w:rsid w:val="53682217"/>
    <w:rsid w:val="536A41E2"/>
    <w:rsid w:val="536E5A80"/>
    <w:rsid w:val="53715570"/>
    <w:rsid w:val="537806AC"/>
    <w:rsid w:val="537868FE"/>
    <w:rsid w:val="53803A05"/>
    <w:rsid w:val="53853AFB"/>
    <w:rsid w:val="538E7ED0"/>
    <w:rsid w:val="538F56F6"/>
    <w:rsid w:val="53936B24"/>
    <w:rsid w:val="5394125E"/>
    <w:rsid w:val="539579A4"/>
    <w:rsid w:val="539A4AC7"/>
    <w:rsid w:val="539F032F"/>
    <w:rsid w:val="53A039CC"/>
    <w:rsid w:val="53A1505A"/>
    <w:rsid w:val="53A169D4"/>
    <w:rsid w:val="53A21BCD"/>
    <w:rsid w:val="53A25729"/>
    <w:rsid w:val="53A45945"/>
    <w:rsid w:val="53A5521A"/>
    <w:rsid w:val="53A96AB8"/>
    <w:rsid w:val="53AA4158"/>
    <w:rsid w:val="53B52E53"/>
    <w:rsid w:val="53B84F4D"/>
    <w:rsid w:val="53B86CFB"/>
    <w:rsid w:val="53B92A73"/>
    <w:rsid w:val="53BF452D"/>
    <w:rsid w:val="53C20A91"/>
    <w:rsid w:val="53C25DCC"/>
    <w:rsid w:val="53C32D17"/>
    <w:rsid w:val="53C64D9B"/>
    <w:rsid w:val="53D14261"/>
    <w:rsid w:val="53D224B3"/>
    <w:rsid w:val="53E05348"/>
    <w:rsid w:val="53E43F94"/>
    <w:rsid w:val="53E915AA"/>
    <w:rsid w:val="53E92248"/>
    <w:rsid w:val="53E93358"/>
    <w:rsid w:val="53EB266A"/>
    <w:rsid w:val="53EB5322"/>
    <w:rsid w:val="53F306B5"/>
    <w:rsid w:val="53F32429"/>
    <w:rsid w:val="53FF49A6"/>
    <w:rsid w:val="5400590F"/>
    <w:rsid w:val="540168F4"/>
    <w:rsid w:val="54041F40"/>
    <w:rsid w:val="540463E4"/>
    <w:rsid w:val="54063E08"/>
    <w:rsid w:val="54065CB8"/>
    <w:rsid w:val="54091C4C"/>
    <w:rsid w:val="540E2DBF"/>
    <w:rsid w:val="541A5C08"/>
    <w:rsid w:val="541B66CF"/>
    <w:rsid w:val="541C1980"/>
    <w:rsid w:val="5428092D"/>
    <w:rsid w:val="542A5BF1"/>
    <w:rsid w:val="542B3971"/>
    <w:rsid w:val="542E520F"/>
    <w:rsid w:val="543162F7"/>
    <w:rsid w:val="543437E8"/>
    <w:rsid w:val="5435659E"/>
    <w:rsid w:val="54377B7E"/>
    <w:rsid w:val="5438706C"/>
    <w:rsid w:val="543A1E06"/>
    <w:rsid w:val="543D17CB"/>
    <w:rsid w:val="543F566E"/>
    <w:rsid w:val="54414992"/>
    <w:rsid w:val="54483C93"/>
    <w:rsid w:val="544D7D8B"/>
    <w:rsid w:val="54520EFE"/>
    <w:rsid w:val="545D5AF4"/>
    <w:rsid w:val="54617393"/>
    <w:rsid w:val="54626AE2"/>
    <w:rsid w:val="54660E4D"/>
    <w:rsid w:val="546B0211"/>
    <w:rsid w:val="546B4BDF"/>
    <w:rsid w:val="546B6463"/>
    <w:rsid w:val="546E7D01"/>
    <w:rsid w:val="54715AEA"/>
    <w:rsid w:val="547277F2"/>
    <w:rsid w:val="54770964"/>
    <w:rsid w:val="54790B80"/>
    <w:rsid w:val="5479292E"/>
    <w:rsid w:val="547A0454"/>
    <w:rsid w:val="547A48F8"/>
    <w:rsid w:val="547E3A09"/>
    <w:rsid w:val="547F1F0F"/>
    <w:rsid w:val="547F3CBD"/>
    <w:rsid w:val="54857525"/>
    <w:rsid w:val="5488491F"/>
    <w:rsid w:val="548B440F"/>
    <w:rsid w:val="548E5CAE"/>
    <w:rsid w:val="548F594D"/>
    <w:rsid w:val="54936E88"/>
    <w:rsid w:val="54971006"/>
    <w:rsid w:val="54990ADB"/>
    <w:rsid w:val="549A28A4"/>
    <w:rsid w:val="54A27052"/>
    <w:rsid w:val="54A31D35"/>
    <w:rsid w:val="54A43723"/>
    <w:rsid w:val="54A6749B"/>
    <w:rsid w:val="54A85393"/>
    <w:rsid w:val="54A92AE8"/>
    <w:rsid w:val="54AB2D04"/>
    <w:rsid w:val="54AB6860"/>
    <w:rsid w:val="54B03EEA"/>
    <w:rsid w:val="54B25E40"/>
    <w:rsid w:val="54B27BEE"/>
    <w:rsid w:val="54B60678"/>
    <w:rsid w:val="54B86A36"/>
    <w:rsid w:val="54BE2A37"/>
    <w:rsid w:val="54C33BA9"/>
    <w:rsid w:val="54C37597"/>
    <w:rsid w:val="54C60539"/>
    <w:rsid w:val="54C70191"/>
    <w:rsid w:val="54CD2165"/>
    <w:rsid w:val="54CE5923"/>
    <w:rsid w:val="54CE6966"/>
    <w:rsid w:val="54D172DA"/>
    <w:rsid w:val="54D90E4D"/>
    <w:rsid w:val="54DC2EBD"/>
    <w:rsid w:val="54E0475B"/>
    <w:rsid w:val="54E16725"/>
    <w:rsid w:val="54E87AB4"/>
    <w:rsid w:val="54EA55DA"/>
    <w:rsid w:val="54EB1352"/>
    <w:rsid w:val="54EB72AE"/>
    <w:rsid w:val="54EE1700"/>
    <w:rsid w:val="54F16E3C"/>
    <w:rsid w:val="54F71AA5"/>
    <w:rsid w:val="54FA0A20"/>
    <w:rsid w:val="55012924"/>
    <w:rsid w:val="550246D4"/>
    <w:rsid w:val="550269E3"/>
    <w:rsid w:val="55085A60"/>
    <w:rsid w:val="550A7A2A"/>
    <w:rsid w:val="550B57AB"/>
    <w:rsid w:val="550C37A2"/>
    <w:rsid w:val="550D751A"/>
    <w:rsid w:val="55116D87"/>
    <w:rsid w:val="55142068"/>
    <w:rsid w:val="5516017D"/>
    <w:rsid w:val="55191A1B"/>
    <w:rsid w:val="551E34D6"/>
    <w:rsid w:val="552A3C28"/>
    <w:rsid w:val="55384597"/>
    <w:rsid w:val="553D6B7E"/>
    <w:rsid w:val="55424033"/>
    <w:rsid w:val="55432F3C"/>
    <w:rsid w:val="554967A4"/>
    <w:rsid w:val="554B0437"/>
    <w:rsid w:val="554B0F1D"/>
    <w:rsid w:val="554C0043"/>
    <w:rsid w:val="554E3DBB"/>
    <w:rsid w:val="554E7A8C"/>
    <w:rsid w:val="554F5B03"/>
    <w:rsid w:val="555313D1"/>
    <w:rsid w:val="5553570E"/>
    <w:rsid w:val="555869E7"/>
    <w:rsid w:val="55620AD4"/>
    <w:rsid w:val="556233C2"/>
    <w:rsid w:val="55652944"/>
    <w:rsid w:val="55652EB2"/>
    <w:rsid w:val="5566599F"/>
    <w:rsid w:val="556829A3"/>
    <w:rsid w:val="557032EB"/>
    <w:rsid w:val="55705593"/>
    <w:rsid w:val="557C1FAA"/>
    <w:rsid w:val="557F21C6"/>
    <w:rsid w:val="55801A9A"/>
    <w:rsid w:val="558275C0"/>
    <w:rsid w:val="55843CB5"/>
    <w:rsid w:val="558570B1"/>
    <w:rsid w:val="558772CD"/>
    <w:rsid w:val="558A46C7"/>
    <w:rsid w:val="558C48E3"/>
    <w:rsid w:val="558F6A10"/>
    <w:rsid w:val="559106BB"/>
    <w:rsid w:val="55914F40"/>
    <w:rsid w:val="55935C72"/>
    <w:rsid w:val="559B174B"/>
    <w:rsid w:val="559B2D78"/>
    <w:rsid w:val="559B4861"/>
    <w:rsid w:val="559D264C"/>
    <w:rsid w:val="559F31E2"/>
    <w:rsid w:val="55A03EEB"/>
    <w:rsid w:val="55A21B63"/>
    <w:rsid w:val="55A27C63"/>
    <w:rsid w:val="55A41C2D"/>
    <w:rsid w:val="55A439DB"/>
    <w:rsid w:val="55A9466F"/>
    <w:rsid w:val="55AC6D33"/>
    <w:rsid w:val="55AE6607"/>
    <w:rsid w:val="55B160F8"/>
    <w:rsid w:val="55B17EA6"/>
    <w:rsid w:val="55C207CD"/>
    <w:rsid w:val="55C30E9C"/>
    <w:rsid w:val="55C7591B"/>
    <w:rsid w:val="55C94D0E"/>
    <w:rsid w:val="55CC4CE0"/>
    <w:rsid w:val="55CE0CF4"/>
    <w:rsid w:val="55D02A22"/>
    <w:rsid w:val="55D41DE6"/>
    <w:rsid w:val="55D6790C"/>
    <w:rsid w:val="55D818D6"/>
    <w:rsid w:val="55DB3175"/>
    <w:rsid w:val="55DD6EED"/>
    <w:rsid w:val="55DF2C65"/>
    <w:rsid w:val="55E055C2"/>
    <w:rsid w:val="55E6461A"/>
    <w:rsid w:val="55EA33B8"/>
    <w:rsid w:val="55F304BE"/>
    <w:rsid w:val="55F40804"/>
    <w:rsid w:val="55FC1EE9"/>
    <w:rsid w:val="55FD758F"/>
    <w:rsid w:val="55FF3307"/>
    <w:rsid w:val="56026953"/>
    <w:rsid w:val="560426CB"/>
    <w:rsid w:val="560501F2"/>
    <w:rsid w:val="56156687"/>
    <w:rsid w:val="561623FF"/>
    <w:rsid w:val="561641AD"/>
    <w:rsid w:val="56176919"/>
    <w:rsid w:val="56222B52"/>
    <w:rsid w:val="56237FD6"/>
    <w:rsid w:val="562468CA"/>
    <w:rsid w:val="562D0004"/>
    <w:rsid w:val="562E14F6"/>
    <w:rsid w:val="562E7748"/>
    <w:rsid w:val="562F67CA"/>
    <w:rsid w:val="56304D30"/>
    <w:rsid w:val="563053E6"/>
    <w:rsid w:val="56332FB1"/>
    <w:rsid w:val="563365AA"/>
    <w:rsid w:val="56356D29"/>
    <w:rsid w:val="563740DE"/>
    <w:rsid w:val="563C00B7"/>
    <w:rsid w:val="56431446"/>
    <w:rsid w:val="564B02FA"/>
    <w:rsid w:val="564B654C"/>
    <w:rsid w:val="564C327E"/>
    <w:rsid w:val="564E7DEA"/>
    <w:rsid w:val="56505911"/>
    <w:rsid w:val="565151E5"/>
    <w:rsid w:val="565A678F"/>
    <w:rsid w:val="565D002E"/>
    <w:rsid w:val="5661367A"/>
    <w:rsid w:val="56633896"/>
    <w:rsid w:val="56660C90"/>
    <w:rsid w:val="56665134"/>
    <w:rsid w:val="56666EE2"/>
    <w:rsid w:val="56674A08"/>
    <w:rsid w:val="566807B0"/>
    <w:rsid w:val="566978EC"/>
    <w:rsid w:val="566D3E5D"/>
    <w:rsid w:val="566D52ED"/>
    <w:rsid w:val="567105B4"/>
    <w:rsid w:val="56717635"/>
    <w:rsid w:val="567535C9"/>
    <w:rsid w:val="56772E9D"/>
    <w:rsid w:val="567B188F"/>
    <w:rsid w:val="567C4958"/>
    <w:rsid w:val="567F61F6"/>
    <w:rsid w:val="56813D1C"/>
    <w:rsid w:val="56815ACA"/>
    <w:rsid w:val="56847368"/>
    <w:rsid w:val="56867733"/>
    <w:rsid w:val="568832FC"/>
    <w:rsid w:val="5691462E"/>
    <w:rsid w:val="56925F29"/>
    <w:rsid w:val="56927CD7"/>
    <w:rsid w:val="56951575"/>
    <w:rsid w:val="5697055A"/>
    <w:rsid w:val="569C0B56"/>
    <w:rsid w:val="569C2904"/>
    <w:rsid w:val="569C6DA8"/>
    <w:rsid w:val="569F23F4"/>
    <w:rsid w:val="56A31EE4"/>
    <w:rsid w:val="56A55C77"/>
    <w:rsid w:val="56A8574D"/>
    <w:rsid w:val="56A93273"/>
    <w:rsid w:val="56A96DCF"/>
    <w:rsid w:val="56AE4F0A"/>
    <w:rsid w:val="56B0015D"/>
    <w:rsid w:val="56B13CD2"/>
    <w:rsid w:val="56B14607"/>
    <w:rsid w:val="56B22A9C"/>
    <w:rsid w:val="56B51C18"/>
    <w:rsid w:val="56C67981"/>
    <w:rsid w:val="56C9121F"/>
    <w:rsid w:val="56CA56C3"/>
    <w:rsid w:val="56CB143B"/>
    <w:rsid w:val="56CC6E55"/>
    <w:rsid w:val="56CE62D0"/>
    <w:rsid w:val="56D025AE"/>
    <w:rsid w:val="56D2670E"/>
    <w:rsid w:val="56D54257"/>
    <w:rsid w:val="56D976B4"/>
    <w:rsid w:val="56D97F48"/>
    <w:rsid w:val="56DF0A43"/>
    <w:rsid w:val="56E91DA0"/>
    <w:rsid w:val="56EB73E7"/>
    <w:rsid w:val="56EE5B8F"/>
    <w:rsid w:val="56EF512A"/>
    <w:rsid w:val="56EF6ED8"/>
    <w:rsid w:val="56F42740"/>
    <w:rsid w:val="56F50266"/>
    <w:rsid w:val="56F537C9"/>
    <w:rsid w:val="56FE35BF"/>
    <w:rsid w:val="56FF14FB"/>
    <w:rsid w:val="57007337"/>
    <w:rsid w:val="57081F8A"/>
    <w:rsid w:val="570D3802"/>
    <w:rsid w:val="570F1328"/>
    <w:rsid w:val="57106E4E"/>
    <w:rsid w:val="571526B6"/>
    <w:rsid w:val="57154464"/>
    <w:rsid w:val="571701DC"/>
    <w:rsid w:val="5717642E"/>
    <w:rsid w:val="57196706"/>
    <w:rsid w:val="571B7CCD"/>
    <w:rsid w:val="571F6335"/>
    <w:rsid w:val="5721105B"/>
    <w:rsid w:val="57212E09"/>
    <w:rsid w:val="572A655F"/>
    <w:rsid w:val="572C2786"/>
    <w:rsid w:val="573378CD"/>
    <w:rsid w:val="57340D8E"/>
    <w:rsid w:val="57364B06"/>
    <w:rsid w:val="5737087F"/>
    <w:rsid w:val="5737262D"/>
    <w:rsid w:val="573963A5"/>
    <w:rsid w:val="573A49B9"/>
    <w:rsid w:val="573B1A0A"/>
    <w:rsid w:val="573E7E5F"/>
    <w:rsid w:val="573F15EA"/>
    <w:rsid w:val="57405985"/>
    <w:rsid w:val="57456BD3"/>
    <w:rsid w:val="57476652"/>
    <w:rsid w:val="574A45CE"/>
    <w:rsid w:val="574D135A"/>
    <w:rsid w:val="57501B81"/>
    <w:rsid w:val="5758643F"/>
    <w:rsid w:val="575B27BF"/>
    <w:rsid w:val="575B456D"/>
    <w:rsid w:val="575B774B"/>
    <w:rsid w:val="575D644F"/>
    <w:rsid w:val="575D6537"/>
    <w:rsid w:val="57601B83"/>
    <w:rsid w:val="57672F12"/>
    <w:rsid w:val="576C64D8"/>
    <w:rsid w:val="576F0018"/>
    <w:rsid w:val="576F1DC6"/>
    <w:rsid w:val="57711FE2"/>
    <w:rsid w:val="57713D91"/>
    <w:rsid w:val="5774562F"/>
    <w:rsid w:val="57762B00"/>
    <w:rsid w:val="57776ECD"/>
    <w:rsid w:val="577B4C0F"/>
    <w:rsid w:val="577C44E3"/>
    <w:rsid w:val="577D5EA0"/>
    <w:rsid w:val="57882E88"/>
    <w:rsid w:val="578A2E8A"/>
    <w:rsid w:val="578C0BCA"/>
    <w:rsid w:val="578F4217"/>
    <w:rsid w:val="57904B13"/>
    <w:rsid w:val="57913B45"/>
    <w:rsid w:val="57936D3D"/>
    <w:rsid w:val="5794182D"/>
    <w:rsid w:val="57980393"/>
    <w:rsid w:val="579D05A5"/>
    <w:rsid w:val="579E26AC"/>
    <w:rsid w:val="57A203EE"/>
    <w:rsid w:val="57A23F4A"/>
    <w:rsid w:val="57AB72DA"/>
    <w:rsid w:val="57AE0B41"/>
    <w:rsid w:val="57AE6D93"/>
    <w:rsid w:val="57B72A76"/>
    <w:rsid w:val="57BB7557"/>
    <w:rsid w:val="57BE194A"/>
    <w:rsid w:val="57C049B1"/>
    <w:rsid w:val="57C10AC3"/>
    <w:rsid w:val="57C739B1"/>
    <w:rsid w:val="57C96694"/>
    <w:rsid w:val="57CA34A1"/>
    <w:rsid w:val="57CC0FC7"/>
    <w:rsid w:val="57D86F9C"/>
    <w:rsid w:val="57D91936"/>
    <w:rsid w:val="57DA3E17"/>
    <w:rsid w:val="57DC342F"/>
    <w:rsid w:val="57DD31D4"/>
    <w:rsid w:val="57DE2F63"/>
    <w:rsid w:val="57E207EA"/>
    <w:rsid w:val="57E36310"/>
    <w:rsid w:val="57E75E01"/>
    <w:rsid w:val="57F10A2D"/>
    <w:rsid w:val="57F56CC7"/>
    <w:rsid w:val="57F66044"/>
    <w:rsid w:val="57F8064E"/>
    <w:rsid w:val="57FB7462"/>
    <w:rsid w:val="57FE314A"/>
    <w:rsid w:val="58003366"/>
    <w:rsid w:val="58027680"/>
    <w:rsid w:val="58042493"/>
    <w:rsid w:val="580764A3"/>
    <w:rsid w:val="58095919"/>
    <w:rsid w:val="580F2368"/>
    <w:rsid w:val="581110D0"/>
    <w:rsid w:val="5814471C"/>
    <w:rsid w:val="581D5CC6"/>
    <w:rsid w:val="581E66C8"/>
    <w:rsid w:val="582157B7"/>
    <w:rsid w:val="58215A55"/>
    <w:rsid w:val="5822508B"/>
    <w:rsid w:val="58226E39"/>
    <w:rsid w:val="58247055"/>
    <w:rsid w:val="58256929"/>
    <w:rsid w:val="58273B30"/>
    <w:rsid w:val="5827444F"/>
    <w:rsid w:val="582901C7"/>
    <w:rsid w:val="582B03E3"/>
    <w:rsid w:val="582B2191"/>
    <w:rsid w:val="582B57B9"/>
    <w:rsid w:val="582E65EE"/>
    <w:rsid w:val="582E7AAF"/>
    <w:rsid w:val="583077A8"/>
    <w:rsid w:val="58315248"/>
    <w:rsid w:val="583628E4"/>
    <w:rsid w:val="584204B6"/>
    <w:rsid w:val="58421289"/>
    <w:rsid w:val="584274DB"/>
    <w:rsid w:val="58443253"/>
    <w:rsid w:val="58496ABB"/>
    <w:rsid w:val="584A6390"/>
    <w:rsid w:val="58507E4A"/>
    <w:rsid w:val="58515970"/>
    <w:rsid w:val="5853793A"/>
    <w:rsid w:val="58555460"/>
    <w:rsid w:val="5855720E"/>
    <w:rsid w:val="585B059D"/>
    <w:rsid w:val="58607961"/>
    <w:rsid w:val="58625E52"/>
    <w:rsid w:val="586B4C84"/>
    <w:rsid w:val="586C27AA"/>
    <w:rsid w:val="586D5636"/>
    <w:rsid w:val="58737694"/>
    <w:rsid w:val="587753D7"/>
    <w:rsid w:val="587A6C75"/>
    <w:rsid w:val="587B479B"/>
    <w:rsid w:val="587C29ED"/>
    <w:rsid w:val="587F0709"/>
    <w:rsid w:val="588333CC"/>
    <w:rsid w:val="58847AF3"/>
    <w:rsid w:val="588875E4"/>
    <w:rsid w:val="588B70D4"/>
    <w:rsid w:val="58900246"/>
    <w:rsid w:val="58967306"/>
    <w:rsid w:val="589870FB"/>
    <w:rsid w:val="589C1963"/>
    <w:rsid w:val="589E6E07"/>
    <w:rsid w:val="58A3441E"/>
    <w:rsid w:val="58A610F9"/>
    <w:rsid w:val="58A837E2"/>
    <w:rsid w:val="58AB5080"/>
    <w:rsid w:val="58AC5FE5"/>
    <w:rsid w:val="58AE691E"/>
    <w:rsid w:val="58B02697"/>
    <w:rsid w:val="58B538BA"/>
    <w:rsid w:val="58B73A25"/>
    <w:rsid w:val="58BC54DF"/>
    <w:rsid w:val="58BE32CF"/>
    <w:rsid w:val="58C12AF6"/>
    <w:rsid w:val="58CD2411"/>
    <w:rsid w:val="58D04AE7"/>
    <w:rsid w:val="58D345D7"/>
    <w:rsid w:val="58D42829"/>
    <w:rsid w:val="58D74519"/>
    <w:rsid w:val="58DA1063"/>
    <w:rsid w:val="58DA7713"/>
    <w:rsid w:val="58E14F46"/>
    <w:rsid w:val="58E90251"/>
    <w:rsid w:val="58EE31BF"/>
    <w:rsid w:val="58F307D5"/>
    <w:rsid w:val="58F509F1"/>
    <w:rsid w:val="58FE1654"/>
    <w:rsid w:val="58FF53CC"/>
    <w:rsid w:val="59013D9D"/>
    <w:rsid w:val="59050C34"/>
    <w:rsid w:val="59063B02"/>
    <w:rsid w:val="59077622"/>
    <w:rsid w:val="590A49E9"/>
    <w:rsid w:val="590B0730"/>
    <w:rsid w:val="590B3D71"/>
    <w:rsid w:val="590B7E91"/>
    <w:rsid w:val="590D1897"/>
    <w:rsid w:val="590D7AE9"/>
    <w:rsid w:val="590F3E15"/>
    <w:rsid w:val="591250FF"/>
    <w:rsid w:val="59136180"/>
    <w:rsid w:val="5915699E"/>
    <w:rsid w:val="591623EB"/>
    <w:rsid w:val="591946E0"/>
    <w:rsid w:val="591C2557"/>
    <w:rsid w:val="591C7D2C"/>
    <w:rsid w:val="591F6730"/>
    <w:rsid w:val="592866D1"/>
    <w:rsid w:val="592E180D"/>
    <w:rsid w:val="593212FE"/>
    <w:rsid w:val="59350DEE"/>
    <w:rsid w:val="59372DB8"/>
    <w:rsid w:val="593C6736"/>
    <w:rsid w:val="593E7CA2"/>
    <w:rsid w:val="593F3A1A"/>
    <w:rsid w:val="59411DC7"/>
    <w:rsid w:val="594A4899"/>
    <w:rsid w:val="594A6647"/>
    <w:rsid w:val="594F0101"/>
    <w:rsid w:val="59513E7A"/>
    <w:rsid w:val="5952374E"/>
    <w:rsid w:val="59527BF2"/>
    <w:rsid w:val="59531008"/>
    <w:rsid w:val="59544FF5"/>
    <w:rsid w:val="595B4CF8"/>
    <w:rsid w:val="595B6AA6"/>
    <w:rsid w:val="595E20F3"/>
    <w:rsid w:val="59611BE3"/>
    <w:rsid w:val="59653481"/>
    <w:rsid w:val="596C4358"/>
    <w:rsid w:val="596D0588"/>
    <w:rsid w:val="596D2336"/>
    <w:rsid w:val="596D67DA"/>
    <w:rsid w:val="597263D6"/>
    <w:rsid w:val="59754081"/>
    <w:rsid w:val="59796F2C"/>
    <w:rsid w:val="597E2795"/>
    <w:rsid w:val="59822285"/>
    <w:rsid w:val="598237B0"/>
    <w:rsid w:val="598B7AD8"/>
    <w:rsid w:val="5991071A"/>
    <w:rsid w:val="59914276"/>
    <w:rsid w:val="599B3347"/>
    <w:rsid w:val="599C2C1B"/>
    <w:rsid w:val="599C4367"/>
    <w:rsid w:val="59A33FA9"/>
    <w:rsid w:val="59A541C5"/>
    <w:rsid w:val="59A87812"/>
    <w:rsid w:val="59AA5338"/>
    <w:rsid w:val="59AF6DF2"/>
    <w:rsid w:val="59B2243E"/>
    <w:rsid w:val="59B526F2"/>
    <w:rsid w:val="59B63CDD"/>
    <w:rsid w:val="59BC7D8F"/>
    <w:rsid w:val="59BE5287"/>
    <w:rsid w:val="59BE5645"/>
    <w:rsid w:val="59BE7035"/>
    <w:rsid w:val="59C04B5B"/>
    <w:rsid w:val="59C12681"/>
    <w:rsid w:val="59C26B25"/>
    <w:rsid w:val="59C3464B"/>
    <w:rsid w:val="59C53F20"/>
    <w:rsid w:val="59C812C8"/>
    <w:rsid w:val="59C82CB8"/>
    <w:rsid w:val="59C97EB4"/>
    <w:rsid w:val="59D03A04"/>
    <w:rsid w:val="59D12BC9"/>
    <w:rsid w:val="59D2488F"/>
    <w:rsid w:val="59D57095"/>
    <w:rsid w:val="59D86349"/>
    <w:rsid w:val="59DD6583"/>
    <w:rsid w:val="59E0058C"/>
    <w:rsid w:val="59E051FD"/>
    <w:rsid w:val="59E51BA8"/>
    <w:rsid w:val="59F6007B"/>
    <w:rsid w:val="59F6057D"/>
    <w:rsid w:val="59F667CF"/>
    <w:rsid w:val="59F73AC1"/>
    <w:rsid w:val="59F760A3"/>
    <w:rsid w:val="59F8263F"/>
    <w:rsid w:val="5A054C64"/>
    <w:rsid w:val="5A064894"/>
    <w:rsid w:val="5A094754"/>
    <w:rsid w:val="5A0E3B19"/>
    <w:rsid w:val="5A113609"/>
    <w:rsid w:val="5A137381"/>
    <w:rsid w:val="5A146C55"/>
    <w:rsid w:val="5A166E71"/>
    <w:rsid w:val="5A1B4488"/>
    <w:rsid w:val="5A1D5B0A"/>
    <w:rsid w:val="5A2275C4"/>
    <w:rsid w:val="5A277C43"/>
    <w:rsid w:val="5A296BA4"/>
    <w:rsid w:val="5A2A6479"/>
    <w:rsid w:val="5A2E1F00"/>
    <w:rsid w:val="5A3115B5"/>
    <w:rsid w:val="5A366BCB"/>
    <w:rsid w:val="5A380B96"/>
    <w:rsid w:val="5A3A490E"/>
    <w:rsid w:val="5A3B68D8"/>
    <w:rsid w:val="5A3C20EF"/>
    <w:rsid w:val="5A3C747D"/>
    <w:rsid w:val="5A3F0176"/>
    <w:rsid w:val="5A403EEE"/>
    <w:rsid w:val="5A407A4A"/>
    <w:rsid w:val="5A4455DB"/>
    <w:rsid w:val="5A461504"/>
    <w:rsid w:val="5A490FF5"/>
    <w:rsid w:val="5A4958D6"/>
    <w:rsid w:val="5A4A4609"/>
    <w:rsid w:val="5A50597F"/>
    <w:rsid w:val="5A533C21"/>
    <w:rsid w:val="5A555C7D"/>
    <w:rsid w:val="5A5B4884"/>
    <w:rsid w:val="5A5D23AA"/>
    <w:rsid w:val="5A5F6122"/>
    <w:rsid w:val="5A6019BB"/>
    <w:rsid w:val="5A6144B2"/>
    <w:rsid w:val="5A61633E"/>
    <w:rsid w:val="5A7410C5"/>
    <w:rsid w:val="5A74177B"/>
    <w:rsid w:val="5A753B98"/>
    <w:rsid w:val="5A7C4F26"/>
    <w:rsid w:val="5A805270"/>
    <w:rsid w:val="5A84202D"/>
    <w:rsid w:val="5A887DA1"/>
    <w:rsid w:val="5A89083A"/>
    <w:rsid w:val="5A8C2C8F"/>
    <w:rsid w:val="5A8C7796"/>
    <w:rsid w:val="5A9009D2"/>
    <w:rsid w:val="5A951B44"/>
    <w:rsid w:val="5A9F4737"/>
    <w:rsid w:val="5AA1498D"/>
    <w:rsid w:val="5AA30DE7"/>
    <w:rsid w:val="5AA47FD9"/>
    <w:rsid w:val="5AA7249C"/>
    <w:rsid w:val="5AA903B9"/>
    <w:rsid w:val="5AA91A93"/>
    <w:rsid w:val="5AAE5E37"/>
    <w:rsid w:val="5AB02E22"/>
    <w:rsid w:val="5AB83A84"/>
    <w:rsid w:val="5ABC3575"/>
    <w:rsid w:val="5ABE2233"/>
    <w:rsid w:val="5ABF12B7"/>
    <w:rsid w:val="5AC02939"/>
    <w:rsid w:val="5AC061CA"/>
    <w:rsid w:val="5AC13523"/>
    <w:rsid w:val="5AC81FAD"/>
    <w:rsid w:val="5AC86513"/>
    <w:rsid w:val="5AC95C92"/>
    <w:rsid w:val="5ACB1A0A"/>
    <w:rsid w:val="5ACD7DA0"/>
    <w:rsid w:val="5AD76600"/>
    <w:rsid w:val="5AE55CE6"/>
    <w:rsid w:val="5AE605F2"/>
    <w:rsid w:val="5AE623A0"/>
    <w:rsid w:val="5AEB5C08"/>
    <w:rsid w:val="5AF56A87"/>
    <w:rsid w:val="5AF70A51"/>
    <w:rsid w:val="5AF947C9"/>
    <w:rsid w:val="5AFC6067"/>
    <w:rsid w:val="5AFC7E15"/>
    <w:rsid w:val="5AFE3B8D"/>
    <w:rsid w:val="5B01542B"/>
    <w:rsid w:val="5B0B0058"/>
    <w:rsid w:val="5B0B44FC"/>
    <w:rsid w:val="5B0E7493"/>
    <w:rsid w:val="5B1909C7"/>
    <w:rsid w:val="5B1C4013"/>
    <w:rsid w:val="5B1F079D"/>
    <w:rsid w:val="5B1F58B2"/>
    <w:rsid w:val="5B276D18"/>
    <w:rsid w:val="5B297096"/>
    <w:rsid w:val="5B2D4374"/>
    <w:rsid w:val="5B33135D"/>
    <w:rsid w:val="5B3550D5"/>
    <w:rsid w:val="5B363143"/>
    <w:rsid w:val="5B372BFB"/>
    <w:rsid w:val="5B3D25E5"/>
    <w:rsid w:val="5B435A44"/>
    <w:rsid w:val="5B4377F2"/>
    <w:rsid w:val="5B4524B8"/>
    <w:rsid w:val="5B4D5DFB"/>
    <w:rsid w:val="5B503CBD"/>
    <w:rsid w:val="5B5163B3"/>
    <w:rsid w:val="5B5437AD"/>
    <w:rsid w:val="5B5A4B3C"/>
    <w:rsid w:val="5B5C08B4"/>
    <w:rsid w:val="5B6065F6"/>
    <w:rsid w:val="5B6139D7"/>
    <w:rsid w:val="5B61411C"/>
    <w:rsid w:val="5B637E94"/>
    <w:rsid w:val="5B6F6839"/>
    <w:rsid w:val="5B7200D7"/>
    <w:rsid w:val="5B765E19"/>
    <w:rsid w:val="5B7C2C24"/>
    <w:rsid w:val="5B7C4516"/>
    <w:rsid w:val="5B7E082A"/>
    <w:rsid w:val="5B804F69"/>
    <w:rsid w:val="5B8D2D21"/>
    <w:rsid w:val="5B8D756D"/>
    <w:rsid w:val="5B8E7B0D"/>
    <w:rsid w:val="5B9444F1"/>
    <w:rsid w:val="5B962018"/>
    <w:rsid w:val="5B9718EC"/>
    <w:rsid w:val="5B995664"/>
    <w:rsid w:val="5B9960CD"/>
    <w:rsid w:val="5B9B5880"/>
    <w:rsid w:val="5B9B762E"/>
    <w:rsid w:val="5BA06A56"/>
    <w:rsid w:val="5BA858A7"/>
    <w:rsid w:val="5BAC15F8"/>
    <w:rsid w:val="5BAC2986"/>
    <w:rsid w:val="5BB02677"/>
    <w:rsid w:val="5BB02907"/>
    <w:rsid w:val="5BB57FC4"/>
    <w:rsid w:val="5BB93F58"/>
    <w:rsid w:val="5BBE1529"/>
    <w:rsid w:val="5BC53DAB"/>
    <w:rsid w:val="5BD42B40"/>
    <w:rsid w:val="5BD7618C"/>
    <w:rsid w:val="5BD82630"/>
    <w:rsid w:val="5BD91B0B"/>
    <w:rsid w:val="5BDF5D95"/>
    <w:rsid w:val="5BE00642"/>
    <w:rsid w:val="5BE32D83"/>
    <w:rsid w:val="5BE74621"/>
    <w:rsid w:val="5BEA5EBF"/>
    <w:rsid w:val="5BED775E"/>
    <w:rsid w:val="5BEE20A9"/>
    <w:rsid w:val="5BF136F2"/>
    <w:rsid w:val="5BF31960"/>
    <w:rsid w:val="5BF64864"/>
    <w:rsid w:val="5BF8281F"/>
    <w:rsid w:val="5BFB1E7B"/>
    <w:rsid w:val="5C0827EA"/>
    <w:rsid w:val="5C084598"/>
    <w:rsid w:val="5C0E3BCB"/>
    <w:rsid w:val="5C0E3D80"/>
    <w:rsid w:val="5C0F5926"/>
    <w:rsid w:val="5C121CA4"/>
    <w:rsid w:val="5C1271C4"/>
    <w:rsid w:val="5C1B076F"/>
    <w:rsid w:val="5C1B42CB"/>
    <w:rsid w:val="5C2238AB"/>
    <w:rsid w:val="5C225659"/>
    <w:rsid w:val="5C2305E4"/>
    <w:rsid w:val="5C237623"/>
    <w:rsid w:val="5C2440E9"/>
    <w:rsid w:val="5C283EC9"/>
    <w:rsid w:val="5C2B0664"/>
    <w:rsid w:val="5C2E290C"/>
    <w:rsid w:val="5C2F421A"/>
    <w:rsid w:val="5C34538D"/>
    <w:rsid w:val="5C3933B5"/>
    <w:rsid w:val="5C4E28BC"/>
    <w:rsid w:val="5C5305C6"/>
    <w:rsid w:val="5C541F4D"/>
    <w:rsid w:val="5C58551F"/>
    <w:rsid w:val="5C5B01E8"/>
    <w:rsid w:val="5C5C1087"/>
    <w:rsid w:val="5C62639E"/>
    <w:rsid w:val="5C65155C"/>
    <w:rsid w:val="5C663787"/>
    <w:rsid w:val="5C677510"/>
    <w:rsid w:val="5C6E7D9F"/>
    <w:rsid w:val="5C732359"/>
    <w:rsid w:val="5C757E7F"/>
    <w:rsid w:val="5C7B2FBB"/>
    <w:rsid w:val="5C7D31D8"/>
    <w:rsid w:val="5C7E4CC3"/>
    <w:rsid w:val="5C8509BC"/>
    <w:rsid w:val="5C86208C"/>
    <w:rsid w:val="5C871960"/>
    <w:rsid w:val="5C935A59"/>
    <w:rsid w:val="5C9B540C"/>
    <w:rsid w:val="5C9E33F5"/>
    <w:rsid w:val="5C9F4EFC"/>
    <w:rsid w:val="5CA16EC6"/>
    <w:rsid w:val="5CA249EC"/>
    <w:rsid w:val="5CA24B2E"/>
    <w:rsid w:val="5CA3554E"/>
    <w:rsid w:val="5CA42512"/>
    <w:rsid w:val="5CA64CDB"/>
    <w:rsid w:val="5CA93FCD"/>
    <w:rsid w:val="5CB35043"/>
    <w:rsid w:val="5CB47963"/>
    <w:rsid w:val="5CBC0E24"/>
    <w:rsid w:val="5CBC5AAE"/>
    <w:rsid w:val="5CBF10FA"/>
    <w:rsid w:val="5CC04E72"/>
    <w:rsid w:val="5CC05F06"/>
    <w:rsid w:val="5CC26E3C"/>
    <w:rsid w:val="5CC606DB"/>
    <w:rsid w:val="5CC932A2"/>
    <w:rsid w:val="5CCD7CBB"/>
    <w:rsid w:val="5CD04077"/>
    <w:rsid w:val="5CD1707F"/>
    <w:rsid w:val="5CD32DF8"/>
    <w:rsid w:val="5CD56B70"/>
    <w:rsid w:val="5CD86660"/>
    <w:rsid w:val="5CDA6EC9"/>
    <w:rsid w:val="5CDB3A5A"/>
    <w:rsid w:val="5CDC7EFE"/>
    <w:rsid w:val="5CDF79EE"/>
    <w:rsid w:val="5CE172C2"/>
    <w:rsid w:val="5CE60D7D"/>
    <w:rsid w:val="5CEB3BAF"/>
    <w:rsid w:val="5CEC5C67"/>
    <w:rsid w:val="5CEE378D"/>
    <w:rsid w:val="5CF76AE6"/>
    <w:rsid w:val="5CFB5EAA"/>
    <w:rsid w:val="5CFD1C22"/>
    <w:rsid w:val="5CFE3AF6"/>
    <w:rsid w:val="5D0119E6"/>
    <w:rsid w:val="5D0631CD"/>
    <w:rsid w:val="5D064F7B"/>
    <w:rsid w:val="5D082FB3"/>
    <w:rsid w:val="5D0B4AFF"/>
    <w:rsid w:val="5D123920"/>
    <w:rsid w:val="5D1256CE"/>
    <w:rsid w:val="5D1461BC"/>
    <w:rsid w:val="5D1551BE"/>
    <w:rsid w:val="5D156F6C"/>
    <w:rsid w:val="5D170F36"/>
    <w:rsid w:val="5D1B2582"/>
    <w:rsid w:val="5D1D22C5"/>
    <w:rsid w:val="5D1D3926"/>
    <w:rsid w:val="5D1D77F0"/>
    <w:rsid w:val="5D211DB5"/>
    <w:rsid w:val="5D283E23"/>
    <w:rsid w:val="5D2B2C34"/>
    <w:rsid w:val="5D2D075A"/>
    <w:rsid w:val="5D2E002E"/>
    <w:rsid w:val="5D2E6280"/>
    <w:rsid w:val="5D311666"/>
    <w:rsid w:val="5D35760E"/>
    <w:rsid w:val="5D395350"/>
    <w:rsid w:val="5D3C099D"/>
    <w:rsid w:val="5D3F223B"/>
    <w:rsid w:val="5D494E68"/>
    <w:rsid w:val="5D521F6E"/>
    <w:rsid w:val="5D537A94"/>
    <w:rsid w:val="5D5A52C7"/>
    <w:rsid w:val="5D616655"/>
    <w:rsid w:val="5D635F29"/>
    <w:rsid w:val="5D65730F"/>
    <w:rsid w:val="5D6B1282"/>
    <w:rsid w:val="5D6D6DA8"/>
    <w:rsid w:val="5D7235D2"/>
    <w:rsid w:val="5D730D16"/>
    <w:rsid w:val="5D78422A"/>
    <w:rsid w:val="5D7C523D"/>
    <w:rsid w:val="5D7E0FB5"/>
    <w:rsid w:val="5D814602"/>
    <w:rsid w:val="5D821189"/>
    <w:rsid w:val="5D8365CC"/>
    <w:rsid w:val="5D8440F2"/>
    <w:rsid w:val="5D845EA0"/>
    <w:rsid w:val="5D847B0A"/>
    <w:rsid w:val="5D850596"/>
    <w:rsid w:val="5D8660BC"/>
    <w:rsid w:val="5D8B1499"/>
    <w:rsid w:val="5D94616F"/>
    <w:rsid w:val="5D950500"/>
    <w:rsid w:val="5D955EEB"/>
    <w:rsid w:val="5D99194B"/>
    <w:rsid w:val="5D9A7B05"/>
    <w:rsid w:val="5D9E6F62"/>
    <w:rsid w:val="5DB171DF"/>
    <w:rsid w:val="5DB577BD"/>
    <w:rsid w:val="5DB74439"/>
    <w:rsid w:val="5DB93D9B"/>
    <w:rsid w:val="5DBC6D53"/>
    <w:rsid w:val="5DC21912"/>
    <w:rsid w:val="5DC866D4"/>
    <w:rsid w:val="5DCA41FA"/>
    <w:rsid w:val="5DCC21DE"/>
    <w:rsid w:val="5DCF35BF"/>
    <w:rsid w:val="5DD1456E"/>
    <w:rsid w:val="5DD40BD5"/>
    <w:rsid w:val="5DD60B23"/>
    <w:rsid w:val="5DDB1F64"/>
    <w:rsid w:val="5DE057CC"/>
    <w:rsid w:val="5DE0757A"/>
    <w:rsid w:val="5DE74DAC"/>
    <w:rsid w:val="5DEB63BE"/>
    <w:rsid w:val="5DEC4171"/>
    <w:rsid w:val="5DF23751"/>
    <w:rsid w:val="5DF245C1"/>
    <w:rsid w:val="5DF254FF"/>
    <w:rsid w:val="5DF41277"/>
    <w:rsid w:val="5DF64FF0"/>
    <w:rsid w:val="5DF87A0F"/>
    <w:rsid w:val="5DFF2729"/>
    <w:rsid w:val="5E0314BA"/>
    <w:rsid w:val="5E044CCE"/>
    <w:rsid w:val="5E07481C"/>
    <w:rsid w:val="5E0F35C8"/>
    <w:rsid w:val="5E122843"/>
    <w:rsid w:val="5E176D14"/>
    <w:rsid w:val="5E18501A"/>
    <w:rsid w:val="5E190CDE"/>
    <w:rsid w:val="5E196F30"/>
    <w:rsid w:val="5E2D74A8"/>
    <w:rsid w:val="5E337FF2"/>
    <w:rsid w:val="5E371164"/>
    <w:rsid w:val="5E40626B"/>
    <w:rsid w:val="5E483371"/>
    <w:rsid w:val="5E4C10B3"/>
    <w:rsid w:val="5E512226"/>
    <w:rsid w:val="5E541D16"/>
    <w:rsid w:val="5E547F68"/>
    <w:rsid w:val="5E5E4943"/>
    <w:rsid w:val="5E60690D"/>
    <w:rsid w:val="5E653F23"/>
    <w:rsid w:val="5E695530"/>
    <w:rsid w:val="5E710B1A"/>
    <w:rsid w:val="5E745F14"/>
    <w:rsid w:val="5E781EA8"/>
    <w:rsid w:val="5E796A43"/>
    <w:rsid w:val="5E7A1EB6"/>
    <w:rsid w:val="5E7A3283"/>
    <w:rsid w:val="5E7D126D"/>
    <w:rsid w:val="5E806C53"/>
    <w:rsid w:val="5E871D1D"/>
    <w:rsid w:val="5E892B2C"/>
    <w:rsid w:val="5E8A398A"/>
    <w:rsid w:val="5E8E347A"/>
    <w:rsid w:val="5E913942"/>
    <w:rsid w:val="5E916AC6"/>
    <w:rsid w:val="5E9842F9"/>
    <w:rsid w:val="5E993DAA"/>
    <w:rsid w:val="5E9B7945"/>
    <w:rsid w:val="5EA20CD3"/>
    <w:rsid w:val="5EA22A81"/>
    <w:rsid w:val="5EA50BC4"/>
    <w:rsid w:val="5EA66A16"/>
    <w:rsid w:val="5EA92062"/>
    <w:rsid w:val="5EA92521"/>
    <w:rsid w:val="5EAB5E7A"/>
    <w:rsid w:val="5EAD6D46"/>
    <w:rsid w:val="5EC073AC"/>
    <w:rsid w:val="5EC90E9A"/>
    <w:rsid w:val="5EC92704"/>
    <w:rsid w:val="5ECF37B3"/>
    <w:rsid w:val="5ED115B9"/>
    <w:rsid w:val="5ED6097D"/>
    <w:rsid w:val="5ED846F5"/>
    <w:rsid w:val="5EDB5F93"/>
    <w:rsid w:val="5EDC303D"/>
    <w:rsid w:val="5EE000A3"/>
    <w:rsid w:val="5EE1519A"/>
    <w:rsid w:val="5EE4753E"/>
    <w:rsid w:val="5EE66E12"/>
    <w:rsid w:val="5EE72B8A"/>
    <w:rsid w:val="5EE82168"/>
    <w:rsid w:val="5EEE5CC7"/>
    <w:rsid w:val="5EF77271"/>
    <w:rsid w:val="5EF84D97"/>
    <w:rsid w:val="5F0059FA"/>
    <w:rsid w:val="5F013C4C"/>
    <w:rsid w:val="5F061E42"/>
    <w:rsid w:val="5F092B01"/>
    <w:rsid w:val="5F0E7E34"/>
    <w:rsid w:val="5F105C3D"/>
    <w:rsid w:val="5F1576F7"/>
    <w:rsid w:val="5F166FCB"/>
    <w:rsid w:val="5F183B67"/>
    <w:rsid w:val="5F1A2B43"/>
    <w:rsid w:val="5F1D035A"/>
    <w:rsid w:val="5F1F0DB8"/>
    <w:rsid w:val="5F1F2324"/>
    <w:rsid w:val="5F21088D"/>
    <w:rsid w:val="5F245B8C"/>
    <w:rsid w:val="5F2711D9"/>
    <w:rsid w:val="5F27742B"/>
    <w:rsid w:val="5F294F51"/>
    <w:rsid w:val="5F2C67EF"/>
    <w:rsid w:val="5F304531"/>
    <w:rsid w:val="5F405364"/>
    <w:rsid w:val="5F4A7642"/>
    <w:rsid w:val="5F5226F9"/>
    <w:rsid w:val="5F577D10"/>
    <w:rsid w:val="5F59283E"/>
    <w:rsid w:val="5F593A88"/>
    <w:rsid w:val="5F5F4E16"/>
    <w:rsid w:val="5F675A73"/>
    <w:rsid w:val="5F684058"/>
    <w:rsid w:val="5F6D12E1"/>
    <w:rsid w:val="5F700DD2"/>
    <w:rsid w:val="5F7408C2"/>
    <w:rsid w:val="5F75455E"/>
    <w:rsid w:val="5F761608"/>
    <w:rsid w:val="5F785962"/>
    <w:rsid w:val="5F7D704B"/>
    <w:rsid w:val="5F7E0DDA"/>
    <w:rsid w:val="5F7E34EF"/>
    <w:rsid w:val="5F8623A3"/>
    <w:rsid w:val="5F8D4DCC"/>
    <w:rsid w:val="5F8E1258"/>
    <w:rsid w:val="5FA34D03"/>
    <w:rsid w:val="5FA42829"/>
    <w:rsid w:val="5FA8056B"/>
    <w:rsid w:val="5FAA6092"/>
    <w:rsid w:val="5FAD000C"/>
    <w:rsid w:val="5FAE1EBF"/>
    <w:rsid w:val="5FB31BE9"/>
    <w:rsid w:val="5FB36ECE"/>
    <w:rsid w:val="5FB707AE"/>
    <w:rsid w:val="5FB837BB"/>
    <w:rsid w:val="5FBA204D"/>
    <w:rsid w:val="5FBD3482"/>
    <w:rsid w:val="5FBE38EB"/>
    <w:rsid w:val="5FC773F1"/>
    <w:rsid w:val="5FCB6008"/>
    <w:rsid w:val="5FCD1D80"/>
    <w:rsid w:val="5FD2383A"/>
    <w:rsid w:val="5FD27396"/>
    <w:rsid w:val="5FD44EBD"/>
    <w:rsid w:val="5FD50342"/>
    <w:rsid w:val="5FDA449D"/>
    <w:rsid w:val="5FE2624D"/>
    <w:rsid w:val="5FE315A4"/>
    <w:rsid w:val="5FE33352"/>
    <w:rsid w:val="5FE61094"/>
    <w:rsid w:val="5FEB0458"/>
    <w:rsid w:val="5FED41D0"/>
    <w:rsid w:val="5FED5F7E"/>
    <w:rsid w:val="5FEF619A"/>
    <w:rsid w:val="5FF11F12"/>
    <w:rsid w:val="5FF53085"/>
    <w:rsid w:val="5FF732A1"/>
    <w:rsid w:val="5FF7504F"/>
    <w:rsid w:val="60002155"/>
    <w:rsid w:val="60025ECE"/>
    <w:rsid w:val="600339F4"/>
    <w:rsid w:val="60065292"/>
    <w:rsid w:val="60065E0F"/>
    <w:rsid w:val="600F0446"/>
    <w:rsid w:val="600F2399"/>
    <w:rsid w:val="60107EBF"/>
    <w:rsid w:val="60125EE4"/>
    <w:rsid w:val="60145C01"/>
    <w:rsid w:val="6017749F"/>
    <w:rsid w:val="601A63AB"/>
    <w:rsid w:val="601B4F8E"/>
    <w:rsid w:val="602A71D2"/>
    <w:rsid w:val="603242D9"/>
    <w:rsid w:val="60327E35"/>
    <w:rsid w:val="60402552"/>
    <w:rsid w:val="60432479"/>
    <w:rsid w:val="60477D84"/>
    <w:rsid w:val="60583E76"/>
    <w:rsid w:val="605B55DE"/>
    <w:rsid w:val="60681AA9"/>
    <w:rsid w:val="606F4BE5"/>
    <w:rsid w:val="607355F5"/>
    <w:rsid w:val="607D004F"/>
    <w:rsid w:val="607E307A"/>
    <w:rsid w:val="608179A6"/>
    <w:rsid w:val="60822B6A"/>
    <w:rsid w:val="608A5EC3"/>
    <w:rsid w:val="608C39E9"/>
    <w:rsid w:val="608F34D9"/>
    <w:rsid w:val="60912DAE"/>
    <w:rsid w:val="60917251"/>
    <w:rsid w:val="60934D78"/>
    <w:rsid w:val="609805E0"/>
    <w:rsid w:val="6098413C"/>
    <w:rsid w:val="609D069B"/>
    <w:rsid w:val="609D11F2"/>
    <w:rsid w:val="609D79A4"/>
    <w:rsid w:val="609E371C"/>
    <w:rsid w:val="60A07495"/>
    <w:rsid w:val="60A56859"/>
    <w:rsid w:val="60A76A75"/>
    <w:rsid w:val="60AC1FF9"/>
    <w:rsid w:val="60AC5E39"/>
    <w:rsid w:val="60AE14F9"/>
    <w:rsid w:val="60AE3960"/>
    <w:rsid w:val="60B13610"/>
    <w:rsid w:val="60B66CA1"/>
    <w:rsid w:val="60B66CB8"/>
    <w:rsid w:val="60BF6795"/>
    <w:rsid w:val="60D55390"/>
    <w:rsid w:val="60E37E0A"/>
    <w:rsid w:val="60E5134B"/>
    <w:rsid w:val="60E76E71"/>
    <w:rsid w:val="60E81DBB"/>
    <w:rsid w:val="60E9572D"/>
    <w:rsid w:val="60EC4488"/>
    <w:rsid w:val="60EE1FAE"/>
    <w:rsid w:val="60EF48AF"/>
    <w:rsid w:val="60F34B93"/>
    <w:rsid w:val="60F5158E"/>
    <w:rsid w:val="60F577E0"/>
    <w:rsid w:val="60F65306"/>
    <w:rsid w:val="60F9034D"/>
    <w:rsid w:val="60F90953"/>
    <w:rsid w:val="60FD6695"/>
    <w:rsid w:val="60FF41BB"/>
    <w:rsid w:val="610139B4"/>
    <w:rsid w:val="61016185"/>
    <w:rsid w:val="610619ED"/>
    <w:rsid w:val="610C0686"/>
    <w:rsid w:val="610D1BF1"/>
    <w:rsid w:val="610E08A2"/>
    <w:rsid w:val="610F7301"/>
    <w:rsid w:val="61135EB8"/>
    <w:rsid w:val="61165902"/>
    <w:rsid w:val="611759A9"/>
    <w:rsid w:val="611834CF"/>
    <w:rsid w:val="612754C0"/>
    <w:rsid w:val="6129748A"/>
    <w:rsid w:val="612C0393"/>
    <w:rsid w:val="61314591"/>
    <w:rsid w:val="613227E3"/>
    <w:rsid w:val="61355E2F"/>
    <w:rsid w:val="613F0A5C"/>
    <w:rsid w:val="614A7659"/>
    <w:rsid w:val="614C2DB9"/>
    <w:rsid w:val="614D0F07"/>
    <w:rsid w:val="614D13CA"/>
    <w:rsid w:val="614E6EF1"/>
    <w:rsid w:val="61500EBB"/>
    <w:rsid w:val="61504A17"/>
    <w:rsid w:val="615053A3"/>
    <w:rsid w:val="6151078F"/>
    <w:rsid w:val="6151253D"/>
    <w:rsid w:val="6152204F"/>
    <w:rsid w:val="61595DDF"/>
    <w:rsid w:val="615A3AE7"/>
    <w:rsid w:val="615D7134"/>
    <w:rsid w:val="615F10FE"/>
    <w:rsid w:val="61602923"/>
    <w:rsid w:val="61616C24"/>
    <w:rsid w:val="6162299C"/>
    <w:rsid w:val="616E1341"/>
    <w:rsid w:val="616F12F4"/>
    <w:rsid w:val="61700C15"/>
    <w:rsid w:val="6170330B"/>
    <w:rsid w:val="6170768E"/>
    <w:rsid w:val="61707F91"/>
    <w:rsid w:val="617701F5"/>
    <w:rsid w:val="61774699"/>
    <w:rsid w:val="61783F6D"/>
    <w:rsid w:val="6178408E"/>
    <w:rsid w:val="617A7CE6"/>
    <w:rsid w:val="617E77D6"/>
    <w:rsid w:val="61837130"/>
    <w:rsid w:val="61842912"/>
    <w:rsid w:val="618C17C7"/>
    <w:rsid w:val="6190770A"/>
    <w:rsid w:val="61917F48"/>
    <w:rsid w:val="619303C3"/>
    <w:rsid w:val="61932374"/>
    <w:rsid w:val="619568CD"/>
    <w:rsid w:val="619743F4"/>
    <w:rsid w:val="61A15272"/>
    <w:rsid w:val="61A62889"/>
    <w:rsid w:val="61AE5BE1"/>
    <w:rsid w:val="61B56F70"/>
    <w:rsid w:val="61BA7637"/>
    <w:rsid w:val="61BE2571"/>
    <w:rsid w:val="61BE4076"/>
    <w:rsid w:val="61BF1B9C"/>
    <w:rsid w:val="61BF394A"/>
    <w:rsid w:val="61C1296A"/>
    <w:rsid w:val="61C13B66"/>
    <w:rsid w:val="61C64CD9"/>
    <w:rsid w:val="61C80A51"/>
    <w:rsid w:val="61CB46C0"/>
    <w:rsid w:val="61CB62CF"/>
    <w:rsid w:val="61D373F6"/>
    <w:rsid w:val="61D70C94"/>
    <w:rsid w:val="61D86D49"/>
    <w:rsid w:val="61DC363A"/>
    <w:rsid w:val="61E03976"/>
    <w:rsid w:val="61E31298"/>
    <w:rsid w:val="61E32DD8"/>
    <w:rsid w:val="61E57855"/>
    <w:rsid w:val="61EA4E6B"/>
    <w:rsid w:val="61EB473F"/>
    <w:rsid w:val="61ED3E56"/>
    <w:rsid w:val="61EF4230"/>
    <w:rsid w:val="61F950AE"/>
    <w:rsid w:val="61FE4473"/>
    <w:rsid w:val="62020581"/>
    <w:rsid w:val="62033E14"/>
    <w:rsid w:val="620A72BB"/>
    <w:rsid w:val="62136969"/>
    <w:rsid w:val="622A5268"/>
    <w:rsid w:val="622F6D22"/>
    <w:rsid w:val="623205C0"/>
    <w:rsid w:val="6232236E"/>
    <w:rsid w:val="62344338"/>
    <w:rsid w:val="62364782"/>
    <w:rsid w:val="62375AF0"/>
    <w:rsid w:val="623967C2"/>
    <w:rsid w:val="62397551"/>
    <w:rsid w:val="62397900"/>
    <w:rsid w:val="62397BA1"/>
    <w:rsid w:val="623A66C4"/>
    <w:rsid w:val="623E47E2"/>
    <w:rsid w:val="623E6F65"/>
    <w:rsid w:val="624327CD"/>
    <w:rsid w:val="624626E6"/>
    <w:rsid w:val="6247406C"/>
    <w:rsid w:val="62483940"/>
    <w:rsid w:val="62516C98"/>
    <w:rsid w:val="62540537"/>
    <w:rsid w:val="625422E5"/>
    <w:rsid w:val="62562501"/>
    <w:rsid w:val="625B18C5"/>
    <w:rsid w:val="625B3673"/>
    <w:rsid w:val="625E6872"/>
    <w:rsid w:val="62620EA5"/>
    <w:rsid w:val="62623765"/>
    <w:rsid w:val="6263077A"/>
    <w:rsid w:val="62636AC5"/>
    <w:rsid w:val="626562A0"/>
    <w:rsid w:val="62665185"/>
    <w:rsid w:val="626764BC"/>
    <w:rsid w:val="626B762E"/>
    <w:rsid w:val="626F778E"/>
    <w:rsid w:val="627051C5"/>
    <w:rsid w:val="62740BD9"/>
    <w:rsid w:val="62783599"/>
    <w:rsid w:val="62791D4B"/>
    <w:rsid w:val="627B3D15"/>
    <w:rsid w:val="62823274"/>
    <w:rsid w:val="6286301C"/>
    <w:rsid w:val="62864468"/>
    <w:rsid w:val="628870E6"/>
    <w:rsid w:val="628A21AA"/>
    <w:rsid w:val="628A3F58"/>
    <w:rsid w:val="628B71A8"/>
    <w:rsid w:val="628C7CD0"/>
    <w:rsid w:val="628D3A49"/>
    <w:rsid w:val="628F42BC"/>
    <w:rsid w:val="62946B85"/>
    <w:rsid w:val="62946DCA"/>
    <w:rsid w:val="62950184"/>
    <w:rsid w:val="62975F54"/>
    <w:rsid w:val="62976B71"/>
    <w:rsid w:val="6299063F"/>
    <w:rsid w:val="629B43B7"/>
    <w:rsid w:val="629E17B2"/>
    <w:rsid w:val="629F3071"/>
    <w:rsid w:val="62A27CA7"/>
    <w:rsid w:val="62A414BE"/>
    <w:rsid w:val="62A63DB0"/>
    <w:rsid w:val="62A74B0A"/>
    <w:rsid w:val="62A768B8"/>
    <w:rsid w:val="62AA0157"/>
    <w:rsid w:val="62AA45FB"/>
    <w:rsid w:val="62AA63A9"/>
    <w:rsid w:val="62AC2121"/>
    <w:rsid w:val="62AE40EB"/>
    <w:rsid w:val="62AE5E99"/>
    <w:rsid w:val="62B0142F"/>
    <w:rsid w:val="62B114E5"/>
    <w:rsid w:val="62B2525D"/>
    <w:rsid w:val="62B47227"/>
    <w:rsid w:val="62B61EE7"/>
    <w:rsid w:val="62BD2580"/>
    <w:rsid w:val="62BF7FA3"/>
    <w:rsid w:val="62C0797A"/>
    <w:rsid w:val="62CA6A4B"/>
    <w:rsid w:val="62CC4571"/>
    <w:rsid w:val="62D376AD"/>
    <w:rsid w:val="62D43425"/>
    <w:rsid w:val="62D94DD2"/>
    <w:rsid w:val="62D96C8E"/>
    <w:rsid w:val="62DD677E"/>
    <w:rsid w:val="62DE6052"/>
    <w:rsid w:val="62E23D94"/>
    <w:rsid w:val="62E418BB"/>
    <w:rsid w:val="62E42611"/>
    <w:rsid w:val="62E775FD"/>
    <w:rsid w:val="62EC4C13"/>
    <w:rsid w:val="62F0280B"/>
    <w:rsid w:val="62F31AFE"/>
    <w:rsid w:val="62F45876"/>
    <w:rsid w:val="62F5014F"/>
    <w:rsid w:val="62FD297C"/>
    <w:rsid w:val="6308735D"/>
    <w:rsid w:val="630A6E47"/>
    <w:rsid w:val="630B4F5E"/>
    <w:rsid w:val="630E2DDB"/>
    <w:rsid w:val="630E4B89"/>
    <w:rsid w:val="63147CC6"/>
    <w:rsid w:val="631F28F3"/>
    <w:rsid w:val="63212B0F"/>
    <w:rsid w:val="63225184"/>
    <w:rsid w:val="63235063"/>
    <w:rsid w:val="63247F09"/>
    <w:rsid w:val="63286F28"/>
    <w:rsid w:val="632A1297"/>
    <w:rsid w:val="632B64E7"/>
    <w:rsid w:val="63332842"/>
    <w:rsid w:val="633534D5"/>
    <w:rsid w:val="63376439"/>
    <w:rsid w:val="633914DA"/>
    <w:rsid w:val="633A3BD0"/>
    <w:rsid w:val="633B16F7"/>
    <w:rsid w:val="633D0FCB"/>
    <w:rsid w:val="633D18C0"/>
    <w:rsid w:val="633D2BD8"/>
    <w:rsid w:val="63416D0D"/>
    <w:rsid w:val="6343533F"/>
    <w:rsid w:val="63436152"/>
    <w:rsid w:val="63442359"/>
    <w:rsid w:val="634632A4"/>
    <w:rsid w:val="63493E13"/>
    <w:rsid w:val="634B193A"/>
    <w:rsid w:val="634C3904"/>
    <w:rsid w:val="634C7460"/>
    <w:rsid w:val="63554566"/>
    <w:rsid w:val="63555268"/>
    <w:rsid w:val="63556314"/>
    <w:rsid w:val="635D341B"/>
    <w:rsid w:val="63650337"/>
    <w:rsid w:val="63660521"/>
    <w:rsid w:val="636649C5"/>
    <w:rsid w:val="6367429A"/>
    <w:rsid w:val="636C365E"/>
    <w:rsid w:val="636E73D6"/>
    <w:rsid w:val="637013A0"/>
    <w:rsid w:val="63711839"/>
    <w:rsid w:val="637644DD"/>
    <w:rsid w:val="637C31BE"/>
    <w:rsid w:val="637D721E"/>
    <w:rsid w:val="637F590A"/>
    <w:rsid w:val="637F7835"/>
    <w:rsid w:val="63811F35"/>
    <w:rsid w:val="63846BFA"/>
    <w:rsid w:val="63881DBD"/>
    <w:rsid w:val="63883103"/>
    <w:rsid w:val="638D4E7E"/>
    <w:rsid w:val="638F1633"/>
    <w:rsid w:val="63952BB5"/>
    <w:rsid w:val="639808F7"/>
    <w:rsid w:val="63A86F31"/>
    <w:rsid w:val="63AB23D8"/>
    <w:rsid w:val="63AB4186"/>
    <w:rsid w:val="63B05C41"/>
    <w:rsid w:val="63B76FCF"/>
    <w:rsid w:val="63BA086D"/>
    <w:rsid w:val="63BA6ABF"/>
    <w:rsid w:val="63C139AA"/>
    <w:rsid w:val="63C4349A"/>
    <w:rsid w:val="63C86A2B"/>
    <w:rsid w:val="63CB3C77"/>
    <w:rsid w:val="63CE53DC"/>
    <w:rsid w:val="63CF3EF5"/>
    <w:rsid w:val="63D01E3F"/>
    <w:rsid w:val="63D40BE9"/>
    <w:rsid w:val="63D57455"/>
    <w:rsid w:val="63D7141F"/>
    <w:rsid w:val="63D95197"/>
    <w:rsid w:val="63DA0F0F"/>
    <w:rsid w:val="63DD455C"/>
    <w:rsid w:val="63DE27AE"/>
    <w:rsid w:val="63E0211F"/>
    <w:rsid w:val="63E1404C"/>
    <w:rsid w:val="63E37DC4"/>
    <w:rsid w:val="63E678B4"/>
    <w:rsid w:val="63E8362C"/>
    <w:rsid w:val="63EA73A4"/>
    <w:rsid w:val="63EB4ECB"/>
    <w:rsid w:val="63EC4EF3"/>
    <w:rsid w:val="63ED29F1"/>
    <w:rsid w:val="63EE0517"/>
    <w:rsid w:val="63F00DC7"/>
    <w:rsid w:val="63F26259"/>
    <w:rsid w:val="64047D3A"/>
    <w:rsid w:val="6405643E"/>
    <w:rsid w:val="64061D04"/>
    <w:rsid w:val="640815D9"/>
    <w:rsid w:val="6408782B"/>
    <w:rsid w:val="640B2E77"/>
    <w:rsid w:val="640E2967"/>
    <w:rsid w:val="640F0BB9"/>
    <w:rsid w:val="6410048D"/>
    <w:rsid w:val="641206A9"/>
    <w:rsid w:val="64122457"/>
    <w:rsid w:val="64153CF6"/>
    <w:rsid w:val="64183B7B"/>
    <w:rsid w:val="64191957"/>
    <w:rsid w:val="64195594"/>
    <w:rsid w:val="641E2BAA"/>
    <w:rsid w:val="641E704E"/>
    <w:rsid w:val="641F4B74"/>
    <w:rsid w:val="641F6922"/>
    <w:rsid w:val="642167B4"/>
    <w:rsid w:val="64287B33"/>
    <w:rsid w:val="642B3519"/>
    <w:rsid w:val="642D79A4"/>
    <w:rsid w:val="643024A2"/>
    <w:rsid w:val="643945F5"/>
    <w:rsid w:val="643A70CF"/>
    <w:rsid w:val="643C25D6"/>
    <w:rsid w:val="643E0E5C"/>
    <w:rsid w:val="643E5117"/>
    <w:rsid w:val="64406431"/>
    <w:rsid w:val="64426DE8"/>
    <w:rsid w:val="64432611"/>
    <w:rsid w:val="64485E79"/>
    <w:rsid w:val="644904C4"/>
    <w:rsid w:val="644B034C"/>
    <w:rsid w:val="644E3D19"/>
    <w:rsid w:val="644F0FB6"/>
    <w:rsid w:val="64520AA6"/>
    <w:rsid w:val="64524F4A"/>
    <w:rsid w:val="64527FF6"/>
    <w:rsid w:val="64534785"/>
    <w:rsid w:val="64552344"/>
    <w:rsid w:val="645667E8"/>
    <w:rsid w:val="64570C2A"/>
    <w:rsid w:val="645760BC"/>
    <w:rsid w:val="645B3DFE"/>
    <w:rsid w:val="645C7B76"/>
    <w:rsid w:val="645E38EF"/>
    <w:rsid w:val="64601415"/>
    <w:rsid w:val="64642182"/>
    <w:rsid w:val="64656A2B"/>
    <w:rsid w:val="646A2293"/>
    <w:rsid w:val="646D1D84"/>
    <w:rsid w:val="647640BA"/>
    <w:rsid w:val="647C3D75"/>
    <w:rsid w:val="6487551C"/>
    <w:rsid w:val="648917D7"/>
    <w:rsid w:val="648A46E4"/>
    <w:rsid w:val="648A7941"/>
    <w:rsid w:val="648B3FB8"/>
    <w:rsid w:val="649308CA"/>
    <w:rsid w:val="649317EA"/>
    <w:rsid w:val="64992B79"/>
    <w:rsid w:val="649E3CEB"/>
    <w:rsid w:val="64A37553"/>
    <w:rsid w:val="64A62BA0"/>
    <w:rsid w:val="64AA29DA"/>
    <w:rsid w:val="64B55F14"/>
    <w:rsid w:val="64B61035"/>
    <w:rsid w:val="64BE438D"/>
    <w:rsid w:val="64C30C0B"/>
    <w:rsid w:val="64C45AF8"/>
    <w:rsid w:val="64C64FF0"/>
    <w:rsid w:val="64CA2D32"/>
    <w:rsid w:val="64CB5679"/>
    <w:rsid w:val="64CC2606"/>
    <w:rsid w:val="64CF659A"/>
    <w:rsid w:val="64DA0E25"/>
    <w:rsid w:val="64DB6CED"/>
    <w:rsid w:val="64DF43D9"/>
    <w:rsid w:val="64E41150"/>
    <w:rsid w:val="64E57B6C"/>
    <w:rsid w:val="64E75692"/>
    <w:rsid w:val="64EA33D4"/>
    <w:rsid w:val="64EC08CE"/>
    <w:rsid w:val="64EC2CA8"/>
    <w:rsid w:val="64EC4A56"/>
    <w:rsid w:val="64F16511"/>
    <w:rsid w:val="64F733FB"/>
    <w:rsid w:val="64FB738F"/>
    <w:rsid w:val="64FF0C2E"/>
    <w:rsid w:val="650113FE"/>
    <w:rsid w:val="6502071E"/>
    <w:rsid w:val="650B6F5C"/>
    <w:rsid w:val="65110961"/>
    <w:rsid w:val="6511270F"/>
    <w:rsid w:val="65136487"/>
    <w:rsid w:val="651569E0"/>
    <w:rsid w:val="651A5A67"/>
    <w:rsid w:val="651D5558"/>
    <w:rsid w:val="65206DF6"/>
    <w:rsid w:val="65207558"/>
    <w:rsid w:val="65230BB9"/>
    <w:rsid w:val="652341F0"/>
    <w:rsid w:val="65240694"/>
    <w:rsid w:val="6525705F"/>
    <w:rsid w:val="652B54CB"/>
    <w:rsid w:val="652C579B"/>
    <w:rsid w:val="652C7549"/>
    <w:rsid w:val="652E1513"/>
    <w:rsid w:val="65332685"/>
    <w:rsid w:val="653463FD"/>
    <w:rsid w:val="65362175"/>
    <w:rsid w:val="65373578"/>
    <w:rsid w:val="653A02CF"/>
    <w:rsid w:val="654523B9"/>
    <w:rsid w:val="654E74BF"/>
    <w:rsid w:val="655069AC"/>
    <w:rsid w:val="655467D1"/>
    <w:rsid w:val="655E1BCB"/>
    <w:rsid w:val="6560179B"/>
    <w:rsid w:val="65622F6B"/>
    <w:rsid w:val="65624D19"/>
    <w:rsid w:val="656D4024"/>
    <w:rsid w:val="65705687"/>
    <w:rsid w:val="65711400"/>
    <w:rsid w:val="65711DFC"/>
    <w:rsid w:val="65716E00"/>
    <w:rsid w:val="65747D87"/>
    <w:rsid w:val="657809E0"/>
    <w:rsid w:val="657D7DA4"/>
    <w:rsid w:val="657E64D4"/>
    <w:rsid w:val="657F1404"/>
    <w:rsid w:val="657F3B1C"/>
    <w:rsid w:val="65856C59"/>
    <w:rsid w:val="65864EAB"/>
    <w:rsid w:val="65896749"/>
    <w:rsid w:val="658A426F"/>
    <w:rsid w:val="658B0713"/>
    <w:rsid w:val="658C6239"/>
    <w:rsid w:val="65905D2A"/>
    <w:rsid w:val="65960165"/>
    <w:rsid w:val="659865EF"/>
    <w:rsid w:val="6598698C"/>
    <w:rsid w:val="659A0956"/>
    <w:rsid w:val="65A11CE5"/>
    <w:rsid w:val="65A13A93"/>
    <w:rsid w:val="65A417D5"/>
    <w:rsid w:val="65B218BC"/>
    <w:rsid w:val="65B337C6"/>
    <w:rsid w:val="65B35574"/>
    <w:rsid w:val="65B4371E"/>
    <w:rsid w:val="65B512EC"/>
    <w:rsid w:val="65C43C25"/>
    <w:rsid w:val="65C459D3"/>
    <w:rsid w:val="65C71020"/>
    <w:rsid w:val="65C94D98"/>
    <w:rsid w:val="65CC6636"/>
    <w:rsid w:val="65D025CA"/>
    <w:rsid w:val="65D16249"/>
    <w:rsid w:val="65DC2D1D"/>
    <w:rsid w:val="65F004D2"/>
    <w:rsid w:val="65F067C8"/>
    <w:rsid w:val="65F31E15"/>
    <w:rsid w:val="65F52031"/>
    <w:rsid w:val="65F8567D"/>
    <w:rsid w:val="65F938CF"/>
    <w:rsid w:val="65FE1159"/>
    <w:rsid w:val="66017C1F"/>
    <w:rsid w:val="6603474E"/>
    <w:rsid w:val="66063C4D"/>
    <w:rsid w:val="660A6DCA"/>
    <w:rsid w:val="660B1854"/>
    <w:rsid w:val="66122D27"/>
    <w:rsid w:val="6612673F"/>
    <w:rsid w:val="66171FA7"/>
    <w:rsid w:val="66186012"/>
    <w:rsid w:val="661C3F42"/>
    <w:rsid w:val="661D474E"/>
    <w:rsid w:val="662045C9"/>
    <w:rsid w:val="66220CEB"/>
    <w:rsid w:val="6623094C"/>
    <w:rsid w:val="66252916"/>
    <w:rsid w:val="66280D11"/>
    <w:rsid w:val="662A1D70"/>
    <w:rsid w:val="662D5327"/>
    <w:rsid w:val="66342B59"/>
    <w:rsid w:val="6636344C"/>
    <w:rsid w:val="6639277A"/>
    <w:rsid w:val="663A2E25"/>
    <w:rsid w:val="663C1A0D"/>
    <w:rsid w:val="663D12E2"/>
    <w:rsid w:val="663E0BF4"/>
    <w:rsid w:val="663E5786"/>
    <w:rsid w:val="663F0955"/>
    <w:rsid w:val="66434B4A"/>
    <w:rsid w:val="66476DEF"/>
    <w:rsid w:val="664B7EA3"/>
    <w:rsid w:val="664D3C1B"/>
    <w:rsid w:val="664D4B6E"/>
    <w:rsid w:val="664D7777"/>
    <w:rsid w:val="6655487D"/>
    <w:rsid w:val="66564873"/>
    <w:rsid w:val="665705F5"/>
    <w:rsid w:val="665D1F25"/>
    <w:rsid w:val="665E3732"/>
    <w:rsid w:val="665E7BD6"/>
    <w:rsid w:val="665F7EA6"/>
    <w:rsid w:val="66664CDC"/>
    <w:rsid w:val="667473F9"/>
    <w:rsid w:val="667967BE"/>
    <w:rsid w:val="667C005C"/>
    <w:rsid w:val="6683763C"/>
    <w:rsid w:val="668524C1"/>
    <w:rsid w:val="668533B4"/>
    <w:rsid w:val="66854445"/>
    <w:rsid w:val="66860EDB"/>
    <w:rsid w:val="66862C89"/>
    <w:rsid w:val="66884C53"/>
    <w:rsid w:val="668D04BB"/>
    <w:rsid w:val="668D2269"/>
    <w:rsid w:val="66911D59"/>
    <w:rsid w:val="66976C44"/>
    <w:rsid w:val="669B6734"/>
    <w:rsid w:val="669C10FA"/>
    <w:rsid w:val="669C5B77"/>
    <w:rsid w:val="669E4476"/>
    <w:rsid w:val="66A31A8D"/>
    <w:rsid w:val="66A3383B"/>
    <w:rsid w:val="66A51361"/>
    <w:rsid w:val="66A6332B"/>
    <w:rsid w:val="66A870A3"/>
    <w:rsid w:val="66AB0941"/>
    <w:rsid w:val="66B141AA"/>
    <w:rsid w:val="66B15F58"/>
    <w:rsid w:val="66B772E6"/>
    <w:rsid w:val="66BB6DD6"/>
    <w:rsid w:val="66BB7D21"/>
    <w:rsid w:val="66BC66AA"/>
    <w:rsid w:val="66C33EDD"/>
    <w:rsid w:val="66C55758"/>
    <w:rsid w:val="66C57C55"/>
    <w:rsid w:val="66CF4630"/>
    <w:rsid w:val="66D63C10"/>
    <w:rsid w:val="66D659BE"/>
    <w:rsid w:val="66D6776C"/>
    <w:rsid w:val="66D87988"/>
    <w:rsid w:val="66DD63E5"/>
    <w:rsid w:val="66E3632D"/>
    <w:rsid w:val="66E71979"/>
    <w:rsid w:val="66EC6F90"/>
    <w:rsid w:val="66F422E8"/>
    <w:rsid w:val="66F4477F"/>
    <w:rsid w:val="66F45E44"/>
    <w:rsid w:val="66FB71D3"/>
    <w:rsid w:val="66FC2F4B"/>
    <w:rsid w:val="66FD73EF"/>
    <w:rsid w:val="67000C8D"/>
    <w:rsid w:val="67087B42"/>
    <w:rsid w:val="670A6D87"/>
    <w:rsid w:val="6716400D"/>
    <w:rsid w:val="67183BDE"/>
    <w:rsid w:val="671A2875"/>
    <w:rsid w:val="67211A19"/>
    <w:rsid w:val="67220C03"/>
    <w:rsid w:val="67226E55"/>
    <w:rsid w:val="67295A58"/>
    <w:rsid w:val="672C6851"/>
    <w:rsid w:val="672D4457"/>
    <w:rsid w:val="672E0BBA"/>
    <w:rsid w:val="672F1572"/>
    <w:rsid w:val="67380715"/>
    <w:rsid w:val="673E3563"/>
    <w:rsid w:val="673F2C7A"/>
    <w:rsid w:val="674072DB"/>
    <w:rsid w:val="674A094A"/>
    <w:rsid w:val="674C5C80"/>
    <w:rsid w:val="674E1E9C"/>
    <w:rsid w:val="674E7C4A"/>
    <w:rsid w:val="67530DBD"/>
    <w:rsid w:val="67540894"/>
    <w:rsid w:val="675B5EC3"/>
    <w:rsid w:val="675D6544"/>
    <w:rsid w:val="676254A4"/>
    <w:rsid w:val="6765041B"/>
    <w:rsid w:val="67672ABA"/>
    <w:rsid w:val="676E3E49"/>
    <w:rsid w:val="676F11D5"/>
    <w:rsid w:val="676F196F"/>
    <w:rsid w:val="67713939"/>
    <w:rsid w:val="67760F4F"/>
    <w:rsid w:val="67780823"/>
    <w:rsid w:val="67786A75"/>
    <w:rsid w:val="677B6565"/>
    <w:rsid w:val="6780592A"/>
    <w:rsid w:val="678216A2"/>
    <w:rsid w:val="678278F4"/>
    <w:rsid w:val="67841F6B"/>
    <w:rsid w:val="6784366C"/>
    <w:rsid w:val="67883798"/>
    <w:rsid w:val="678B49FB"/>
    <w:rsid w:val="678E0047"/>
    <w:rsid w:val="678E6299"/>
    <w:rsid w:val="67900263"/>
    <w:rsid w:val="679118E5"/>
    <w:rsid w:val="67973525"/>
    <w:rsid w:val="67982C74"/>
    <w:rsid w:val="679B1BC9"/>
    <w:rsid w:val="679F04A6"/>
    <w:rsid w:val="67A05409"/>
    <w:rsid w:val="67A20640"/>
    <w:rsid w:val="67A23AF2"/>
    <w:rsid w:val="67A26575"/>
    <w:rsid w:val="67AA4E8D"/>
    <w:rsid w:val="67B101D9"/>
    <w:rsid w:val="67B33F51"/>
    <w:rsid w:val="67B37AAD"/>
    <w:rsid w:val="67B50D99"/>
    <w:rsid w:val="67B57CC9"/>
    <w:rsid w:val="67C209B2"/>
    <w:rsid w:val="67C63C85"/>
    <w:rsid w:val="67CA7EC8"/>
    <w:rsid w:val="67CE48E7"/>
    <w:rsid w:val="67CF2049"/>
    <w:rsid w:val="67D11A4E"/>
    <w:rsid w:val="67D411EB"/>
    <w:rsid w:val="67DA7730"/>
    <w:rsid w:val="67DD4B2A"/>
    <w:rsid w:val="67E301C9"/>
    <w:rsid w:val="67E97973"/>
    <w:rsid w:val="67EB7247"/>
    <w:rsid w:val="67EC1211"/>
    <w:rsid w:val="67F2442C"/>
    <w:rsid w:val="67F307F2"/>
    <w:rsid w:val="67F51E74"/>
    <w:rsid w:val="67F64966"/>
    <w:rsid w:val="67FC1454"/>
    <w:rsid w:val="67FD778E"/>
    <w:rsid w:val="6804655B"/>
    <w:rsid w:val="680622D3"/>
    <w:rsid w:val="68071BA7"/>
    <w:rsid w:val="680B5B3B"/>
    <w:rsid w:val="68106CAE"/>
    <w:rsid w:val="68142C42"/>
    <w:rsid w:val="68164A44"/>
    <w:rsid w:val="68183DB4"/>
    <w:rsid w:val="68191A91"/>
    <w:rsid w:val="681A7B2C"/>
    <w:rsid w:val="681B464D"/>
    <w:rsid w:val="681C5653"/>
    <w:rsid w:val="681F5143"/>
    <w:rsid w:val="681F6961"/>
    <w:rsid w:val="682054F9"/>
    <w:rsid w:val="6821251A"/>
    <w:rsid w:val="68224C33"/>
    <w:rsid w:val="68297D70"/>
    <w:rsid w:val="682B7F8C"/>
    <w:rsid w:val="682E35D8"/>
    <w:rsid w:val="68373ED2"/>
    <w:rsid w:val="683A01CF"/>
    <w:rsid w:val="683D57FD"/>
    <w:rsid w:val="684150B9"/>
    <w:rsid w:val="684C04B5"/>
    <w:rsid w:val="685272C6"/>
    <w:rsid w:val="68541CB5"/>
    <w:rsid w:val="68555008"/>
    <w:rsid w:val="68570D81"/>
    <w:rsid w:val="685C6397"/>
    <w:rsid w:val="685E3EBD"/>
    <w:rsid w:val="68610A2F"/>
    <w:rsid w:val="686D4100"/>
    <w:rsid w:val="68721717"/>
    <w:rsid w:val="68776D2D"/>
    <w:rsid w:val="687E5000"/>
    <w:rsid w:val="687F3E33"/>
    <w:rsid w:val="68805514"/>
    <w:rsid w:val="688171D5"/>
    <w:rsid w:val="688646CA"/>
    <w:rsid w:val="68896A60"/>
    <w:rsid w:val="688B0A2A"/>
    <w:rsid w:val="68923696"/>
    <w:rsid w:val="68953657"/>
    <w:rsid w:val="68955405"/>
    <w:rsid w:val="68994EF5"/>
    <w:rsid w:val="68A13DAA"/>
    <w:rsid w:val="68A166DE"/>
    <w:rsid w:val="68A33FC6"/>
    <w:rsid w:val="68A35D74"/>
    <w:rsid w:val="68A36A6C"/>
    <w:rsid w:val="68A67612"/>
    <w:rsid w:val="68A839E0"/>
    <w:rsid w:val="68A84B24"/>
    <w:rsid w:val="68A9069F"/>
    <w:rsid w:val="68AA0EB0"/>
    <w:rsid w:val="68AA7FC8"/>
    <w:rsid w:val="68AB2E7A"/>
    <w:rsid w:val="68AD09A1"/>
    <w:rsid w:val="68AE0E91"/>
    <w:rsid w:val="68B03FED"/>
    <w:rsid w:val="68B2355C"/>
    <w:rsid w:val="68B30AF3"/>
    <w:rsid w:val="68B65AA7"/>
    <w:rsid w:val="68B735CD"/>
    <w:rsid w:val="68BE495C"/>
    <w:rsid w:val="68C006D4"/>
    <w:rsid w:val="68C1444C"/>
    <w:rsid w:val="68C33D20"/>
    <w:rsid w:val="68C55CEA"/>
    <w:rsid w:val="68C63810"/>
    <w:rsid w:val="68C857DA"/>
    <w:rsid w:val="68D43ED1"/>
    <w:rsid w:val="68D45F2D"/>
    <w:rsid w:val="68D979E8"/>
    <w:rsid w:val="68DB72BC"/>
    <w:rsid w:val="68DC4DE2"/>
    <w:rsid w:val="68DE1E7B"/>
    <w:rsid w:val="68E2461D"/>
    <w:rsid w:val="68E31C7D"/>
    <w:rsid w:val="68E343C2"/>
    <w:rsid w:val="68E36170"/>
    <w:rsid w:val="68E5022E"/>
    <w:rsid w:val="68E57D0D"/>
    <w:rsid w:val="68EB3277"/>
    <w:rsid w:val="68EC771B"/>
    <w:rsid w:val="68EF0FB9"/>
    <w:rsid w:val="68F00A95"/>
    <w:rsid w:val="68F14D31"/>
    <w:rsid w:val="68F55EA4"/>
    <w:rsid w:val="68FB795E"/>
    <w:rsid w:val="68FE744E"/>
    <w:rsid w:val="6905258B"/>
    <w:rsid w:val="690802CD"/>
    <w:rsid w:val="690A194F"/>
    <w:rsid w:val="690D040B"/>
    <w:rsid w:val="690E58E3"/>
    <w:rsid w:val="690F51B7"/>
    <w:rsid w:val="69180510"/>
    <w:rsid w:val="69196036"/>
    <w:rsid w:val="69236EB5"/>
    <w:rsid w:val="692F717A"/>
    <w:rsid w:val="69310AF9"/>
    <w:rsid w:val="693115D2"/>
    <w:rsid w:val="69390486"/>
    <w:rsid w:val="693D7F76"/>
    <w:rsid w:val="694110E9"/>
    <w:rsid w:val="69490210"/>
    <w:rsid w:val="694C1F68"/>
    <w:rsid w:val="694E2071"/>
    <w:rsid w:val="69535A05"/>
    <w:rsid w:val="69562DE6"/>
    <w:rsid w:val="69586B5E"/>
    <w:rsid w:val="695B03FD"/>
    <w:rsid w:val="695B21AB"/>
    <w:rsid w:val="695E1C9B"/>
    <w:rsid w:val="69603C65"/>
    <w:rsid w:val="69603DA2"/>
    <w:rsid w:val="696279DD"/>
    <w:rsid w:val="696372B1"/>
    <w:rsid w:val="69643755"/>
    <w:rsid w:val="69685689"/>
    <w:rsid w:val="696A6892"/>
    <w:rsid w:val="696A6E60"/>
    <w:rsid w:val="697119CE"/>
    <w:rsid w:val="69715E72"/>
    <w:rsid w:val="697414BE"/>
    <w:rsid w:val="69766FE4"/>
    <w:rsid w:val="69782D5D"/>
    <w:rsid w:val="6978328D"/>
    <w:rsid w:val="697A3B33"/>
    <w:rsid w:val="697B35E3"/>
    <w:rsid w:val="69830AC1"/>
    <w:rsid w:val="69852275"/>
    <w:rsid w:val="69881641"/>
    <w:rsid w:val="698A000A"/>
    <w:rsid w:val="698A0CE2"/>
    <w:rsid w:val="698A5256"/>
    <w:rsid w:val="698C6808"/>
    <w:rsid w:val="698E2580"/>
    <w:rsid w:val="698F62F8"/>
    <w:rsid w:val="69966CB4"/>
    <w:rsid w:val="699E2456"/>
    <w:rsid w:val="699F58C1"/>
    <w:rsid w:val="69A2602B"/>
    <w:rsid w:val="69AB2D12"/>
    <w:rsid w:val="69B0699A"/>
    <w:rsid w:val="69B144C0"/>
    <w:rsid w:val="69B53FB1"/>
    <w:rsid w:val="69B61AD7"/>
    <w:rsid w:val="69BA15C7"/>
    <w:rsid w:val="69BA59A8"/>
    <w:rsid w:val="69BE2739"/>
    <w:rsid w:val="69C441F4"/>
    <w:rsid w:val="69C46CC3"/>
    <w:rsid w:val="69C9180A"/>
    <w:rsid w:val="69CC12FA"/>
    <w:rsid w:val="69D0459A"/>
    <w:rsid w:val="69D16911"/>
    <w:rsid w:val="69D72179"/>
    <w:rsid w:val="69DB153D"/>
    <w:rsid w:val="69DD7064"/>
    <w:rsid w:val="69DF4B8A"/>
    <w:rsid w:val="69E421A0"/>
    <w:rsid w:val="69ED735F"/>
    <w:rsid w:val="69F04FE9"/>
    <w:rsid w:val="69F30635"/>
    <w:rsid w:val="69F36887"/>
    <w:rsid w:val="69F61ED3"/>
    <w:rsid w:val="69FC345A"/>
    <w:rsid w:val="69FC398E"/>
    <w:rsid w:val="69FF522C"/>
    <w:rsid w:val="6A060264"/>
    <w:rsid w:val="6A083F67"/>
    <w:rsid w:val="6A0942FC"/>
    <w:rsid w:val="6A0C7949"/>
    <w:rsid w:val="6A0D5B9B"/>
    <w:rsid w:val="6A130CD7"/>
    <w:rsid w:val="6A197154"/>
    <w:rsid w:val="6A222CC8"/>
    <w:rsid w:val="6A22716C"/>
    <w:rsid w:val="6A294057"/>
    <w:rsid w:val="6A2B4273"/>
    <w:rsid w:val="6A2F590D"/>
    <w:rsid w:val="6A30161E"/>
    <w:rsid w:val="6A330AD1"/>
    <w:rsid w:val="6A356EA0"/>
    <w:rsid w:val="6A372C18"/>
    <w:rsid w:val="6A3C3973"/>
    <w:rsid w:val="6A42336B"/>
    <w:rsid w:val="6A462E5B"/>
    <w:rsid w:val="6A4B0471"/>
    <w:rsid w:val="6A4B06F6"/>
    <w:rsid w:val="6A4B66C3"/>
    <w:rsid w:val="6A535578"/>
    <w:rsid w:val="6A537326"/>
    <w:rsid w:val="6A575068"/>
    <w:rsid w:val="6A5A06B4"/>
    <w:rsid w:val="6A5B122C"/>
    <w:rsid w:val="6A5F61F1"/>
    <w:rsid w:val="6A617C95"/>
    <w:rsid w:val="6A640209"/>
    <w:rsid w:val="6A647785"/>
    <w:rsid w:val="6A652FD8"/>
    <w:rsid w:val="6A6921D7"/>
    <w:rsid w:val="6A696B49"/>
    <w:rsid w:val="6A6A3122"/>
    <w:rsid w:val="6A731776"/>
    <w:rsid w:val="6A757808"/>
    <w:rsid w:val="6A771266"/>
    <w:rsid w:val="6A796A9F"/>
    <w:rsid w:val="6A7A2B04"/>
    <w:rsid w:val="6A7A6FA8"/>
    <w:rsid w:val="6A7E25F5"/>
    <w:rsid w:val="6A815C41"/>
    <w:rsid w:val="6A8A71EB"/>
    <w:rsid w:val="6A8B2B69"/>
    <w:rsid w:val="6A8B520E"/>
    <w:rsid w:val="6A8C0289"/>
    <w:rsid w:val="6A8E035E"/>
    <w:rsid w:val="6A9260A0"/>
    <w:rsid w:val="6A9516EC"/>
    <w:rsid w:val="6A9736B6"/>
    <w:rsid w:val="6A975464"/>
    <w:rsid w:val="6A995680"/>
    <w:rsid w:val="6A99742E"/>
    <w:rsid w:val="6A9E0AB3"/>
    <w:rsid w:val="6A9E4A45"/>
    <w:rsid w:val="6AA15FA4"/>
    <w:rsid w:val="6AA302AD"/>
    <w:rsid w:val="6AA67245"/>
    <w:rsid w:val="6AA72412"/>
    <w:rsid w:val="6AA933EA"/>
    <w:rsid w:val="6AAB0C0F"/>
    <w:rsid w:val="6AAB7162"/>
    <w:rsid w:val="6AB06526"/>
    <w:rsid w:val="6AB627B0"/>
    <w:rsid w:val="6AB75B07"/>
    <w:rsid w:val="6ABE6E95"/>
    <w:rsid w:val="6AC83870"/>
    <w:rsid w:val="6ACA583A"/>
    <w:rsid w:val="6ACF10A2"/>
    <w:rsid w:val="6ACF6B9E"/>
    <w:rsid w:val="6AD05952"/>
    <w:rsid w:val="6AD12861"/>
    <w:rsid w:val="6AD246EE"/>
    <w:rsid w:val="6AD40467"/>
    <w:rsid w:val="6ADA2581"/>
    <w:rsid w:val="6ADA35A3"/>
    <w:rsid w:val="6ADE12E5"/>
    <w:rsid w:val="6AE85CC0"/>
    <w:rsid w:val="6AED777A"/>
    <w:rsid w:val="6AF02DC7"/>
    <w:rsid w:val="6AF1726A"/>
    <w:rsid w:val="6AF2584B"/>
    <w:rsid w:val="6AFA59F3"/>
    <w:rsid w:val="6AFB3C45"/>
    <w:rsid w:val="6B00125C"/>
    <w:rsid w:val="6B016D82"/>
    <w:rsid w:val="6B0A20DA"/>
    <w:rsid w:val="6B0E1E52"/>
    <w:rsid w:val="6B0F4184"/>
    <w:rsid w:val="6B0F5943"/>
    <w:rsid w:val="6B166CD1"/>
    <w:rsid w:val="6B1747F7"/>
    <w:rsid w:val="6B1B42E7"/>
    <w:rsid w:val="6B1C1C99"/>
    <w:rsid w:val="6B217424"/>
    <w:rsid w:val="6B2667E8"/>
    <w:rsid w:val="6B286A04"/>
    <w:rsid w:val="6B2A277C"/>
    <w:rsid w:val="6B322639"/>
    <w:rsid w:val="6B3358AF"/>
    <w:rsid w:val="6B347157"/>
    <w:rsid w:val="6B364C7D"/>
    <w:rsid w:val="6B4355EC"/>
    <w:rsid w:val="6B454B70"/>
    <w:rsid w:val="6B472478"/>
    <w:rsid w:val="6B4C44A1"/>
    <w:rsid w:val="6B4C48E8"/>
    <w:rsid w:val="6B4F5D3F"/>
    <w:rsid w:val="6B524E15"/>
    <w:rsid w:val="6B5363CE"/>
    <w:rsid w:val="6B5430AF"/>
    <w:rsid w:val="6B563571"/>
    <w:rsid w:val="6B56531F"/>
    <w:rsid w:val="6B581098"/>
    <w:rsid w:val="6B5B2936"/>
    <w:rsid w:val="6B5F1CFB"/>
    <w:rsid w:val="6B641B0C"/>
    <w:rsid w:val="6B655563"/>
    <w:rsid w:val="6B67752D"/>
    <w:rsid w:val="6B6C68F1"/>
    <w:rsid w:val="6B712159"/>
    <w:rsid w:val="6B7439F8"/>
    <w:rsid w:val="6B76151E"/>
    <w:rsid w:val="6B7B2029"/>
    <w:rsid w:val="6B7B4D86"/>
    <w:rsid w:val="6B7F671C"/>
    <w:rsid w:val="6B824366"/>
    <w:rsid w:val="6B8818B6"/>
    <w:rsid w:val="6B8D6867"/>
    <w:rsid w:val="6B8E4AB9"/>
    <w:rsid w:val="6B917000"/>
    <w:rsid w:val="6B930322"/>
    <w:rsid w:val="6B9320D0"/>
    <w:rsid w:val="6B96396E"/>
    <w:rsid w:val="6B99345E"/>
    <w:rsid w:val="6B9B2D32"/>
    <w:rsid w:val="6B9D02DA"/>
    <w:rsid w:val="6BAA319B"/>
    <w:rsid w:val="6BAB77E7"/>
    <w:rsid w:val="6BAC13E3"/>
    <w:rsid w:val="6BAC3191"/>
    <w:rsid w:val="6BAF4A30"/>
    <w:rsid w:val="6BB43DF4"/>
    <w:rsid w:val="6BB64010"/>
    <w:rsid w:val="6BB838E4"/>
    <w:rsid w:val="6BB9765C"/>
    <w:rsid w:val="6BBA3B00"/>
    <w:rsid w:val="6BBD0EFB"/>
    <w:rsid w:val="6BBF2EC5"/>
    <w:rsid w:val="6BCA186A"/>
    <w:rsid w:val="6BCE3108"/>
    <w:rsid w:val="6BD10B8D"/>
    <w:rsid w:val="6BD12AD1"/>
    <w:rsid w:val="6BD526E8"/>
    <w:rsid w:val="6BD6020E"/>
    <w:rsid w:val="6BD9385B"/>
    <w:rsid w:val="6BEA5A68"/>
    <w:rsid w:val="6BEB1F0C"/>
    <w:rsid w:val="6BF1089A"/>
    <w:rsid w:val="6BF15048"/>
    <w:rsid w:val="6BF32B6E"/>
    <w:rsid w:val="6BF40694"/>
    <w:rsid w:val="6BF5165A"/>
    <w:rsid w:val="6BF568E6"/>
    <w:rsid w:val="6BF6440D"/>
    <w:rsid w:val="6BF83A80"/>
    <w:rsid w:val="6BF95CAB"/>
    <w:rsid w:val="6BFA3EFD"/>
    <w:rsid w:val="6BFD1C3F"/>
    <w:rsid w:val="6C005EAC"/>
    <w:rsid w:val="6C044D7B"/>
    <w:rsid w:val="6C0B610A"/>
    <w:rsid w:val="6C0C1E82"/>
    <w:rsid w:val="6C0E79A8"/>
    <w:rsid w:val="6C0F54CE"/>
    <w:rsid w:val="6C101972"/>
    <w:rsid w:val="6C1256EA"/>
    <w:rsid w:val="6C136D6D"/>
    <w:rsid w:val="6C155E31"/>
    <w:rsid w:val="6C165A05"/>
    <w:rsid w:val="6C1F1AB4"/>
    <w:rsid w:val="6C1F2D50"/>
    <w:rsid w:val="6C1F3963"/>
    <w:rsid w:val="6C214EA2"/>
    <w:rsid w:val="6C223454"/>
    <w:rsid w:val="6C266B6D"/>
    <w:rsid w:val="6C276CBC"/>
    <w:rsid w:val="6C2A323C"/>
    <w:rsid w:val="6C2B2308"/>
    <w:rsid w:val="6C2B3654"/>
    <w:rsid w:val="6C2C6080"/>
    <w:rsid w:val="6C310227"/>
    <w:rsid w:val="6C33740F"/>
    <w:rsid w:val="6C3867D3"/>
    <w:rsid w:val="6C3D028D"/>
    <w:rsid w:val="6C417D7E"/>
    <w:rsid w:val="6C4433CA"/>
    <w:rsid w:val="6C4663A0"/>
    <w:rsid w:val="6C483FCB"/>
    <w:rsid w:val="6C496C32"/>
    <w:rsid w:val="6C4B6506"/>
    <w:rsid w:val="6C560CAF"/>
    <w:rsid w:val="6C5A2BED"/>
    <w:rsid w:val="6C5B6D25"/>
    <w:rsid w:val="6C5E2E70"/>
    <w:rsid w:val="6C636C38"/>
    <w:rsid w:val="6C6677E4"/>
    <w:rsid w:val="6C6770B8"/>
    <w:rsid w:val="6C7227EB"/>
    <w:rsid w:val="6C733CAF"/>
    <w:rsid w:val="6C7A0E45"/>
    <w:rsid w:val="6C7C1405"/>
    <w:rsid w:val="6C7F4402"/>
    <w:rsid w:val="6C81461E"/>
    <w:rsid w:val="6C830396"/>
    <w:rsid w:val="6C841A18"/>
    <w:rsid w:val="6C847C6A"/>
    <w:rsid w:val="6C871509"/>
    <w:rsid w:val="6C8934D3"/>
    <w:rsid w:val="6C8E6D3B"/>
    <w:rsid w:val="6C9102FF"/>
    <w:rsid w:val="6C9205D9"/>
    <w:rsid w:val="6C92218A"/>
    <w:rsid w:val="6C924135"/>
    <w:rsid w:val="6C9500C9"/>
    <w:rsid w:val="6C983716"/>
    <w:rsid w:val="6C9F2CF6"/>
    <w:rsid w:val="6CA34594"/>
    <w:rsid w:val="6CA65E33"/>
    <w:rsid w:val="6CAB169B"/>
    <w:rsid w:val="6CAB51F7"/>
    <w:rsid w:val="6CB06CB1"/>
    <w:rsid w:val="6CBC5656"/>
    <w:rsid w:val="6CBE13CE"/>
    <w:rsid w:val="6CC16DF1"/>
    <w:rsid w:val="6CC2270C"/>
    <w:rsid w:val="6CC51EB4"/>
    <w:rsid w:val="6CC664D5"/>
    <w:rsid w:val="6CCC33F6"/>
    <w:rsid w:val="6CD40BF2"/>
    <w:rsid w:val="6CD52274"/>
    <w:rsid w:val="6CDE737B"/>
    <w:rsid w:val="6CE32BE3"/>
    <w:rsid w:val="6CE4695B"/>
    <w:rsid w:val="6CEB0E5F"/>
    <w:rsid w:val="6CEB120D"/>
    <w:rsid w:val="6CF52916"/>
    <w:rsid w:val="6CF63A92"/>
    <w:rsid w:val="6CFA65F7"/>
    <w:rsid w:val="6CFF0B45"/>
    <w:rsid w:val="6D003795"/>
    <w:rsid w:val="6D026DC6"/>
    <w:rsid w:val="6D0512FF"/>
    <w:rsid w:val="6D055F4C"/>
    <w:rsid w:val="6D0B038C"/>
    <w:rsid w:val="6D0B3EE8"/>
    <w:rsid w:val="6D0B4F67"/>
    <w:rsid w:val="6D0E5786"/>
    <w:rsid w:val="6D107750"/>
    <w:rsid w:val="6D154D66"/>
    <w:rsid w:val="6D194857"/>
    <w:rsid w:val="6D1E1E6D"/>
    <w:rsid w:val="6D267B26"/>
    <w:rsid w:val="6D276D15"/>
    <w:rsid w:val="6D282CEC"/>
    <w:rsid w:val="6D286848"/>
    <w:rsid w:val="6D2A6A64"/>
    <w:rsid w:val="6D323B6A"/>
    <w:rsid w:val="6D3A657B"/>
    <w:rsid w:val="6D3C1731"/>
    <w:rsid w:val="6D3E606B"/>
    <w:rsid w:val="6D435308"/>
    <w:rsid w:val="6D4B0788"/>
    <w:rsid w:val="6D4B3F19"/>
    <w:rsid w:val="6D4D62AE"/>
    <w:rsid w:val="6D4E3213"/>
    <w:rsid w:val="6D543AE1"/>
    <w:rsid w:val="6D594C53"/>
    <w:rsid w:val="6D5B09CB"/>
    <w:rsid w:val="6D605FE2"/>
    <w:rsid w:val="6D617FAC"/>
    <w:rsid w:val="6D631F76"/>
    <w:rsid w:val="6D673814"/>
    <w:rsid w:val="6D6A6E60"/>
    <w:rsid w:val="6D6D4BA2"/>
    <w:rsid w:val="6D6F26C8"/>
    <w:rsid w:val="6D711C78"/>
    <w:rsid w:val="6D723F67"/>
    <w:rsid w:val="6D741A8D"/>
    <w:rsid w:val="6D7766CE"/>
    <w:rsid w:val="6D843973"/>
    <w:rsid w:val="6D856A84"/>
    <w:rsid w:val="6D864791"/>
    <w:rsid w:val="6D877A12"/>
    <w:rsid w:val="6D88378A"/>
    <w:rsid w:val="6D8A7502"/>
    <w:rsid w:val="6D8C14BB"/>
    <w:rsid w:val="6D8D2B4F"/>
    <w:rsid w:val="6D960444"/>
    <w:rsid w:val="6D997745"/>
    <w:rsid w:val="6D9A2D85"/>
    <w:rsid w:val="6D9C0FE4"/>
    <w:rsid w:val="6D9D5488"/>
    <w:rsid w:val="6DAD4F9F"/>
    <w:rsid w:val="6DB157EC"/>
    <w:rsid w:val="6DB34098"/>
    <w:rsid w:val="6DB545B6"/>
    <w:rsid w:val="6DB85E1E"/>
    <w:rsid w:val="6DB9682B"/>
    <w:rsid w:val="6DBE0F5A"/>
    <w:rsid w:val="6DC02C1E"/>
    <w:rsid w:val="6DC9627D"/>
    <w:rsid w:val="6DD27028"/>
    <w:rsid w:val="6DD51ED2"/>
    <w:rsid w:val="6DD54C21"/>
    <w:rsid w:val="6DD62748"/>
    <w:rsid w:val="6DD8026E"/>
    <w:rsid w:val="6DD86E68"/>
    <w:rsid w:val="6DD9192B"/>
    <w:rsid w:val="6DDA1931"/>
    <w:rsid w:val="6DDF4286"/>
    <w:rsid w:val="6DE07122"/>
    <w:rsid w:val="6DE210EC"/>
    <w:rsid w:val="6DE24C48"/>
    <w:rsid w:val="6DE9247B"/>
    <w:rsid w:val="6DE94229"/>
    <w:rsid w:val="6DEE2714"/>
    <w:rsid w:val="6DF130DE"/>
    <w:rsid w:val="6DF17400"/>
    <w:rsid w:val="6DF17581"/>
    <w:rsid w:val="6DF17859"/>
    <w:rsid w:val="6DF42BCE"/>
    <w:rsid w:val="6DF826BE"/>
    <w:rsid w:val="6DF901E4"/>
    <w:rsid w:val="6DF94A8D"/>
    <w:rsid w:val="6DFA4688"/>
    <w:rsid w:val="6DFB1424"/>
    <w:rsid w:val="6DFF3A4C"/>
    <w:rsid w:val="6E001573"/>
    <w:rsid w:val="6E072901"/>
    <w:rsid w:val="6E0B4EFC"/>
    <w:rsid w:val="6E105C5A"/>
    <w:rsid w:val="6E1B015A"/>
    <w:rsid w:val="6E1B281B"/>
    <w:rsid w:val="6E2039C3"/>
    <w:rsid w:val="6E217E67"/>
    <w:rsid w:val="6E22598D"/>
    <w:rsid w:val="6E22773B"/>
    <w:rsid w:val="6E2407C0"/>
    <w:rsid w:val="6E245261"/>
    <w:rsid w:val="6E256852"/>
    <w:rsid w:val="6E296D1B"/>
    <w:rsid w:val="6E2B2A93"/>
    <w:rsid w:val="6E2C2368"/>
    <w:rsid w:val="6E31797E"/>
    <w:rsid w:val="6E3A4A84"/>
    <w:rsid w:val="6E430122"/>
    <w:rsid w:val="6E430774"/>
    <w:rsid w:val="6E4375A0"/>
    <w:rsid w:val="6E493F8C"/>
    <w:rsid w:val="6E496F01"/>
    <w:rsid w:val="6E4E0530"/>
    <w:rsid w:val="6E4E22DE"/>
    <w:rsid w:val="6E4E6782"/>
    <w:rsid w:val="6E5024FA"/>
    <w:rsid w:val="6E514CED"/>
    <w:rsid w:val="6E5518BE"/>
    <w:rsid w:val="6E587601"/>
    <w:rsid w:val="6E597DC9"/>
    <w:rsid w:val="6E5D4C17"/>
    <w:rsid w:val="6E5D6D8A"/>
    <w:rsid w:val="6E625D89"/>
    <w:rsid w:val="6E650E15"/>
    <w:rsid w:val="6E6E2980"/>
    <w:rsid w:val="6E7009DA"/>
    <w:rsid w:val="6E76798E"/>
    <w:rsid w:val="6E786E93"/>
    <w:rsid w:val="6E79491A"/>
    <w:rsid w:val="6E7C32EF"/>
    <w:rsid w:val="6E8126B3"/>
    <w:rsid w:val="6E8201DA"/>
    <w:rsid w:val="6E881C94"/>
    <w:rsid w:val="6E8977BA"/>
    <w:rsid w:val="6E8C40E8"/>
    <w:rsid w:val="6E8F15D9"/>
    <w:rsid w:val="6E906D9A"/>
    <w:rsid w:val="6E91666F"/>
    <w:rsid w:val="6E985C4F"/>
    <w:rsid w:val="6E9C129B"/>
    <w:rsid w:val="6E9D5013"/>
    <w:rsid w:val="6EA510B2"/>
    <w:rsid w:val="6EA91C0A"/>
    <w:rsid w:val="6EAB7730"/>
    <w:rsid w:val="6EAE7221"/>
    <w:rsid w:val="6EB04D47"/>
    <w:rsid w:val="6EB563D5"/>
    <w:rsid w:val="6EB72579"/>
    <w:rsid w:val="6EB74327"/>
    <w:rsid w:val="6EBA6F09"/>
    <w:rsid w:val="6EBC7B8F"/>
    <w:rsid w:val="6EBD7464"/>
    <w:rsid w:val="6EBE3907"/>
    <w:rsid w:val="6EC407F2"/>
    <w:rsid w:val="6EC46A44"/>
    <w:rsid w:val="6EC627BC"/>
    <w:rsid w:val="6EC72090"/>
    <w:rsid w:val="6EC802E2"/>
    <w:rsid w:val="6ECA1007"/>
    <w:rsid w:val="6ED47830"/>
    <w:rsid w:val="6EDA0016"/>
    <w:rsid w:val="6EDC0332"/>
    <w:rsid w:val="6EDC5A42"/>
    <w:rsid w:val="6EDD3662"/>
    <w:rsid w:val="6EDD4754"/>
    <w:rsid w:val="6EDE1721"/>
    <w:rsid w:val="6EDF562C"/>
    <w:rsid w:val="6EE3336E"/>
    <w:rsid w:val="6EE3511C"/>
    <w:rsid w:val="6EE5266B"/>
    <w:rsid w:val="6EED1FF5"/>
    <w:rsid w:val="6EED5F9B"/>
    <w:rsid w:val="6EF54E4F"/>
    <w:rsid w:val="6EFD5AB2"/>
    <w:rsid w:val="6F0D03EB"/>
    <w:rsid w:val="6F126B79"/>
    <w:rsid w:val="6F152DFC"/>
    <w:rsid w:val="6F1928EC"/>
    <w:rsid w:val="6F1C1F3D"/>
    <w:rsid w:val="6F225983"/>
    <w:rsid w:val="6F2319BD"/>
    <w:rsid w:val="6F255735"/>
    <w:rsid w:val="6F287F6F"/>
    <w:rsid w:val="6F2D45E9"/>
    <w:rsid w:val="6F345978"/>
    <w:rsid w:val="6F3911E0"/>
    <w:rsid w:val="6F394D3C"/>
    <w:rsid w:val="6F3E0FA3"/>
    <w:rsid w:val="6F3E2352"/>
    <w:rsid w:val="6F3E67F6"/>
    <w:rsid w:val="6F410779"/>
    <w:rsid w:val="6F433E0D"/>
    <w:rsid w:val="6F4B0F13"/>
    <w:rsid w:val="6F4D4C8B"/>
    <w:rsid w:val="6F4F7C8F"/>
    <w:rsid w:val="6F583B84"/>
    <w:rsid w:val="6F5D2C01"/>
    <w:rsid w:val="6F60676D"/>
    <w:rsid w:val="6F6124E5"/>
    <w:rsid w:val="6F616041"/>
    <w:rsid w:val="6F644787"/>
    <w:rsid w:val="6F673B85"/>
    <w:rsid w:val="6F6873CF"/>
    <w:rsid w:val="6F6D491A"/>
    <w:rsid w:val="6F72517F"/>
    <w:rsid w:val="6F725BBB"/>
    <w:rsid w:val="6F745D74"/>
    <w:rsid w:val="6F774CD0"/>
    <w:rsid w:val="6F7904EA"/>
    <w:rsid w:val="6F7F743C"/>
    <w:rsid w:val="6F832901"/>
    <w:rsid w:val="6F8F1B70"/>
    <w:rsid w:val="6F934682"/>
    <w:rsid w:val="6F956912"/>
    <w:rsid w:val="6FA279E0"/>
    <w:rsid w:val="6FA80114"/>
    <w:rsid w:val="6FAC19B2"/>
    <w:rsid w:val="6FAF4FFE"/>
    <w:rsid w:val="6FB03B79"/>
    <w:rsid w:val="6FB12BB4"/>
    <w:rsid w:val="6FB16FC8"/>
    <w:rsid w:val="6FB371D3"/>
    <w:rsid w:val="6FB95B4E"/>
    <w:rsid w:val="6FB97C2B"/>
    <w:rsid w:val="6FBC771B"/>
    <w:rsid w:val="6FC0720B"/>
    <w:rsid w:val="6FC247B9"/>
    <w:rsid w:val="6FC50CC6"/>
    <w:rsid w:val="6FC767EC"/>
    <w:rsid w:val="6FD11419"/>
    <w:rsid w:val="6FD20CED"/>
    <w:rsid w:val="6FD311BE"/>
    <w:rsid w:val="6FDD7DBD"/>
    <w:rsid w:val="6FDF69AC"/>
    <w:rsid w:val="6FE27A2C"/>
    <w:rsid w:val="6FE3114C"/>
    <w:rsid w:val="6FE50A20"/>
    <w:rsid w:val="6FE543B9"/>
    <w:rsid w:val="6FE729EA"/>
    <w:rsid w:val="6FE85244"/>
    <w:rsid w:val="6FEA072C"/>
    <w:rsid w:val="6FED5B27"/>
    <w:rsid w:val="6FEE1FCA"/>
    <w:rsid w:val="6FEF2BB1"/>
    <w:rsid w:val="6FF31222"/>
    <w:rsid w:val="6FF375E1"/>
    <w:rsid w:val="6FF60E7F"/>
    <w:rsid w:val="6FF84BF7"/>
    <w:rsid w:val="6FF869A5"/>
    <w:rsid w:val="6FFA3B3C"/>
    <w:rsid w:val="6FFC5590"/>
    <w:rsid w:val="6FFD3FBC"/>
    <w:rsid w:val="70003AAC"/>
    <w:rsid w:val="700C27C9"/>
    <w:rsid w:val="700F3CEF"/>
    <w:rsid w:val="701337DF"/>
    <w:rsid w:val="70161521"/>
    <w:rsid w:val="70175A87"/>
    <w:rsid w:val="70186826"/>
    <w:rsid w:val="70221C74"/>
    <w:rsid w:val="702459EC"/>
    <w:rsid w:val="702E0844"/>
    <w:rsid w:val="702E3539"/>
    <w:rsid w:val="702F4391"/>
    <w:rsid w:val="702F613F"/>
    <w:rsid w:val="70301DA3"/>
    <w:rsid w:val="70302B20"/>
    <w:rsid w:val="70334C37"/>
    <w:rsid w:val="70343755"/>
    <w:rsid w:val="7036571F"/>
    <w:rsid w:val="703674CE"/>
    <w:rsid w:val="70383246"/>
    <w:rsid w:val="703E6382"/>
    <w:rsid w:val="7040034C"/>
    <w:rsid w:val="70411A78"/>
    <w:rsid w:val="70441BEA"/>
    <w:rsid w:val="70467B98"/>
    <w:rsid w:val="70473489"/>
    <w:rsid w:val="70497201"/>
    <w:rsid w:val="704A4D27"/>
    <w:rsid w:val="704A516B"/>
    <w:rsid w:val="704B24F1"/>
    <w:rsid w:val="704C0A9F"/>
    <w:rsid w:val="705160B5"/>
    <w:rsid w:val="70531E2E"/>
    <w:rsid w:val="7055204A"/>
    <w:rsid w:val="705855A7"/>
    <w:rsid w:val="70585696"/>
    <w:rsid w:val="70593891"/>
    <w:rsid w:val="705D2CAC"/>
    <w:rsid w:val="706202C3"/>
    <w:rsid w:val="706933FF"/>
    <w:rsid w:val="70696F3D"/>
    <w:rsid w:val="706A63CD"/>
    <w:rsid w:val="706C2EEF"/>
    <w:rsid w:val="706D1DD0"/>
    <w:rsid w:val="706D7810"/>
    <w:rsid w:val="706E6C67"/>
    <w:rsid w:val="707052E7"/>
    <w:rsid w:val="70741DA4"/>
    <w:rsid w:val="7075449A"/>
    <w:rsid w:val="707A560C"/>
    <w:rsid w:val="707B3132"/>
    <w:rsid w:val="707C1064"/>
    <w:rsid w:val="707D334E"/>
    <w:rsid w:val="70840239"/>
    <w:rsid w:val="70856B87"/>
    <w:rsid w:val="708E25E0"/>
    <w:rsid w:val="708E2E66"/>
    <w:rsid w:val="708E730A"/>
    <w:rsid w:val="708F219B"/>
    <w:rsid w:val="708F6BDE"/>
    <w:rsid w:val="70911A90"/>
    <w:rsid w:val="70935816"/>
    <w:rsid w:val="70960BA9"/>
    <w:rsid w:val="70986DE0"/>
    <w:rsid w:val="709A3F00"/>
    <w:rsid w:val="709A5CAE"/>
    <w:rsid w:val="709B291A"/>
    <w:rsid w:val="70AC7790"/>
    <w:rsid w:val="70AE3B56"/>
    <w:rsid w:val="70B30B1E"/>
    <w:rsid w:val="70B34FC2"/>
    <w:rsid w:val="70B36D70"/>
    <w:rsid w:val="70B623BC"/>
    <w:rsid w:val="70B701E7"/>
    <w:rsid w:val="70B76860"/>
    <w:rsid w:val="70BD374B"/>
    <w:rsid w:val="70BD7386"/>
    <w:rsid w:val="70BD7BEF"/>
    <w:rsid w:val="70BE05B1"/>
    <w:rsid w:val="70C42D2B"/>
    <w:rsid w:val="70C8281B"/>
    <w:rsid w:val="70C920F0"/>
    <w:rsid w:val="70C96594"/>
    <w:rsid w:val="70CC0E40"/>
    <w:rsid w:val="70CC398E"/>
    <w:rsid w:val="70D171F6"/>
    <w:rsid w:val="70D32F6E"/>
    <w:rsid w:val="70D527EE"/>
    <w:rsid w:val="70D6480D"/>
    <w:rsid w:val="70D94A29"/>
    <w:rsid w:val="70DF5DB7"/>
    <w:rsid w:val="70E1568B"/>
    <w:rsid w:val="70E231B1"/>
    <w:rsid w:val="70E37655"/>
    <w:rsid w:val="70E7115A"/>
    <w:rsid w:val="70F27898"/>
    <w:rsid w:val="70F80C27"/>
    <w:rsid w:val="70F829D5"/>
    <w:rsid w:val="7104137A"/>
    <w:rsid w:val="7104581E"/>
    <w:rsid w:val="710851C5"/>
    <w:rsid w:val="710A276A"/>
    <w:rsid w:val="7113780F"/>
    <w:rsid w:val="71157D8A"/>
    <w:rsid w:val="71186BD3"/>
    <w:rsid w:val="712832BA"/>
    <w:rsid w:val="71285068"/>
    <w:rsid w:val="712D491D"/>
    <w:rsid w:val="71311217"/>
    <w:rsid w:val="713559D7"/>
    <w:rsid w:val="7137174F"/>
    <w:rsid w:val="713752AB"/>
    <w:rsid w:val="713C664E"/>
    <w:rsid w:val="714025F2"/>
    <w:rsid w:val="71410FFA"/>
    <w:rsid w:val="71494FDF"/>
    <w:rsid w:val="715045BF"/>
    <w:rsid w:val="71535E5D"/>
    <w:rsid w:val="71551BD5"/>
    <w:rsid w:val="715A543E"/>
    <w:rsid w:val="715B3690"/>
    <w:rsid w:val="715B5300"/>
    <w:rsid w:val="715D3781"/>
    <w:rsid w:val="715F4BD7"/>
    <w:rsid w:val="71614A1E"/>
    <w:rsid w:val="716342F2"/>
    <w:rsid w:val="716360A0"/>
    <w:rsid w:val="716370C7"/>
    <w:rsid w:val="71692DEE"/>
    <w:rsid w:val="71695F16"/>
    <w:rsid w:val="716A5681"/>
    <w:rsid w:val="716C66CF"/>
    <w:rsid w:val="716F2C97"/>
    <w:rsid w:val="71702252"/>
    <w:rsid w:val="717421FD"/>
    <w:rsid w:val="717958C4"/>
    <w:rsid w:val="717C41F3"/>
    <w:rsid w:val="718575C1"/>
    <w:rsid w:val="718D2089"/>
    <w:rsid w:val="718E4C5A"/>
    <w:rsid w:val="71930C5C"/>
    <w:rsid w:val="71944C60"/>
    <w:rsid w:val="71946BA2"/>
    <w:rsid w:val="71972D4F"/>
    <w:rsid w:val="719E300E"/>
    <w:rsid w:val="719E474F"/>
    <w:rsid w:val="71A010A2"/>
    <w:rsid w:val="71A06D61"/>
    <w:rsid w:val="71A67840"/>
    <w:rsid w:val="71A861A9"/>
    <w:rsid w:val="71A87F57"/>
    <w:rsid w:val="71AB48B1"/>
    <w:rsid w:val="71AC74A1"/>
    <w:rsid w:val="71B11484"/>
    <w:rsid w:val="71B132B0"/>
    <w:rsid w:val="71B52674"/>
    <w:rsid w:val="71BD7E79"/>
    <w:rsid w:val="71BF3A88"/>
    <w:rsid w:val="71C01745"/>
    <w:rsid w:val="71C07997"/>
    <w:rsid w:val="71C14B7C"/>
    <w:rsid w:val="71C1726B"/>
    <w:rsid w:val="71C6373E"/>
    <w:rsid w:val="71CD79BE"/>
    <w:rsid w:val="71D27F8A"/>
    <w:rsid w:val="71D46F9E"/>
    <w:rsid w:val="71DB032D"/>
    <w:rsid w:val="71DF0378"/>
    <w:rsid w:val="71DF78C7"/>
    <w:rsid w:val="71E06A73"/>
    <w:rsid w:val="71ED21B3"/>
    <w:rsid w:val="71EF202A"/>
    <w:rsid w:val="71F17B50"/>
    <w:rsid w:val="71F744C6"/>
    <w:rsid w:val="71F907B3"/>
    <w:rsid w:val="71F960CF"/>
    <w:rsid w:val="72002319"/>
    <w:rsid w:val="720535FB"/>
    <w:rsid w:val="720553A9"/>
    <w:rsid w:val="7208370E"/>
    <w:rsid w:val="72084E9A"/>
    <w:rsid w:val="72090091"/>
    <w:rsid w:val="720B6139"/>
    <w:rsid w:val="72113D47"/>
    <w:rsid w:val="72135089"/>
    <w:rsid w:val="7214383E"/>
    <w:rsid w:val="72144E11"/>
    <w:rsid w:val="72165809"/>
    <w:rsid w:val="72201995"/>
    <w:rsid w:val="72203F91"/>
    <w:rsid w:val="72206F55"/>
    <w:rsid w:val="72226347"/>
    <w:rsid w:val="72232B8E"/>
    <w:rsid w:val="722413F0"/>
    <w:rsid w:val="72255A4C"/>
    <w:rsid w:val="72281680"/>
    <w:rsid w:val="723549BE"/>
    <w:rsid w:val="7238577F"/>
    <w:rsid w:val="723B0DCB"/>
    <w:rsid w:val="7242215A"/>
    <w:rsid w:val="7243340D"/>
    <w:rsid w:val="72435ED2"/>
    <w:rsid w:val="72454D6C"/>
    <w:rsid w:val="72457E9C"/>
    <w:rsid w:val="72464F43"/>
    <w:rsid w:val="72470F80"/>
    <w:rsid w:val="724759C2"/>
    <w:rsid w:val="7249040E"/>
    <w:rsid w:val="7249798C"/>
    <w:rsid w:val="724A3704"/>
    <w:rsid w:val="724C2FD8"/>
    <w:rsid w:val="724C4D86"/>
    <w:rsid w:val="724D0645"/>
    <w:rsid w:val="724D0AFE"/>
    <w:rsid w:val="724F7474"/>
    <w:rsid w:val="72516841"/>
    <w:rsid w:val="72563E57"/>
    <w:rsid w:val="725A3947"/>
    <w:rsid w:val="725B76BF"/>
    <w:rsid w:val="725C4D53"/>
    <w:rsid w:val="725E2D0C"/>
    <w:rsid w:val="725F0F5E"/>
    <w:rsid w:val="725F12F5"/>
    <w:rsid w:val="72620A4E"/>
    <w:rsid w:val="72677E12"/>
    <w:rsid w:val="726A16B0"/>
    <w:rsid w:val="726B1116"/>
    <w:rsid w:val="726F6CC7"/>
    <w:rsid w:val="7275721E"/>
    <w:rsid w:val="727918F3"/>
    <w:rsid w:val="727A5D97"/>
    <w:rsid w:val="727B38BE"/>
    <w:rsid w:val="727E2972"/>
    <w:rsid w:val="72821109"/>
    <w:rsid w:val="72842772"/>
    <w:rsid w:val="728564EA"/>
    <w:rsid w:val="72862DE7"/>
    <w:rsid w:val="728E091D"/>
    <w:rsid w:val="72914E8F"/>
    <w:rsid w:val="729329B5"/>
    <w:rsid w:val="7295497F"/>
    <w:rsid w:val="7297664B"/>
    <w:rsid w:val="72A42EE3"/>
    <w:rsid w:val="72A746B3"/>
    <w:rsid w:val="72A921D9"/>
    <w:rsid w:val="72A9418F"/>
    <w:rsid w:val="72A9667D"/>
    <w:rsid w:val="72B172DF"/>
    <w:rsid w:val="72B90194"/>
    <w:rsid w:val="72C01A12"/>
    <w:rsid w:val="72C131B2"/>
    <w:rsid w:val="72C214EC"/>
    <w:rsid w:val="72C76912"/>
    <w:rsid w:val="72CC32D7"/>
    <w:rsid w:val="72CE3C4C"/>
    <w:rsid w:val="72D82ABE"/>
    <w:rsid w:val="72DA3A73"/>
    <w:rsid w:val="72DA6836"/>
    <w:rsid w:val="72E6342D"/>
    <w:rsid w:val="72E651DB"/>
    <w:rsid w:val="72E96A79"/>
    <w:rsid w:val="72EC6569"/>
    <w:rsid w:val="72F032AF"/>
    <w:rsid w:val="72F07B01"/>
    <w:rsid w:val="72F31907"/>
    <w:rsid w:val="72F53670"/>
    <w:rsid w:val="72F773E8"/>
    <w:rsid w:val="72F96DCD"/>
    <w:rsid w:val="72FA6ED8"/>
    <w:rsid w:val="72FA74C9"/>
    <w:rsid w:val="72FB055A"/>
    <w:rsid w:val="72FD42D3"/>
    <w:rsid w:val="73027B3B"/>
    <w:rsid w:val="730339A7"/>
    <w:rsid w:val="730833A3"/>
    <w:rsid w:val="730A5070"/>
    <w:rsid w:val="730E028E"/>
    <w:rsid w:val="73124222"/>
    <w:rsid w:val="7318735E"/>
    <w:rsid w:val="731A30D6"/>
    <w:rsid w:val="731F5D5E"/>
    <w:rsid w:val="73221F8B"/>
    <w:rsid w:val="7327064F"/>
    <w:rsid w:val="732D105C"/>
    <w:rsid w:val="732E6B82"/>
    <w:rsid w:val="73311AF4"/>
    <w:rsid w:val="733207B2"/>
    <w:rsid w:val="73326672"/>
    <w:rsid w:val="73376A7D"/>
    <w:rsid w:val="733817AF"/>
    <w:rsid w:val="73397A01"/>
    <w:rsid w:val="733A72D5"/>
    <w:rsid w:val="733C4DFB"/>
    <w:rsid w:val="733F2B3D"/>
    <w:rsid w:val="73426189"/>
    <w:rsid w:val="73465C7A"/>
    <w:rsid w:val="7349576A"/>
    <w:rsid w:val="734A7BDE"/>
    <w:rsid w:val="734E2D80"/>
    <w:rsid w:val="73522870"/>
    <w:rsid w:val="73530396"/>
    <w:rsid w:val="735465E8"/>
    <w:rsid w:val="735635E4"/>
    <w:rsid w:val="7359395E"/>
    <w:rsid w:val="735E1215"/>
    <w:rsid w:val="735E1E53"/>
    <w:rsid w:val="736305DA"/>
    <w:rsid w:val="73644352"/>
    <w:rsid w:val="7372081D"/>
    <w:rsid w:val="737E150A"/>
    <w:rsid w:val="737F2F3A"/>
    <w:rsid w:val="737F73DD"/>
    <w:rsid w:val="73814F04"/>
    <w:rsid w:val="7383282E"/>
    <w:rsid w:val="7386076C"/>
    <w:rsid w:val="738E59B0"/>
    <w:rsid w:val="738F520D"/>
    <w:rsid w:val="738F5872"/>
    <w:rsid w:val="7395275D"/>
    <w:rsid w:val="73985A48"/>
    <w:rsid w:val="7398711B"/>
    <w:rsid w:val="739A7C6F"/>
    <w:rsid w:val="739C3AEB"/>
    <w:rsid w:val="73A11102"/>
    <w:rsid w:val="73A115C0"/>
    <w:rsid w:val="73A756ED"/>
    <w:rsid w:val="73A82490"/>
    <w:rsid w:val="73AB1F81"/>
    <w:rsid w:val="73AB3D2F"/>
    <w:rsid w:val="73B13A3B"/>
    <w:rsid w:val="73B452D9"/>
    <w:rsid w:val="73B726D3"/>
    <w:rsid w:val="73BF31E9"/>
    <w:rsid w:val="73C13552"/>
    <w:rsid w:val="73C3376E"/>
    <w:rsid w:val="73CC2623"/>
    <w:rsid w:val="73CF5C6F"/>
    <w:rsid w:val="73D028F7"/>
    <w:rsid w:val="73D43285"/>
    <w:rsid w:val="73D72D76"/>
    <w:rsid w:val="73E32748"/>
    <w:rsid w:val="73E55492"/>
    <w:rsid w:val="73EA3012"/>
    <w:rsid w:val="73F27BAF"/>
    <w:rsid w:val="73F432FF"/>
    <w:rsid w:val="73F6144E"/>
    <w:rsid w:val="73F61F09"/>
    <w:rsid w:val="73F97190"/>
    <w:rsid w:val="73FB6A64"/>
    <w:rsid w:val="7400051E"/>
    <w:rsid w:val="74016CFC"/>
    <w:rsid w:val="74017DF2"/>
    <w:rsid w:val="74031DBD"/>
    <w:rsid w:val="74051691"/>
    <w:rsid w:val="74082FD3"/>
    <w:rsid w:val="740C48D9"/>
    <w:rsid w:val="74122000"/>
    <w:rsid w:val="74123DAE"/>
    <w:rsid w:val="74130252"/>
    <w:rsid w:val="741B7106"/>
    <w:rsid w:val="741E793C"/>
    <w:rsid w:val="7420296E"/>
    <w:rsid w:val="74213FF1"/>
    <w:rsid w:val="742400E9"/>
    <w:rsid w:val="742D6E39"/>
    <w:rsid w:val="742E4F45"/>
    <w:rsid w:val="742F18D2"/>
    <w:rsid w:val="742F667C"/>
    <w:rsid w:val="74312486"/>
    <w:rsid w:val="74324450"/>
    <w:rsid w:val="743326A2"/>
    <w:rsid w:val="743331FD"/>
    <w:rsid w:val="74381A66"/>
    <w:rsid w:val="743C0E2B"/>
    <w:rsid w:val="743D707D"/>
    <w:rsid w:val="74410A17"/>
    <w:rsid w:val="744523D5"/>
    <w:rsid w:val="74457850"/>
    <w:rsid w:val="74487DCD"/>
    <w:rsid w:val="744C72C0"/>
    <w:rsid w:val="74566390"/>
    <w:rsid w:val="74600FBD"/>
    <w:rsid w:val="74631ADE"/>
    <w:rsid w:val="74640AAD"/>
    <w:rsid w:val="746565D3"/>
    <w:rsid w:val="74675EA7"/>
    <w:rsid w:val="746A5998"/>
    <w:rsid w:val="746D092B"/>
    <w:rsid w:val="746D7236"/>
    <w:rsid w:val="74734539"/>
    <w:rsid w:val="7476301D"/>
    <w:rsid w:val="7476433D"/>
    <w:rsid w:val="74784559"/>
    <w:rsid w:val="74786307"/>
    <w:rsid w:val="74793E2D"/>
    <w:rsid w:val="747C2324"/>
    <w:rsid w:val="747E1443"/>
    <w:rsid w:val="747F19B3"/>
    <w:rsid w:val="74806E03"/>
    <w:rsid w:val="74821A87"/>
    <w:rsid w:val="748527D2"/>
    <w:rsid w:val="748C1DB2"/>
    <w:rsid w:val="748C3B60"/>
    <w:rsid w:val="748C590E"/>
    <w:rsid w:val="748D49CD"/>
    <w:rsid w:val="748F3650"/>
    <w:rsid w:val="74987F0D"/>
    <w:rsid w:val="7499002B"/>
    <w:rsid w:val="749B1FF5"/>
    <w:rsid w:val="749B5C86"/>
    <w:rsid w:val="749D6880"/>
    <w:rsid w:val="749D7B1B"/>
    <w:rsid w:val="74A50BEC"/>
    <w:rsid w:val="74A52E74"/>
    <w:rsid w:val="74AC35B3"/>
    <w:rsid w:val="74AE3AD6"/>
    <w:rsid w:val="74AE4B4E"/>
    <w:rsid w:val="74B135C7"/>
    <w:rsid w:val="74B314A3"/>
    <w:rsid w:val="74B64406"/>
    <w:rsid w:val="74B94727"/>
    <w:rsid w:val="74BA31C7"/>
    <w:rsid w:val="74BB6CD8"/>
    <w:rsid w:val="74BF5CE3"/>
    <w:rsid w:val="74C351B8"/>
    <w:rsid w:val="74C4779E"/>
    <w:rsid w:val="74CC2B9D"/>
    <w:rsid w:val="74D11CCC"/>
    <w:rsid w:val="74D15A17"/>
    <w:rsid w:val="74D472B5"/>
    <w:rsid w:val="74D47BEE"/>
    <w:rsid w:val="74D72C6A"/>
    <w:rsid w:val="74D97E42"/>
    <w:rsid w:val="74DD6779"/>
    <w:rsid w:val="74DE444F"/>
    <w:rsid w:val="74E05C5A"/>
    <w:rsid w:val="74E221F2"/>
    <w:rsid w:val="74E25E76"/>
    <w:rsid w:val="74E97204"/>
    <w:rsid w:val="74EC45FF"/>
    <w:rsid w:val="74F811F5"/>
    <w:rsid w:val="74F87447"/>
    <w:rsid w:val="74FC2045"/>
    <w:rsid w:val="74FD4A5E"/>
    <w:rsid w:val="74FF2584"/>
    <w:rsid w:val="75071439"/>
    <w:rsid w:val="750D643F"/>
    <w:rsid w:val="75183646"/>
    <w:rsid w:val="751A5610"/>
    <w:rsid w:val="751B4EE4"/>
    <w:rsid w:val="75232716"/>
    <w:rsid w:val="75241FEA"/>
    <w:rsid w:val="752975C2"/>
    <w:rsid w:val="752B15CB"/>
    <w:rsid w:val="752C70F1"/>
    <w:rsid w:val="752D7D55"/>
    <w:rsid w:val="752F1C88"/>
    <w:rsid w:val="7530273D"/>
    <w:rsid w:val="7532211D"/>
    <w:rsid w:val="7532680C"/>
    <w:rsid w:val="75394CD8"/>
    <w:rsid w:val="753B2769"/>
    <w:rsid w:val="753F0BD2"/>
    <w:rsid w:val="753F6E24"/>
    <w:rsid w:val="75412B9C"/>
    <w:rsid w:val="75426C6E"/>
    <w:rsid w:val="7544240E"/>
    <w:rsid w:val="754937FF"/>
    <w:rsid w:val="7553467E"/>
    <w:rsid w:val="75587EE6"/>
    <w:rsid w:val="75662603"/>
    <w:rsid w:val="756B19C7"/>
    <w:rsid w:val="75703448"/>
    <w:rsid w:val="75734D20"/>
    <w:rsid w:val="757765BE"/>
    <w:rsid w:val="75792336"/>
    <w:rsid w:val="757B16F4"/>
    <w:rsid w:val="757C3BD5"/>
    <w:rsid w:val="757C7B01"/>
    <w:rsid w:val="7581743D"/>
    <w:rsid w:val="75826D11"/>
    <w:rsid w:val="758D193E"/>
    <w:rsid w:val="758D4034"/>
    <w:rsid w:val="758D75E2"/>
    <w:rsid w:val="758E56B6"/>
    <w:rsid w:val="758F1B5A"/>
    <w:rsid w:val="75986327"/>
    <w:rsid w:val="759A04FF"/>
    <w:rsid w:val="759C7DD3"/>
    <w:rsid w:val="759F4EC0"/>
    <w:rsid w:val="75A35605"/>
    <w:rsid w:val="75AA17D7"/>
    <w:rsid w:val="75AD1FE0"/>
    <w:rsid w:val="75AD3D8E"/>
    <w:rsid w:val="75B96BD7"/>
    <w:rsid w:val="75BC0475"/>
    <w:rsid w:val="75BE0ADD"/>
    <w:rsid w:val="75C17839"/>
    <w:rsid w:val="75C67E24"/>
    <w:rsid w:val="75C74A70"/>
    <w:rsid w:val="75CA04F1"/>
    <w:rsid w:val="75CD61DE"/>
    <w:rsid w:val="75D22519"/>
    <w:rsid w:val="75D25EEA"/>
    <w:rsid w:val="75D47A25"/>
    <w:rsid w:val="75D5458D"/>
    <w:rsid w:val="75D83BE9"/>
    <w:rsid w:val="75E11C8A"/>
    <w:rsid w:val="75E31EA6"/>
    <w:rsid w:val="75E8126A"/>
    <w:rsid w:val="75EF0F06"/>
    <w:rsid w:val="75F06371"/>
    <w:rsid w:val="75F23E97"/>
    <w:rsid w:val="75F61BD9"/>
    <w:rsid w:val="75F776FF"/>
    <w:rsid w:val="75FE45EA"/>
    <w:rsid w:val="76065B94"/>
    <w:rsid w:val="760B64AF"/>
    <w:rsid w:val="760D47C2"/>
    <w:rsid w:val="7610431D"/>
    <w:rsid w:val="7613626B"/>
    <w:rsid w:val="76157B85"/>
    <w:rsid w:val="761734C3"/>
    <w:rsid w:val="76191F3F"/>
    <w:rsid w:val="761C7166"/>
    <w:rsid w:val="76206C56"/>
    <w:rsid w:val="762229CE"/>
    <w:rsid w:val="76285B0A"/>
    <w:rsid w:val="762F4F34"/>
    <w:rsid w:val="76312C11"/>
    <w:rsid w:val="76341118"/>
    <w:rsid w:val="76432944"/>
    <w:rsid w:val="76465F91"/>
    <w:rsid w:val="76472434"/>
    <w:rsid w:val="764C5FBF"/>
    <w:rsid w:val="764D19B8"/>
    <w:rsid w:val="7651022E"/>
    <w:rsid w:val="765B1A3C"/>
    <w:rsid w:val="765E777E"/>
    <w:rsid w:val="7662726E"/>
    <w:rsid w:val="766823AB"/>
    <w:rsid w:val="766905FD"/>
    <w:rsid w:val="766D176F"/>
    <w:rsid w:val="766E5C13"/>
    <w:rsid w:val="76736211"/>
    <w:rsid w:val="76742AFE"/>
    <w:rsid w:val="767945B8"/>
    <w:rsid w:val="767A350B"/>
    <w:rsid w:val="767D5E56"/>
    <w:rsid w:val="767E008B"/>
    <w:rsid w:val="767E397C"/>
    <w:rsid w:val="76816FC9"/>
    <w:rsid w:val="76830F93"/>
    <w:rsid w:val="768327DD"/>
    <w:rsid w:val="76880357"/>
    <w:rsid w:val="7688510D"/>
    <w:rsid w:val="768865A9"/>
    <w:rsid w:val="768A40CF"/>
    <w:rsid w:val="768C7E47"/>
    <w:rsid w:val="768F16E6"/>
    <w:rsid w:val="76927701"/>
    <w:rsid w:val="769413F2"/>
    <w:rsid w:val="76982666"/>
    <w:rsid w:val="769A21E7"/>
    <w:rsid w:val="769A6A08"/>
    <w:rsid w:val="769B008A"/>
    <w:rsid w:val="769D3E02"/>
    <w:rsid w:val="76A038F3"/>
    <w:rsid w:val="76A258BD"/>
    <w:rsid w:val="76A333E3"/>
    <w:rsid w:val="76A553AD"/>
    <w:rsid w:val="76AA4771"/>
    <w:rsid w:val="76AB19E8"/>
    <w:rsid w:val="76AD4308"/>
    <w:rsid w:val="76AE24B4"/>
    <w:rsid w:val="76BA0E58"/>
    <w:rsid w:val="76BD44A5"/>
    <w:rsid w:val="76BF021D"/>
    <w:rsid w:val="76C27D0D"/>
    <w:rsid w:val="76CE1B2D"/>
    <w:rsid w:val="76D31F1A"/>
    <w:rsid w:val="76D717A6"/>
    <w:rsid w:val="76DE441B"/>
    <w:rsid w:val="76E6765B"/>
    <w:rsid w:val="76E97048"/>
    <w:rsid w:val="76EA1012"/>
    <w:rsid w:val="76ED179B"/>
    <w:rsid w:val="76ED1FB3"/>
    <w:rsid w:val="76F61765"/>
    <w:rsid w:val="76F62D49"/>
    <w:rsid w:val="76F65C09"/>
    <w:rsid w:val="76F854DD"/>
    <w:rsid w:val="76FD2AF3"/>
    <w:rsid w:val="77100A78"/>
    <w:rsid w:val="77101B8D"/>
    <w:rsid w:val="77111884"/>
    <w:rsid w:val="771542E1"/>
    <w:rsid w:val="771A5453"/>
    <w:rsid w:val="771D36E6"/>
    <w:rsid w:val="771D4F43"/>
    <w:rsid w:val="771F319A"/>
    <w:rsid w:val="7720323B"/>
    <w:rsid w:val="77274B25"/>
    <w:rsid w:val="77291B3A"/>
    <w:rsid w:val="77297EB7"/>
    <w:rsid w:val="772C5186"/>
    <w:rsid w:val="772D6C40"/>
    <w:rsid w:val="772E7150"/>
    <w:rsid w:val="7733135F"/>
    <w:rsid w:val="7735228D"/>
    <w:rsid w:val="7735567E"/>
    <w:rsid w:val="77373B49"/>
    <w:rsid w:val="77387FCF"/>
    <w:rsid w:val="77426B90"/>
    <w:rsid w:val="77471FC0"/>
    <w:rsid w:val="77476464"/>
    <w:rsid w:val="77493F8A"/>
    <w:rsid w:val="7750356B"/>
    <w:rsid w:val="77521091"/>
    <w:rsid w:val="775947BB"/>
    <w:rsid w:val="77597468"/>
    <w:rsid w:val="775D3592"/>
    <w:rsid w:val="775F555C"/>
    <w:rsid w:val="77613082"/>
    <w:rsid w:val="7762586D"/>
    <w:rsid w:val="7763329E"/>
    <w:rsid w:val="776B5CAF"/>
    <w:rsid w:val="77707E71"/>
    <w:rsid w:val="77735147"/>
    <w:rsid w:val="77762421"/>
    <w:rsid w:val="77796881"/>
    <w:rsid w:val="77846CDF"/>
    <w:rsid w:val="779276DF"/>
    <w:rsid w:val="77933457"/>
    <w:rsid w:val="77972F48"/>
    <w:rsid w:val="779A47E6"/>
    <w:rsid w:val="779C40BA"/>
    <w:rsid w:val="779E0807"/>
    <w:rsid w:val="77A15B74"/>
    <w:rsid w:val="77AA1492"/>
    <w:rsid w:val="77B6195A"/>
    <w:rsid w:val="77B72606"/>
    <w:rsid w:val="77B83A96"/>
    <w:rsid w:val="77BA09E4"/>
    <w:rsid w:val="77BA0F87"/>
    <w:rsid w:val="77C87327"/>
    <w:rsid w:val="77CD4BBB"/>
    <w:rsid w:val="77D136FF"/>
    <w:rsid w:val="77D777E8"/>
    <w:rsid w:val="77D93560"/>
    <w:rsid w:val="77D94BF9"/>
    <w:rsid w:val="77E421DC"/>
    <w:rsid w:val="77E617D9"/>
    <w:rsid w:val="77E76882"/>
    <w:rsid w:val="77E77FA4"/>
    <w:rsid w:val="77EA751B"/>
    <w:rsid w:val="77EB3293"/>
    <w:rsid w:val="77F17064"/>
    <w:rsid w:val="77F35CA4"/>
    <w:rsid w:val="77F71C38"/>
    <w:rsid w:val="77FB0E29"/>
    <w:rsid w:val="77FE2261"/>
    <w:rsid w:val="77FE4D75"/>
    <w:rsid w:val="77FE6B23"/>
    <w:rsid w:val="77FF666B"/>
    <w:rsid w:val="780103C1"/>
    <w:rsid w:val="78016613"/>
    <w:rsid w:val="78047EB1"/>
    <w:rsid w:val="780600CD"/>
    <w:rsid w:val="780B1240"/>
    <w:rsid w:val="780C2FB1"/>
    <w:rsid w:val="780D4FB8"/>
    <w:rsid w:val="780F09F4"/>
    <w:rsid w:val="78104469"/>
    <w:rsid w:val="78106856"/>
    <w:rsid w:val="78113211"/>
    <w:rsid w:val="78146346"/>
    <w:rsid w:val="78153E6C"/>
    <w:rsid w:val="78174088"/>
    <w:rsid w:val="78186399"/>
    <w:rsid w:val="781A1483"/>
    <w:rsid w:val="781C169F"/>
    <w:rsid w:val="781E2C43"/>
    <w:rsid w:val="781F6A99"/>
    <w:rsid w:val="78283BA0"/>
    <w:rsid w:val="782B18E2"/>
    <w:rsid w:val="78324A1E"/>
    <w:rsid w:val="78395DAD"/>
    <w:rsid w:val="783A7A6C"/>
    <w:rsid w:val="783C1535"/>
    <w:rsid w:val="78434743"/>
    <w:rsid w:val="78454752"/>
    <w:rsid w:val="784F02E1"/>
    <w:rsid w:val="784F55D0"/>
    <w:rsid w:val="7851759A"/>
    <w:rsid w:val="785229A8"/>
    <w:rsid w:val="78564BB1"/>
    <w:rsid w:val="785901FD"/>
    <w:rsid w:val="785B21C7"/>
    <w:rsid w:val="785F0F7A"/>
    <w:rsid w:val="786170B2"/>
    <w:rsid w:val="786A41B8"/>
    <w:rsid w:val="786B1CDE"/>
    <w:rsid w:val="786C6182"/>
    <w:rsid w:val="786C7F30"/>
    <w:rsid w:val="7870237F"/>
    <w:rsid w:val="78760DAF"/>
    <w:rsid w:val="78793171"/>
    <w:rsid w:val="787943FB"/>
    <w:rsid w:val="787B4617"/>
    <w:rsid w:val="787D20B0"/>
    <w:rsid w:val="787E5EB6"/>
    <w:rsid w:val="787F02DF"/>
    <w:rsid w:val="788039DC"/>
    <w:rsid w:val="78810287"/>
    <w:rsid w:val="78824593"/>
    <w:rsid w:val="78857244"/>
    <w:rsid w:val="78874D6A"/>
    <w:rsid w:val="788E0130"/>
    <w:rsid w:val="78941235"/>
    <w:rsid w:val="7896196A"/>
    <w:rsid w:val="78964FAD"/>
    <w:rsid w:val="789C4F47"/>
    <w:rsid w:val="78A11715"/>
    <w:rsid w:val="78A37DFC"/>
    <w:rsid w:val="78A90480"/>
    <w:rsid w:val="78AC0BE6"/>
    <w:rsid w:val="78B1554E"/>
    <w:rsid w:val="78B418D7"/>
    <w:rsid w:val="78B43685"/>
    <w:rsid w:val="78B6564F"/>
    <w:rsid w:val="78B813C8"/>
    <w:rsid w:val="78BB4A14"/>
    <w:rsid w:val="78BD078C"/>
    <w:rsid w:val="78C25DA2"/>
    <w:rsid w:val="78C31B1A"/>
    <w:rsid w:val="78C7160B"/>
    <w:rsid w:val="78C7785D"/>
    <w:rsid w:val="78CC351E"/>
    <w:rsid w:val="78CC6C21"/>
    <w:rsid w:val="78D35BBD"/>
    <w:rsid w:val="78D36201"/>
    <w:rsid w:val="78D37FAF"/>
    <w:rsid w:val="78D646F6"/>
    <w:rsid w:val="78DA7590"/>
    <w:rsid w:val="78DF4BA6"/>
    <w:rsid w:val="78DF689A"/>
    <w:rsid w:val="78E20A03"/>
    <w:rsid w:val="78E22B8B"/>
    <w:rsid w:val="78E30EC4"/>
    <w:rsid w:val="78E81581"/>
    <w:rsid w:val="78E823A5"/>
    <w:rsid w:val="78E8315E"/>
    <w:rsid w:val="78EC2E1F"/>
    <w:rsid w:val="78F02F79"/>
    <w:rsid w:val="78F10436"/>
    <w:rsid w:val="78F817C4"/>
    <w:rsid w:val="78F9201C"/>
    <w:rsid w:val="78FA19E0"/>
    <w:rsid w:val="78FD0B56"/>
    <w:rsid w:val="78FE2B52"/>
    <w:rsid w:val="79002D6F"/>
    <w:rsid w:val="7904104F"/>
    <w:rsid w:val="790463BB"/>
    <w:rsid w:val="790939D1"/>
    <w:rsid w:val="790C526F"/>
    <w:rsid w:val="790C78A0"/>
    <w:rsid w:val="790D1571"/>
    <w:rsid w:val="790F182A"/>
    <w:rsid w:val="79122B54"/>
    <w:rsid w:val="791561D1"/>
    <w:rsid w:val="791650FE"/>
    <w:rsid w:val="79175833"/>
    <w:rsid w:val="791D747D"/>
    <w:rsid w:val="79244A8E"/>
    <w:rsid w:val="79297BCF"/>
    <w:rsid w:val="792A1B99"/>
    <w:rsid w:val="792C4CC9"/>
    <w:rsid w:val="79312F28"/>
    <w:rsid w:val="79330A4E"/>
    <w:rsid w:val="79352A18"/>
    <w:rsid w:val="7936053E"/>
    <w:rsid w:val="79365798"/>
    <w:rsid w:val="793A1DDD"/>
    <w:rsid w:val="793B7903"/>
    <w:rsid w:val="7940316B"/>
    <w:rsid w:val="79404F19"/>
    <w:rsid w:val="79442C5B"/>
    <w:rsid w:val="79490AB5"/>
    <w:rsid w:val="794C38BE"/>
    <w:rsid w:val="794C7D62"/>
    <w:rsid w:val="794E7636"/>
    <w:rsid w:val="79507852"/>
    <w:rsid w:val="79507900"/>
    <w:rsid w:val="79586707"/>
    <w:rsid w:val="79594081"/>
    <w:rsid w:val="79667075"/>
    <w:rsid w:val="79677B15"/>
    <w:rsid w:val="796D289A"/>
    <w:rsid w:val="796E36D6"/>
    <w:rsid w:val="796E46DA"/>
    <w:rsid w:val="79717E77"/>
    <w:rsid w:val="79752E15"/>
    <w:rsid w:val="79761652"/>
    <w:rsid w:val="79780B57"/>
    <w:rsid w:val="797950B4"/>
    <w:rsid w:val="797C0647"/>
    <w:rsid w:val="797D43BF"/>
    <w:rsid w:val="797D7F1B"/>
    <w:rsid w:val="797E7C8C"/>
    <w:rsid w:val="797F0137"/>
    <w:rsid w:val="79811327"/>
    <w:rsid w:val="798219D5"/>
    <w:rsid w:val="79865022"/>
    <w:rsid w:val="79894B12"/>
    <w:rsid w:val="798C015E"/>
    <w:rsid w:val="798C5D24"/>
    <w:rsid w:val="798D4602"/>
    <w:rsid w:val="798E2128"/>
    <w:rsid w:val="798E3ED6"/>
    <w:rsid w:val="799055DF"/>
    <w:rsid w:val="79905EA0"/>
    <w:rsid w:val="79935991"/>
    <w:rsid w:val="79951709"/>
    <w:rsid w:val="79974728"/>
    <w:rsid w:val="79983E20"/>
    <w:rsid w:val="79984D55"/>
    <w:rsid w:val="799D05BD"/>
    <w:rsid w:val="799D236B"/>
    <w:rsid w:val="79A11E5C"/>
    <w:rsid w:val="79A656C4"/>
    <w:rsid w:val="79AC0800"/>
    <w:rsid w:val="79AE0B68"/>
    <w:rsid w:val="79B31B8F"/>
    <w:rsid w:val="79B3393D"/>
    <w:rsid w:val="79B43D9D"/>
    <w:rsid w:val="79B74AA6"/>
    <w:rsid w:val="79B778D1"/>
    <w:rsid w:val="79B86634"/>
    <w:rsid w:val="79B867FD"/>
    <w:rsid w:val="79BA4CCB"/>
    <w:rsid w:val="79BD656A"/>
    <w:rsid w:val="79BE0C60"/>
    <w:rsid w:val="79C03F87"/>
    <w:rsid w:val="79C124FE"/>
    <w:rsid w:val="79C1605A"/>
    <w:rsid w:val="79C74BBD"/>
    <w:rsid w:val="79CD0EA3"/>
    <w:rsid w:val="79D35D8D"/>
    <w:rsid w:val="79D42231"/>
    <w:rsid w:val="79D45972"/>
    <w:rsid w:val="79D7587D"/>
    <w:rsid w:val="79D815F5"/>
    <w:rsid w:val="79DA35C0"/>
    <w:rsid w:val="79DB76E8"/>
    <w:rsid w:val="79DC10E6"/>
    <w:rsid w:val="79E104AA"/>
    <w:rsid w:val="79E157E7"/>
    <w:rsid w:val="79E503F1"/>
    <w:rsid w:val="79E65AC0"/>
    <w:rsid w:val="79E93803"/>
    <w:rsid w:val="79EA65F3"/>
    <w:rsid w:val="79ED50A1"/>
    <w:rsid w:val="79EF706B"/>
    <w:rsid w:val="79F20909"/>
    <w:rsid w:val="79F44681"/>
    <w:rsid w:val="79F62EF9"/>
    <w:rsid w:val="7A0B19CB"/>
    <w:rsid w:val="7A0D129F"/>
    <w:rsid w:val="7A137FC7"/>
    <w:rsid w:val="7A1E16FE"/>
    <w:rsid w:val="7A1F0FD2"/>
    <w:rsid w:val="7A22231A"/>
    <w:rsid w:val="7A24780B"/>
    <w:rsid w:val="7A274CFC"/>
    <w:rsid w:val="7A293BFF"/>
    <w:rsid w:val="7A2A3180"/>
    <w:rsid w:val="7A2B5BC9"/>
    <w:rsid w:val="7A316DFD"/>
    <w:rsid w:val="7A364017"/>
    <w:rsid w:val="7A3B22B0"/>
    <w:rsid w:val="7A3E58FC"/>
    <w:rsid w:val="7A3E76AA"/>
    <w:rsid w:val="7A410F49"/>
    <w:rsid w:val="7A461F44"/>
    <w:rsid w:val="7A48677B"/>
    <w:rsid w:val="7A4B626B"/>
    <w:rsid w:val="7A4C55E3"/>
    <w:rsid w:val="7A4F717B"/>
    <w:rsid w:val="7A517F69"/>
    <w:rsid w:val="7A523156"/>
    <w:rsid w:val="7A5427A8"/>
    <w:rsid w:val="7A5527C7"/>
    <w:rsid w:val="7A592736"/>
    <w:rsid w:val="7A5944E4"/>
    <w:rsid w:val="7A5A200A"/>
    <w:rsid w:val="7A5E1AFB"/>
    <w:rsid w:val="7A644CBB"/>
    <w:rsid w:val="7A665F33"/>
    <w:rsid w:val="7A6660F8"/>
    <w:rsid w:val="7A6B1967"/>
    <w:rsid w:val="7A6D48C0"/>
    <w:rsid w:val="7A6F3D08"/>
    <w:rsid w:val="7A70182E"/>
    <w:rsid w:val="7A715CD2"/>
    <w:rsid w:val="7A7C3632"/>
    <w:rsid w:val="7A7C6425"/>
    <w:rsid w:val="7A7E03EF"/>
    <w:rsid w:val="7A8265E1"/>
    <w:rsid w:val="7A8A6D94"/>
    <w:rsid w:val="7A8B5A6A"/>
    <w:rsid w:val="7A8F43AA"/>
    <w:rsid w:val="7A903C7E"/>
    <w:rsid w:val="7A9674E6"/>
    <w:rsid w:val="7A9B4AFD"/>
    <w:rsid w:val="7A9E639B"/>
    <w:rsid w:val="7AA339B1"/>
    <w:rsid w:val="7AA54D02"/>
    <w:rsid w:val="7AA61D41"/>
    <w:rsid w:val="7AAA2F92"/>
    <w:rsid w:val="7AAB2866"/>
    <w:rsid w:val="7AAF05A8"/>
    <w:rsid w:val="7AB07CD4"/>
    <w:rsid w:val="7AB21E46"/>
    <w:rsid w:val="7AB45BBF"/>
    <w:rsid w:val="7AB636E5"/>
    <w:rsid w:val="7AB756AF"/>
    <w:rsid w:val="7AB84E03"/>
    <w:rsid w:val="7AB93FBB"/>
    <w:rsid w:val="7AB94F83"/>
    <w:rsid w:val="7ABB519F"/>
    <w:rsid w:val="7AC322A6"/>
    <w:rsid w:val="7AC57DCC"/>
    <w:rsid w:val="7AC676A0"/>
    <w:rsid w:val="7ACD6C80"/>
    <w:rsid w:val="7ACE4ED2"/>
    <w:rsid w:val="7AD47448"/>
    <w:rsid w:val="7ADB75EF"/>
    <w:rsid w:val="7ADF6323"/>
    <w:rsid w:val="7AE475C4"/>
    <w:rsid w:val="7AE9497B"/>
    <w:rsid w:val="7AED10D1"/>
    <w:rsid w:val="7AF10BC1"/>
    <w:rsid w:val="7AF540C0"/>
    <w:rsid w:val="7AF75AAB"/>
    <w:rsid w:val="7AF842F9"/>
    <w:rsid w:val="7AFA2D33"/>
    <w:rsid w:val="7B0F7299"/>
    <w:rsid w:val="7B14665D"/>
    <w:rsid w:val="7B187EFC"/>
    <w:rsid w:val="7B191EC6"/>
    <w:rsid w:val="7B1D19B6"/>
    <w:rsid w:val="7B1D5512"/>
    <w:rsid w:val="7B256ABC"/>
    <w:rsid w:val="7B2745E3"/>
    <w:rsid w:val="7B2C3224"/>
    <w:rsid w:val="7B2F3497"/>
    <w:rsid w:val="7B362A78"/>
    <w:rsid w:val="7B3650A3"/>
    <w:rsid w:val="7B3B410F"/>
    <w:rsid w:val="7B424F78"/>
    <w:rsid w:val="7B42766E"/>
    <w:rsid w:val="7B43689E"/>
    <w:rsid w:val="7B450F0D"/>
    <w:rsid w:val="7B4738E3"/>
    <w:rsid w:val="7B474C85"/>
    <w:rsid w:val="7B486307"/>
    <w:rsid w:val="7B4E1B6F"/>
    <w:rsid w:val="7B4E6013"/>
    <w:rsid w:val="7B5074D8"/>
    <w:rsid w:val="7B537186"/>
    <w:rsid w:val="7B5770BD"/>
    <w:rsid w:val="7B58479C"/>
    <w:rsid w:val="7B5E1E17"/>
    <w:rsid w:val="7B5E43AD"/>
    <w:rsid w:val="7B5F1FCE"/>
    <w:rsid w:val="7B686D42"/>
    <w:rsid w:val="7B6969A9"/>
    <w:rsid w:val="7B6A54D9"/>
    <w:rsid w:val="7B727A53"/>
    <w:rsid w:val="7B7470FC"/>
    <w:rsid w:val="7B787471"/>
    <w:rsid w:val="7B7A0FC8"/>
    <w:rsid w:val="7B7D06A6"/>
    <w:rsid w:val="7B7F61CD"/>
    <w:rsid w:val="7B810197"/>
    <w:rsid w:val="7B841746"/>
    <w:rsid w:val="7B845591"/>
    <w:rsid w:val="7B851222"/>
    <w:rsid w:val="7B886713"/>
    <w:rsid w:val="7B8B207E"/>
    <w:rsid w:val="7B8B4B71"/>
    <w:rsid w:val="7B8D7AD7"/>
    <w:rsid w:val="7B925FE7"/>
    <w:rsid w:val="7B98103C"/>
    <w:rsid w:val="7B9A3A6E"/>
    <w:rsid w:val="7B9A4DB4"/>
    <w:rsid w:val="7B9C6D7F"/>
    <w:rsid w:val="7B9D6653"/>
    <w:rsid w:val="7B9F061D"/>
    <w:rsid w:val="7B9F5824"/>
    <w:rsid w:val="7BA14395"/>
    <w:rsid w:val="7BA2010D"/>
    <w:rsid w:val="7BA53E28"/>
    <w:rsid w:val="7BA63759"/>
    <w:rsid w:val="7BA94FF8"/>
    <w:rsid w:val="7BB50314"/>
    <w:rsid w:val="7BB75966"/>
    <w:rsid w:val="7BB816DF"/>
    <w:rsid w:val="7BBF2A6D"/>
    <w:rsid w:val="7BC25D04"/>
    <w:rsid w:val="7BC8132E"/>
    <w:rsid w:val="7BCD6162"/>
    <w:rsid w:val="7BD302C6"/>
    <w:rsid w:val="7BD3786A"/>
    <w:rsid w:val="7BD61B65"/>
    <w:rsid w:val="7BD858DD"/>
    <w:rsid w:val="7BE44282"/>
    <w:rsid w:val="7BE55C9F"/>
    <w:rsid w:val="7BE61DA8"/>
    <w:rsid w:val="7BE6624C"/>
    <w:rsid w:val="7BE81FC4"/>
    <w:rsid w:val="7BE92C4E"/>
    <w:rsid w:val="7BFA3C79"/>
    <w:rsid w:val="7BFB1745"/>
    <w:rsid w:val="7BFC15CB"/>
    <w:rsid w:val="7C003D20"/>
    <w:rsid w:val="7C0045FA"/>
    <w:rsid w:val="7C042B76"/>
    <w:rsid w:val="7C06069C"/>
    <w:rsid w:val="7C075F3B"/>
    <w:rsid w:val="7C1032C9"/>
    <w:rsid w:val="7C1508DF"/>
    <w:rsid w:val="7C174418"/>
    <w:rsid w:val="7C176405"/>
    <w:rsid w:val="7C1B0ED7"/>
    <w:rsid w:val="7C1C3A1B"/>
    <w:rsid w:val="7C1F5E30"/>
    <w:rsid w:val="7C246915"/>
    <w:rsid w:val="7C253132"/>
    <w:rsid w:val="7C330D65"/>
    <w:rsid w:val="7C3426EC"/>
    <w:rsid w:val="7C362E56"/>
    <w:rsid w:val="7C376AA7"/>
    <w:rsid w:val="7C3C40BE"/>
    <w:rsid w:val="7C3E6D39"/>
    <w:rsid w:val="7C3F3BAE"/>
    <w:rsid w:val="7C464F3C"/>
    <w:rsid w:val="7C491437"/>
    <w:rsid w:val="7C4C69A8"/>
    <w:rsid w:val="7C4F3DF1"/>
    <w:rsid w:val="7C5076B5"/>
    <w:rsid w:val="7C5331B5"/>
    <w:rsid w:val="7C611D76"/>
    <w:rsid w:val="7C622F4D"/>
    <w:rsid w:val="7C63789C"/>
    <w:rsid w:val="7C644183"/>
    <w:rsid w:val="7C653614"/>
    <w:rsid w:val="7C660AA6"/>
    <w:rsid w:val="7C730E76"/>
    <w:rsid w:val="7C743857"/>
    <w:rsid w:val="7C75312C"/>
    <w:rsid w:val="7C7C270C"/>
    <w:rsid w:val="7C7C44BA"/>
    <w:rsid w:val="7C7F3FAA"/>
    <w:rsid w:val="7C8021FC"/>
    <w:rsid w:val="7C8724CE"/>
    <w:rsid w:val="7C896BD7"/>
    <w:rsid w:val="7C8D3F98"/>
    <w:rsid w:val="7C943EFA"/>
    <w:rsid w:val="7C950E2A"/>
    <w:rsid w:val="7C952014"/>
    <w:rsid w:val="7C95557C"/>
    <w:rsid w:val="7C9663A3"/>
    <w:rsid w:val="7C98391B"/>
    <w:rsid w:val="7C99506C"/>
    <w:rsid w:val="7C9C6796"/>
    <w:rsid w:val="7CA57EB5"/>
    <w:rsid w:val="7CA617D4"/>
    <w:rsid w:val="7CA67789"/>
    <w:rsid w:val="7CA83501"/>
    <w:rsid w:val="7CB11896"/>
    <w:rsid w:val="7CB50DE1"/>
    <w:rsid w:val="7CB63E70"/>
    <w:rsid w:val="7CB67090"/>
    <w:rsid w:val="7CB9570E"/>
    <w:rsid w:val="7CBC0D5A"/>
    <w:rsid w:val="7CBE7230"/>
    <w:rsid w:val="7CC12815"/>
    <w:rsid w:val="7CC145C3"/>
    <w:rsid w:val="7CC16371"/>
    <w:rsid w:val="7CCA3477"/>
    <w:rsid w:val="7CCB71F0"/>
    <w:rsid w:val="7CCB74A0"/>
    <w:rsid w:val="7CCF0A8E"/>
    <w:rsid w:val="7CCF4C6B"/>
    <w:rsid w:val="7CD10CAA"/>
    <w:rsid w:val="7CD16601"/>
    <w:rsid w:val="7CD2057E"/>
    <w:rsid w:val="7CD460A4"/>
    <w:rsid w:val="7CDB37F5"/>
    <w:rsid w:val="7CDE5175"/>
    <w:rsid w:val="7CE26411"/>
    <w:rsid w:val="7CE502B1"/>
    <w:rsid w:val="7CE65DD7"/>
    <w:rsid w:val="7CE7227B"/>
    <w:rsid w:val="7CEC1640"/>
    <w:rsid w:val="7CF348C1"/>
    <w:rsid w:val="7CF36423"/>
    <w:rsid w:val="7CF4523D"/>
    <w:rsid w:val="7CF93D5D"/>
    <w:rsid w:val="7CFD1A9F"/>
    <w:rsid w:val="7CFE75C5"/>
    <w:rsid w:val="7D0050EB"/>
    <w:rsid w:val="7D0239FF"/>
    <w:rsid w:val="7D034BDB"/>
    <w:rsid w:val="7D0428EB"/>
    <w:rsid w:val="7D0467C0"/>
    <w:rsid w:val="7D0A41BC"/>
    <w:rsid w:val="7D0D15B6"/>
    <w:rsid w:val="7D0E1EA7"/>
    <w:rsid w:val="7D0E2B49"/>
    <w:rsid w:val="7D115EA6"/>
    <w:rsid w:val="7D130900"/>
    <w:rsid w:val="7D142945"/>
    <w:rsid w:val="7D180687"/>
    <w:rsid w:val="7D1961AD"/>
    <w:rsid w:val="7D221505"/>
    <w:rsid w:val="7D225061"/>
    <w:rsid w:val="7D23702C"/>
    <w:rsid w:val="7D242BDB"/>
    <w:rsid w:val="7D252DA4"/>
    <w:rsid w:val="7D284642"/>
    <w:rsid w:val="7D2B623C"/>
    <w:rsid w:val="7D2D1C58"/>
    <w:rsid w:val="7D2E7EAA"/>
    <w:rsid w:val="7D3134F6"/>
    <w:rsid w:val="7D33726F"/>
    <w:rsid w:val="7D344D95"/>
    <w:rsid w:val="7D366D5F"/>
    <w:rsid w:val="7D37575A"/>
    <w:rsid w:val="7D380D29"/>
    <w:rsid w:val="7D3E5C13"/>
    <w:rsid w:val="7D3F0F24"/>
    <w:rsid w:val="7D4274B2"/>
    <w:rsid w:val="7D4A0A5C"/>
    <w:rsid w:val="7D4E22FA"/>
    <w:rsid w:val="7D513B99"/>
    <w:rsid w:val="7D52346D"/>
    <w:rsid w:val="7D580A83"/>
    <w:rsid w:val="7D5B4A17"/>
    <w:rsid w:val="7D5B67C5"/>
    <w:rsid w:val="7D5E0064"/>
    <w:rsid w:val="7D5E40CD"/>
    <w:rsid w:val="7D605B8A"/>
    <w:rsid w:val="7D6531A0"/>
    <w:rsid w:val="7D693BED"/>
    <w:rsid w:val="7D694C7C"/>
    <w:rsid w:val="7D6C09D3"/>
    <w:rsid w:val="7D6C2781"/>
    <w:rsid w:val="7D6F2271"/>
    <w:rsid w:val="7D705BFF"/>
    <w:rsid w:val="7D711B45"/>
    <w:rsid w:val="7D761851"/>
    <w:rsid w:val="7D7D04EA"/>
    <w:rsid w:val="7D824B7F"/>
    <w:rsid w:val="7D885CBB"/>
    <w:rsid w:val="7D8950E1"/>
    <w:rsid w:val="7D8B70AB"/>
    <w:rsid w:val="7D8C4BD1"/>
    <w:rsid w:val="7D8F0799"/>
    <w:rsid w:val="7D902F9C"/>
    <w:rsid w:val="7D944F65"/>
    <w:rsid w:val="7D9558DE"/>
    <w:rsid w:val="7D957F29"/>
    <w:rsid w:val="7D961A6D"/>
    <w:rsid w:val="7D983576"/>
    <w:rsid w:val="7D9B1B39"/>
    <w:rsid w:val="7D9D6DDE"/>
    <w:rsid w:val="7D9F4904"/>
    <w:rsid w:val="7DA0067C"/>
    <w:rsid w:val="7DA4016C"/>
    <w:rsid w:val="7DA61F6B"/>
    <w:rsid w:val="7DA95783"/>
    <w:rsid w:val="7DB06B11"/>
    <w:rsid w:val="7DB3215D"/>
    <w:rsid w:val="7DB87774"/>
    <w:rsid w:val="7DB92447"/>
    <w:rsid w:val="7DBF0B02"/>
    <w:rsid w:val="7DC10D1E"/>
    <w:rsid w:val="7DC51888"/>
    <w:rsid w:val="7DC600E3"/>
    <w:rsid w:val="7DC92BE0"/>
    <w:rsid w:val="7DCA74A7"/>
    <w:rsid w:val="7DCE51E9"/>
    <w:rsid w:val="7DCE5B9D"/>
    <w:rsid w:val="7DD16A88"/>
    <w:rsid w:val="7DD37B87"/>
    <w:rsid w:val="7DD44EEC"/>
    <w:rsid w:val="7DD722F0"/>
    <w:rsid w:val="7DD81BC4"/>
    <w:rsid w:val="7DD86068"/>
    <w:rsid w:val="7DDC2D72"/>
    <w:rsid w:val="7DDE34B5"/>
    <w:rsid w:val="7DDF2F52"/>
    <w:rsid w:val="7DE67D76"/>
    <w:rsid w:val="7DEB7B49"/>
    <w:rsid w:val="7DF12C86"/>
    <w:rsid w:val="7DF34C50"/>
    <w:rsid w:val="7DF52776"/>
    <w:rsid w:val="7DF656E8"/>
    <w:rsid w:val="7DFA5FDE"/>
    <w:rsid w:val="7E052BDE"/>
    <w:rsid w:val="7E0724A9"/>
    <w:rsid w:val="7E096221"/>
    <w:rsid w:val="7E0B440B"/>
    <w:rsid w:val="7E0D5D12"/>
    <w:rsid w:val="7E12157A"/>
    <w:rsid w:val="7E132BFC"/>
    <w:rsid w:val="7E1370A0"/>
    <w:rsid w:val="7E1532BF"/>
    <w:rsid w:val="7E181017"/>
    <w:rsid w:val="7E192908"/>
    <w:rsid w:val="7E1B52D0"/>
    <w:rsid w:val="7E1D624C"/>
    <w:rsid w:val="7E2117BD"/>
    <w:rsid w:val="7E24305B"/>
    <w:rsid w:val="7E246BF6"/>
    <w:rsid w:val="7E26714B"/>
    <w:rsid w:val="7E292420"/>
    <w:rsid w:val="7E2E5C88"/>
    <w:rsid w:val="7E325778"/>
    <w:rsid w:val="7E3C666E"/>
    <w:rsid w:val="7E3E37D9"/>
    <w:rsid w:val="7E3E411D"/>
    <w:rsid w:val="7E3F1C43"/>
    <w:rsid w:val="7E4215D3"/>
    <w:rsid w:val="7E436AA7"/>
    <w:rsid w:val="7E461224"/>
    <w:rsid w:val="7E4D6024"/>
    <w:rsid w:val="7E4E04C2"/>
    <w:rsid w:val="7E50377C"/>
    <w:rsid w:val="7E5637D7"/>
    <w:rsid w:val="7E573431"/>
    <w:rsid w:val="7E58122B"/>
    <w:rsid w:val="7E5C45A3"/>
    <w:rsid w:val="7E5E1C1A"/>
    <w:rsid w:val="7E5F4093"/>
    <w:rsid w:val="7E5F7640"/>
    <w:rsid w:val="7E68119A"/>
    <w:rsid w:val="7E6873EC"/>
    <w:rsid w:val="7E696CC0"/>
    <w:rsid w:val="7E6D1E3F"/>
    <w:rsid w:val="7E6D67B0"/>
    <w:rsid w:val="7E727D04"/>
    <w:rsid w:val="7E751B09"/>
    <w:rsid w:val="7E762DB4"/>
    <w:rsid w:val="7E7A0ECD"/>
    <w:rsid w:val="7E7B3C1E"/>
    <w:rsid w:val="7E7C69F3"/>
    <w:rsid w:val="7E8104AE"/>
    <w:rsid w:val="7E81225C"/>
    <w:rsid w:val="7E8448A3"/>
    <w:rsid w:val="7E851D4C"/>
    <w:rsid w:val="7E8769F7"/>
    <w:rsid w:val="7E8B30DA"/>
    <w:rsid w:val="7E8D6E52"/>
    <w:rsid w:val="7E9401E1"/>
    <w:rsid w:val="7E9417C7"/>
    <w:rsid w:val="7E97382D"/>
    <w:rsid w:val="7E980196"/>
    <w:rsid w:val="7E9F0934"/>
    <w:rsid w:val="7E9F14AB"/>
    <w:rsid w:val="7EA30424"/>
    <w:rsid w:val="7EA33FDE"/>
    <w:rsid w:val="7EA40AE0"/>
    <w:rsid w:val="7EA61CC2"/>
    <w:rsid w:val="7EA67F14"/>
    <w:rsid w:val="7EAB552B"/>
    <w:rsid w:val="7EB264E4"/>
    <w:rsid w:val="7EB56F67"/>
    <w:rsid w:val="7EB726BC"/>
    <w:rsid w:val="7EB77A2B"/>
    <w:rsid w:val="7EB837A6"/>
    <w:rsid w:val="7EBB6578"/>
    <w:rsid w:val="7EBE7F49"/>
    <w:rsid w:val="7EC21B0F"/>
    <w:rsid w:val="7EC62364"/>
    <w:rsid w:val="7EC65EC0"/>
    <w:rsid w:val="7EC860DC"/>
    <w:rsid w:val="7ECB797B"/>
    <w:rsid w:val="7ECD36F3"/>
    <w:rsid w:val="7ED455CC"/>
    <w:rsid w:val="7ED71E7C"/>
    <w:rsid w:val="7ED92098"/>
    <w:rsid w:val="7ED95BF4"/>
    <w:rsid w:val="7EDC7492"/>
    <w:rsid w:val="7EDE40B7"/>
    <w:rsid w:val="7EE527EB"/>
    <w:rsid w:val="7EE54599"/>
    <w:rsid w:val="7EED5B43"/>
    <w:rsid w:val="7EEE23D2"/>
    <w:rsid w:val="7EEE3597"/>
    <w:rsid w:val="7EF42A2E"/>
    <w:rsid w:val="7EF46ED2"/>
    <w:rsid w:val="7EF7251E"/>
    <w:rsid w:val="7EF742CC"/>
    <w:rsid w:val="7F0709B3"/>
    <w:rsid w:val="7F080C04"/>
    <w:rsid w:val="7F0864D9"/>
    <w:rsid w:val="7F0A6D29"/>
    <w:rsid w:val="7F0B7D77"/>
    <w:rsid w:val="7F0C5FC9"/>
    <w:rsid w:val="7F0F5AB9"/>
    <w:rsid w:val="7F10538E"/>
    <w:rsid w:val="7F1629A4"/>
    <w:rsid w:val="7F1950C0"/>
    <w:rsid w:val="7F1B1B92"/>
    <w:rsid w:val="7F250E39"/>
    <w:rsid w:val="7F264BB1"/>
    <w:rsid w:val="7F2C0419"/>
    <w:rsid w:val="7F2D4191"/>
    <w:rsid w:val="7F2D7CEE"/>
    <w:rsid w:val="7F3124A9"/>
    <w:rsid w:val="7F3217A8"/>
    <w:rsid w:val="7F364DF4"/>
    <w:rsid w:val="7F405C73"/>
    <w:rsid w:val="7F4219EB"/>
    <w:rsid w:val="7F435763"/>
    <w:rsid w:val="7F437511"/>
    <w:rsid w:val="7F4A4D43"/>
    <w:rsid w:val="7F4C0ABC"/>
    <w:rsid w:val="7F4C4618"/>
    <w:rsid w:val="7F565ECA"/>
    <w:rsid w:val="7F597551"/>
    <w:rsid w:val="7F5E434B"/>
    <w:rsid w:val="7F625BE9"/>
    <w:rsid w:val="7F645E05"/>
    <w:rsid w:val="7F69341C"/>
    <w:rsid w:val="7F6A2CF0"/>
    <w:rsid w:val="7F6C2F0C"/>
    <w:rsid w:val="7F6C6A68"/>
    <w:rsid w:val="7F731D53"/>
    <w:rsid w:val="7F73429A"/>
    <w:rsid w:val="7F74591C"/>
    <w:rsid w:val="7F7A0869"/>
    <w:rsid w:val="7F7D0C75"/>
    <w:rsid w:val="7F7D2A23"/>
    <w:rsid w:val="7F7E49ED"/>
    <w:rsid w:val="7F7F7177"/>
    <w:rsid w:val="7F88735E"/>
    <w:rsid w:val="7F8F09A8"/>
    <w:rsid w:val="7F916650"/>
    <w:rsid w:val="7F9935D5"/>
    <w:rsid w:val="7F9D1317"/>
    <w:rsid w:val="7F9E7405"/>
    <w:rsid w:val="7F9F508F"/>
    <w:rsid w:val="7FA12C09"/>
    <w:rsid w:val="7FA206DC"/>
    <w:rsid w:val="7FA2692E"/>
    <w:rsid w:val="7FA44454"/>
    <w:rsid w:val="7FA44DC6"/>
    <w:rsid w:val="7FA91A6A"/>
    <w:rsid w:val="7FA96067"/>
    <w:rsid w:val="7FA97CBC"/>
    <w:rsid w:val="7FB64187"/>
    <w:rsid w:val="7FB83A5B"/>
    <w:rsid w:val="7FB87EFF"/>
    <w:rsid w:val="7FBE40A5"/>
    <w:rsid w:val="7FBE43E0"/>
    <w:rsid w:val="7FBF303C"/>
    <w:rsid w:val="7FC00B62"/>
    <w:rsid w:val="7FC37379"/>
    <w:rsid w:val="7FC70142"/>
    <w:rsid w:val="7FC76394"/>
    <w:rsid w:val="7FC95C68"/>
    <w:rsid w:val="7FCC39AA"/>
    <w:rsid w:val="7FCE0C2C"/>
    <w:rsid w:val="7FCE327F"/>
    <w:rsid w:val="7FD5285F"/>
    <w:rsid w:val="7FDB04BF"/>
    <w:rsid w:val="7FDF527F"/>
    <w:rsid w:val="7FE24F7C"/>
    <w:rsid w:val="7FE47E50"/>
    <w:rsid w:val="7FE707E4"/>
    <w:rsid w:val="7FE80BDA"/>
    <w:rsid w:val="7FE95C0C"/>
    <w:rsid w:val="7FEA3E31"/>
    <w:rsid w:val="7FEE3921"/>
    <w:rsid w:val="7FF56A5D"/>
    <w:rsid w:val="7FF57F11"/>
    <w:rsid w:val="7FF75AFE"/>
    <w:rsid w:val="7FF7723F"/>
    <w:rsid w:val="7FF802F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99"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ocked="1"/>
    <w:lsdException w:qFormat="1"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qFormat="1" w:unhideWhenUsed="0" w:uiPriority="0" w:semiHidden="0" w:name="toc 6" w:locked="1"/>
    <w:lsdException w:unhideWhenUsed="0" w:uiPriority="0" w:semiHidden="0" w:name="toc 7" w:locked="1"/>
    <w:lsdException w:unhideWhenUsed="0" w:uiPriority="0" w:semiHidden="0" w:name="toc 8" w:locked="1"/>
    <w:lsdException w:qFormat="1" w:unhideWhenUsed="0" w:uiPriority="39" w:semiHidden="0" w:name="toc 9" w:locked="1"/>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ocked="1"/>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ocked="1"/>
    <w:lsdException w:qFormat="1" w:unhideWhenUsed="0" w:uiPriority="0" w:semiHidden="0" w:name="Emphasis" w:locked="1"/>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5">
    <w:name w:val="heading 1"/>
    <w:basedOn w:val="1"/>
    <w:next w:val="1"/>
    <w:link w:val="139"/>
    <w:autoRedefine/>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6">
    <w:name w:val="heading 2"/>
    <w:basedOn w:val="1"/>
    <w:next w:val="1"/>
    <w:link w:val="140"/>
    <w:autoRedefine/>
    <w:qFormat/>
    <w:locked/>
    <w:uiPriority w:val="0"/>
    <w:pPr>
      <w:keepNext/>
      <w:keepLines/>
      <w:spacing w:before="260" w:after="260" w:line="416" w:lineRule="auto"/>
      <w:outlineLvl w:val="1"/>
    </w:pPr>
    <w:rPr>
      <w:rFonts w:ascii="Arial" w:hAnsi="Arial" w:eastAsia="黑体"/>
      <w:b/>
      <w:bCs/>
      <w:sz w:val="32"/>
      <w:szCs w:val="32"/>
    </w:rPr>
  </w:style>
  <w:style w:type="paragraph" w:styleId="7">
    <w:name w:val="heading 3"/>
    <w:basedOn w:val="1"/>
    <w:next w:val="1"/>
    <w:autoRedefine/>
    <w:qFormat/>
    <w:locked/>
    <w:uiPriority w:val="0"/>
    <w:pPr>
      <w:numPr>
        <w:ilvl w:val="2"/>
        <w:numId w:val="1"/>
      </w:numPr>
      <w:spacing w:before="50" w:beforeLines="50"/>
      <w:ind w:left="0" w:firstLine="0"/>
      <w:jc w:val="left"/>
      <w:outlineLvl w:val="2"/>
    </w:pPr>
    <w:rPr>
      <w:b/>
      <w:sz w:val="28"/>
    </w:rPr>
  </w:style>
  <w:style w:type="paragraph" w:styleId="8">
    <w:name w:val="heading 4"/>
    <w:basedOn w:val="1"/>
    <w:next w:val="1"/>
    <w:autoRedefine/>
    <w:qFormat/>
    <w:locked/>
    <w:uiPriority w:val="99"/>
    <w:pPr>
      <w:keepNext/>
      <w:keepLines/>
      <w:numPr>
        <w:ilvl w:val="3"/>
        <w:numId w:val="1"/>
      </w:numPr>
      <w:ind w:left="0" w:firstLine="0"/>
      <w:jc w:val="left"/>
      <w:outlineLvl w:val="3"/>
    </w:pPr>
    <w:rPr>
      <w:b/>
      <w:bCs/>
      <w:szCs w:val="28"/>
    </w:rPr>
  </w:style>
  <w:style w:type="character" w:default="1" w:styleId="36">
    <w:name w:val="Default Paragraph Font"/>
    <w:autoRedefine/>
    <w:semiHidden/>
    <w:unhideWhenUsed/>
    <w:qFormat/>
    <w:uiPriority w:val="1"/>
  </w:style>
  <w:style w:type="table" w:default="1" w:styleId="34">
    <w:name w:val="Normal Table"/>
    <w:autoRedefin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Body Text First Indent"/>
    <w:basedOn w:val="1"/>
    <w:next w:val="3"/>
    <w:autoRedefine/>
    <w:qFormat/>
    <w:uiPriority w:val="0"/>
    <w:pPr>
      <w:ind w:firstLine="420" w:firstLineChars="100"/>
    </w:pPr>
  </w:style>
  <w:style w:type="paragraph" w:customStyle="1" w:styleId="3">
    <w:name w:val="样式 正文首行缩进 + 首行缩进:  2 字符1"/>
    <w:basedOn w:val="2"/>
    <w:next w:val="4"/>
    <w:autoRedefine/>
    <w:qFormat/>
    <w:uiPriority w:val="0"/>
    <w:pPr>
      <w:spacing w:line="360" w:lineRule="auto"/>
      <w:ind w:firstLine="480" w:firstLineChars="200"/>
    </w:pPr>
    <w:rPr>
      <w:sz w:val="24"/>
    </w:rPr>
  </w:style>
  <w:style w:type="paragraph" w:styleId="4">
    <w:name w:val="toc 1"/>
    <w:basedOn w:val="1"/>
    <w:next w:val="1"/>
    <w:autoRedefine/>
    <w:qFormat/>
    <w:locked/>
    <w:uiPriority w:val="0"/>
    <w:pPr>
      <w:spacing w:line="360" w:lineRule="auto"/>
    </w:pPr>
    <w:rPr>
      <w:b/>
      <w:sz w:val="24"/>
    </w:rPr>
  </w:style>
  <w:style w:type="paragraph" w:styleId="9">
    <w:name w:val="Normal Indent"/>
    <w:basedOn w:val="1"/>
    <w:next w:val="1"/>
    <w:autoRedefine/>
    <w:qFormat/>
    <w:uiPriority w:val="0"/>
    <w:pPr>
      <w:spacing w:line="460" w:lineRule="atLeast"/>
      <w:ind w:firstLine="420"/>
    </w:pPr>
    <w:rPr>
      <w:szCs w:val="20"/>
    </w:rPr>
  </w:style>
  <w:style w:type="paragraph" w:styleId="10">
    <w:name w:val="caption"/>
    <w:basedOn w:val="1"/>
    <w:next w:val="1"/>
    <w:autoRedefine/>
    <w:qFormat/>
    <w:locked/>
    <w:uiPriority w:val="0"/>
    <w:rPr>
      <w:rFonts w:ascii="Arial" w:hAnsi="Arial" w:eastAsia="黑体"/>
      <w:sz w:val="20"/>
      <w:szCs w:val="20"/>
    </w:rPr>
  </w:style>
  <w:style w:type="paragraph" w:styleId="11">
    <w:name w:val="annotation text"/>
    <w:basedOn w:val="1"/>
    <w:next w:val="12"/>
    <w:link w:val="51"/>
    <w:autoRedefine/>
    <w:semiHidden/>
    <w:qFormat/>
    <w:uiPriority w:val="0"/>
    <w:pPr>
      <w:jc w:val="left"/>
    </w:pPr>
    <w:rPr>
      <w:kern w:val="0"/>
      <w:sz w:val="20"/>
    </w:rPr>
  </w:style>
  <w:style w:type="paragraph" w:styleId="12">
    <w:name w:val="Body Text Indent 3"/>
    <w:basedOn w:val="1"/>
    <w:next w:val="13"/>
    <w:autoRedefine/>
    <w:qFormat/>
    <w:uiPriority w:val="0"/>
    <w:pPr>
      <w:spacing w:after="120"/>
      <w:ind w:left="420" w:leftChars="200"/>
    </w:pPr>
    <w:rPr>
      <w:sz w:val="16"/>
      <w:szCs w:val="16"/>
    </w:rPr>
  </w:style>
  <w:style w:type="paragraph" w:styleId="13">
    <w:name w:val="Balloon Text"/>
    <w:basedOn w:val="1"/>
    <w:next w:val="14"/>
    <w:link w:val="55"/>
    <w:autoRedefine/>
    <w:semiHidden/>
    <w:qFormat/>
    <w:uiPriority w:val="0"/>
    <w:rPr>
      <w:sz w:val="18"/>
      <w:szCs w:val="18"/>
    </w:rPr>
  </w:style>
  <w:style w:type="paragraph" w:styleId="14">
    <w:name w:val="Block Text"/>
    <w:basedOn w:val="1"/>
    <w:next w:val="1"/>
    <w:autoRedefine/>
    <w:qFormat/>
    <w:uiPriority w:val="0"/>
    <w:pPr>
      <w:spacing w:line="240" w:lineRule="auto"/>
      <w:ind w:left="113" w:right="113" w:firstLine="3584"/>
      <w:jc w:val="center"/>
    </w:pPr>
  </w:style>
  <w:style w:type="paragraph" w:styleId="15">
    <w:name w:val="Body Text"/>
    <w:basedOn w:val="1"/>
    <w:next w:val="1"/>
    <w:link w:val="52"/>
    <w:autoRedefine/>
    <w:qFormat/>
    <w:uiPriority w:val="0"/>
    <w:pPr>
      <w:widowControl/>
      <w:snapToGrid w:val="0"/>
      <w:spacing w:before="60" w:after="160" w:line="259" w:lineRule="auto"/>
      <w:ind w:right="113"/>
    </w:pPr>
    <w:rPr>
      <w:kern w:val="0"/>
      <w:sz w:val="18"/>
      <w:szCs w:val="18"/>
    </w:rPr>
  </w:style>
  <w:style w:type="paragraph" w:styleId="16">
    <w:name w:val="Body Text Indent"/>
    <w:basedOn w:val="1"/>
    <w:next w:val="17"/>
    <w:link w:val="53"/>
    <w:autoRedefine/>
    <w:semiHidden/>
    <w:qFormat/>
    <w:uiPriority w:val="0"/>
    <w:pPr>
      <w:spacing w:after="120"/>
      <w:ind w:left="420" w:leftChars="200"/>
    </w:pPr>
  </w:style>
  <w:style w:type="paragraph" w:customStyle="1" w:styleId="17">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styleId="18">
    <w:name w:val="Plain Text"/>
    <w:basedOn w:val="1"/>
    <w:next w:val="4"/>
    <w:autoRedefine/>
    <w:qFormat/>
    <w:uiPriority w:val="0"/>
    <w:rPr>
      <w:rFonts w:ascii="宋体" w:hAnsi="Courier New" w:cs="Courier New"/>
      <w:szCs w:val="21"/>
    </w:rPr>
  </w:style>
  <w:style w:type="paragraph" w:styleId="19">
    <w:name w:val="Date"/>
    <w:basedOn w:val="1"/>
    <w:next w:val="1"/>
    <w:link w:val="54"/>
    <w:autoRedefine/>
    <w:qFormat/>
    <w:uiPriority w:val="0"/>
    <w:pPr>
      <w:ind w:left="100" w:leftChars="2500"/>
    </w:pPr>
    <w:rPr>
      <w:kern w:val="0"/>
      <w:sz w:val="20"/>
    </w:rPr>
  </w:style>
  <w:style w:type="paragraph" w:styleId="20">
    <w:name w:val="Body Text Indent 2"/>
    <w:basedOn w:val="1"/>
    <w:next w:val="1"/>
    <w:autoRedefine/>
    <w:qFormat/>
    <w:uiPriority w:val="0"/>
    <w:pPr>
      <w:spacing w:after="120" w:line="480" w:lineRule="auto"/>
      <w:ind w:left="420" w:leftChars="200"/>
    </w:pPr>
  </w:style>
  <w:style w:type="paragraph" w:styleId="21">
    <w:name w:val="footer"/>
    <w:basedOn w:val="1"/>
    <w:link w:val="56"/>
    <w:autoRedefine/>
    <w:qFormat/>
    <w:uiPriority w:val="0"/>
    <w:pPr>
      <w:tabs>
        <w:tab w:val="center" w:pos="4153"/>
        <w:tab w:val="right" w:pos="8306"/>
      </w:tabs>
      <w:snapToGrid w:val="0"/>
      <w:jc w:val="left"/>
    </w:pPr>
    <w:rPr>
      <w:sz w:val="18"/>
      <w:szCs w:val="18"/>
    </w:rPr>
  </w:style>
  <w:style w:type="paragraph" w:styleId="22">
    <w:name w:val="header"/>
    <w:basedOn w:val="1"/>
    <w:next w:val="23"/>
    <w:link w:val="57"/>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3">
    <w:name w:val="样式5"/>
    <w:basedOn w:val="1"/>
    <w:autoRedefine/>
    <w:qFormat/>
    <w:uiPriority w:val="0"/>
    <w:pPr>
      <w:spacing w:line="380" w:lineRule="exact"/>
      <w:ind w:firstLine="566" w:firstLineChars="202"/>
    </w:pPr>
    <w:rPr>
      <w:rFonts w:eastAsia="华文行楷"/>
    </w:rPr>
  </w:style>
  <w:style w:type="paragraph" w:styleId="24">
    <w:name w:val="List"/>
    <w:basedOn w:val="1"/>
    <w:autoRedefine/>
    <w:qFormat/>
    <w:uiPriority w:val="0"/>
    <w:pPr>
      <w:ind w:left="200" w:hanging="200" w:hangingChars="200"/>
    </w:pPr>
  </w:style>
  <w:style w:type="paragraph" w:styleId="25">
    <w:name w:val="toc 6"/>
    <w:basedOn w:val="1"/>
    <w:next w:val="1"/>
    <w:autoRedefine/>
    <w:qFormat/>
    <w:locked/>
    <w:uiPriority w:val="0"/>
    <w:pPr>
      <w:ind w:left="2100" w:leftChars="1000"/>
    </w:pPr>
  </w:style>
  <w:style w:type="paragraph" w:styleId="26">
    <w:name w:val="table of figures"/>
    <w:basedOn w:val="1"/>
    <w:next w:val="1"/>
    <w:autoRedefine/>
    <w:qFormat/>
    <w:uiPriority w:val="0"/>
    <w:pPr>
      <w:autoSpaceDE w:val="0"/>
      <w:autoSpaceDN w:val="0"/>
      <w:spacing w:line="360" w:lineRule="auto"/>
      <w:ind w:left="200" w:leftChars="200" w:hanging="200" w:hangingChars="200"/>
    </w:pPr>
    <w:rPr>
      <w:sz w:val="28"/>
      <w:szCs w:val="20"/>
    </w:rPr>
  </w:style>
  <w:style w:type="paragraph" w:styleId="27">
    <w:name w:val="toc 2"/>
    <w:basedOn w:val="1"/>
    <w:next w:val="1"/>
    <w:autoRedefine/>
    <w:unhideWhenUsed/>
    <w:qFormat/>
    <w:locked/>
    <w:uiPriority w:val="39"/>
    <w:pPr>
      <w:ind w:left="420" w:leftChars="200"/>
    </w:pPr>
    <w:rPr>
      <w:rFonts w:ascii="Calibri" w:hAnsi="Calibri"/>
    </w:rPr>
  </w:style>
  <w:style w:type="paragraph" w:styleId="28">
    <w:name w:val="toc 9"/>
    <w:basedOn w:val="1"/>
    <w:next w:val="1"/>
    <w:autoRedefine/>
    <w:qFormat/>
    <w:locked/>
    <w:uiPriority w:val="39"/>
    <w:pPr>
      <w:ind w:left="1680"/>
    </w:pPr>
    <w:rPr>
      <w:sz w:val="18"/>
    </w:rPr>
  </w:style>
  <w:style w:type="paragraph" w:styleId="29">
    <w:name w:val="Message Header"/>
    <w:basedOn w:val="1"/>
    <w:autoRedefine/>
    <w:semiHidden/>
    <w:qFormat/>
    <w:uiPriority w:val="0"/>
    <w:pPr>
      <w:widowControl/>
      <w:pBdr>
        <w:top w:val="single" w:color="auto" w:sz="6" w:space="1"/>
        <w:left w:val="single" w:color="auto" w:sz="6" w:space="1"/>
        <w:bottom w:val="single" w:color="auto" w:sz="6" w:space="1"/>
        <w:right w:val="single" w:color="auto" w:sz="6" w:space="1"/>
      </w:pBdr>
      <w:shd w:val="pct20" w:color="auto" w:fill="auto"/>
      <w:spacing w:line="520" w:lineRule="exact"/>
      <w:ind w:left="1080" w:leftChars="500" w:hanging="1080" w:hangingChars="500"/>
    </w:pPr>
    <w:rPr>
      <w:rFonts w:ascii="Arial" w:hAnsi="Arial" w:cs="Arial"/>
      <w:bCs/>
      <w:kern w:val="0"/>
      <w:sz w:val="24"/>
    </w:rPr>
  </w:style>
  <w:style w:type="paragraph" w:styleId="30">
    <w:name w:val="Normal (Web)"/>
    <w:basedOn w:val="1"/>
    <w:link w:val="58"/>
    <w:autoRedefine/>
    <w:qFormat/>
    <w:uiPriority w:val="0"/>
    <w:pPr>
      <w:widowControl/>
      <w:spacing w:before="100" w:beforeAutospacing="1" w:after="100" w:afterAutospacing="1"/>
      <w:jc w:val="left"/>
    </w:pPr>
    <w:rPr>
      <w:rFonts w:ascii="宋体" w:hAnsi="宋体"/>
      <w:kern w:val="0"/>
      <w:sz w:val="24"/>
    </w:rPr>
  </w:style>
  <w:style w:type="paragraph" w:styleId="31">
    <w:name w:val="Title"/>
    <w:basedOn w:val="1"/>
    <w:next w:val="1"/>
    <w:qFormat/>
    <w:locked/>
    <w:uiPriority w:val="0"/>
    <w:pPr>
      <w:jc w:val="left"/>
      <w:outlineLvl w:val="0"/>
    </w:pPr>
    <w:rPr>
      <w:rFonts w:cstheme="majorBidi"/>
      <w:b/>
      <w:bCs/>
      <w:sz w:val="24"/>
      <w:szCs w:val="32"/>
    </w:rPr>
  </w:style>
  <w:style w:type="paragraph" w:styleId="32">
    <w:name w:val="annotation subject"/>
    <w:basedOn w:val="11"/>
    <w:next w:val="11"/>
    <w:link w:val="59"/>
    <w:autoRedefine/>
    <w:semiHidden/>
    <w:qFormat/>
    <w:uiPriority w:val="0"/>
    <w:rPr>
      <w:b/>
      <w:bCs/>
    </w:rPr>
  </w:style>
  <w:style w:type="paragraph" w:styleId="33">
    <w:name w:val="Body Text First Indent 2"/>
    <w:basedOn w:val="16"/>
    <w:next w:val="1"/>
    <w:autoRedefine/>
    <w:qFormat/>
    <w:uiPriority w:val="0"/>
    <w:pPr>
      <w:ind w:firstLine="420" w:firstLineChars="200"/>
    </w:pPr>
    <w:rPr>
      <w:szCs w:val="22"/>
    </w:rPr>
  </w:style>
  <w:style w:type="table" w:styleId="35">
    <w:name w:val="Table Grid"/>
    <w:basedOn w:val="34"/>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7">
    <w:name w:val="Strong"/>
    <w:autoRedefine/>
    <w:qFormat/>
    <w:locked/>
    <w:uiPriority w:val="0"/>
    <w:rPr>
      <w:b/>
    </w:rPr>
  </w:style>
  <w:style w:type="character" w:styleId="38">
    <w:name w:val="page number"/>
    <w:basedOn w:val="36"/>
    <w:autoRedefine/>
    <w:qFormat/>
    <w:uiPriority w:val="0"/>
    <w:rPr>
      <w:rFonts w:hint="default" w:ascii="Times New Roman" w:hAnsi="Times New Roman" w:cs="Times New Roman"/>
    </w:rPr>
  </w:style>
  <w:style w:type="character" w:styleId="39">
    <w:name w:val="FollowedHyperlink"/>
    <w:basedOn w:val="36"/>
    <w:autoRedefine/>
    <w:qFormat/>
    <w:uiPriority w:val="0"/>
    <w:rPr>
      <w:color w:val="185ECF"/>
      <w:u w:val="none"/>
    </w:rPr>
  </w:style>
  <w:style w:type="character" w:styleId="40">
    <w:name w:val="Emphasis"/>
    <w:autoRedefine/>
    <w:qFormat/>
    <w:locked/>
    <w:uiPriority w:val="0"/>
    <w:rPr>
      <w:i/>
    </w:rPr>
  </w:style>
  <w:style w:type="character" w:styleId="41">
    <w:name w:val="Hyperlink"/>
    <w:autoRedefine/>
    <w:qFormat/>
    <w:uiPriority w:val="0"/>
    <w:rPr>
      <w:color w:val="0000FF"/>
      <w:u w:val="single"/>
    </w:rPr>
  </w:style>
  <w:style w:type="character" w:styleId="42">
    <w:name w:val="annotation reference"/>
    <w:basedOn w:val="36"/>
    <w:autoRedefine/>
    <w:semiHidden/>
    <w:qFormat/>
    <w:uiPriority w:val="0"/>
    <w:rPr>
      <w:sz w:val="21"/>
    </w:rPr>
  </w:style>
  <w:style w:type="paragraph" w:customStyle="1" w:styleId="43">
    <w:name w:val="Normal (Web)1"/>
    <w:basedOn w:val="1"/>
    <w:next w:val="44"/>
    <w:autoRedefine/>
    <w:qFormat/>
    <w:uiPriority w:val="0"/>
    <w:pPr>
      <w:widowControl/>
    </w:pPr>
    <w:rPr>
      <w:rFonts w:ascii="宋体"/>
      <w:sz w:val="24"/>
      <w:szCs w:val="21"/>
    </w:rPr>
  </w:style>
  <w:style w:type="paragraph" w:customStyle="1" w:styleId="44">
    <w:name w:val="Date1"/>
    <w:basedOn w:val="1"/>
    <w:next w:val="1"/>
    <w:autoRedefine/>
    <w:qFormat/>
    <w:uiPriority w:val="0"/>
    <w:pPr>
      <w:ind w:left="2500" w:leftChars="2500"/>
    </w:pPr>
  </w:style>
  <w:style w:type="paragraph" w:customStyle="1" w:styleId="45">
    <w:name w:val="Default"/>
    <w:basedOn w:val="46"/>
    <w:autoRedefine/>
    <w:qFormat/>
    <w:uiPriority w:val="0"/>
    <w:pPr>
      <w:widowControl w:val="0"/>
      <w:autoSpaceDE w:val="0"/>
      <w:autoSpaceDN w:val="0"/>
    </w:pPr>
    <w:rPr>
      <w:color w:val="000000"/>
    </w:rPr>
  </w:style>
  <w:style w:type="paragraph" w:customStyle="1" w:styleId="46">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47">
    <w:name w:val="BodyText"/>
    <w:basedOn w:val="1"/>
    <w:autoRedefine/>
    <w:qFormat/>
    <w:uiPriority w:val="0"/>
    <w:pPr>
      <w:textAlignment w:val="baseline"/>
    </w:pPr>
    <w:rPr>
      <w:rFonts w:ascii="宋体" w:hAnsi="宋体"/>
      <w:szCs w:val="21"/>
    </w:rPr>
  </w:style>
  <w:style w:type="paragraph" w:customStyle="1" w:styleId="48">
    <w:name w:val="xl27"/>
    <w:basedOn w:val="1"/>
    <w:autoRedefine/>
    <w:qFormat/>
    <w:uiPriority w:val="99"/>
    <w:pPr>
      <w:widowControl/>
      <w:pBdr>
        <w:top w:val="single" w:color="auto" w:sz="8" w:space="0"/>
        <w:left w:val="single" w:color="auto" w:sz="8" w:space="0"/>
        <w:right w:val="single" w:color="auto" w:sz="8" w:space="0"/>
      </w:pBdr>
      <w:spacing w:before="100" w:beforeAutospacing="1" w:after="100" w:afterAutospacing="1"/>
      <w:jc w:val="center"/>
    </w:pPr>
    <w:rPr>
      <w:rFonts w:ascii="Arial Unicode MS" w:hAnsi="Arial Unicode MS" w:eastAsia="Arial Unicode MS"/>
      <w:sz w:val="22"/>
      <w:szCs w:val="22"/>
    </w:rPr>
  </w:style>
  <w:style w:type="paragraph" w:customStyle="1" w:styleId="49">
    <w:name w:val="_Style 4"/>
    <w:autoRedefine/>
    <w:qFormat/>
    <w:uiPriority w:val="1"/>
    <w:pPr>
      <w:widowControl w:val="0"/>
      <w:jc w:val="both"/>
    </w:pPr>
    <w:rPr>
      <w:rFonts w:ascii="Calibri" w:hAnsi="Calibri" w:eastAsia="仿宋_GB2312" w:cs="Times New Roman"/>
      <w:kern w:val="2"/>
      <w:sz w:val="24"/>
      <w:szCs w:val="22"/>
      <w:lang w:val="en-US" w:eastAsia="zh-CN" w:bidi="ar-SA"/>
    </w:rPr>
  </w:style>
  <w:style w:type="paragraph" w:customStyle="1" w:styleId="50">
    <w:name w:val="内容"/>
    <w:basedOn w:val="1"/>
    <w:autoRedefine/>
    <w:qFormat/>
    <w:uiPriority w:val="0"/>
    <w:pPr>
      <w:spacing w:beforeLines="50" w:afterLines="50"/>
      <w:ind w:firstLine="200" w:firstLineChars="200"/>
    </w:pPr>
    <w:rPr>
      <w:color w:val="000000"/>
      <w:sz w:val="24"/>
    </w:rPr>
  </w:style>
  <w:style w:type="character" w:customStyle="1" w:styleId="51">
    <w:name w:val="批注文字 字符"/>
    <w:link w:val="11"/>
    <w:autoRedefine/>
    <w:qFormat/>
    <w:locked/>
    <w:uiPriority w:val="0"/>
    <w:rPr>
      <w:rFonts w:ascii="Times New Roman" w:hAnsi="Times New Roman" w:eastAsia="宋体"/>
      <w:sz w:val="24"/>
    </w:rPr>
  </w:style>
  <w:style w:type="character" w:customStyle="1" w:styleId="52">
    <w:name w:val="正文文本 字符"/>
    <w:link w:val="15"/>
    <w:autoRedefine/>
    <w:qFormat/>
    <w:locked/>
    <w:uiPriority w:val="0"/>
    <w:rPr>
      <w:sz w:val="18"/>
    </w:rPr>
  </w:style>
  <w:style w:type="character" w:customStyle="1" w:styleId="53">
    <w:name w:val="正文文本缩进 字符"/>
    <w:link w:val="16"/>
    <w:autoRedefine/>
    <w:semiHidden/>
    <w:qFormat/>
    <w:locked/>
    <w:uiPriority w:val="0"/>
    <w:rPr>
      <w:rFonts w:ascii="Times New Roman" w:hAnsi="Times New Roman" w:eastAsia="宋体" w:cs="Times New Roman"/>
      <w:sz w:val="24"/>
      <w:szCs w:val="24"/>
    </w:rPr>
  </w:style>
  <w:style w:type="character" w:customStyle="1" w:styleId="54">
    <w:name w:val="日期 字符1"/>
    <w:link w:val="19"/>
    <w:autoRedefine/>
    <w:qFormat/>
    <w:locked/>
    <w:uiPriority w:val="0"/>
    <w:rPr>
      <w:rFonts w:ascii="Times New Roman" w:hAnsi="Times New Roman" w:eastAsia="宋体"/>
      <w:sz w:val="24"/>
    </w:rPr>
  </w:style>
  <w:style w:type="character" w:customStyle="1" w:styleId="55">
    <w:name w:val="批注框文本 字符"/>
    <w:link w:val="13"/>
    <w:autoRedefine/>
    <w:semiHidden/>
    <w:qFormat/>
    <w:locked/>
    <w:uiPriority w:val="0"/>
    <w:rPr>
      <w:rFonts w:ascii="Times New Roman" w:hAnsi="Times New Roman" w:eastAsia="宋体" w:cs="Times New Roman"/>
      <w:sz w:val="18"/>
      <w:szCs w:val="18"/>
    </w:rPr>
  </w:style>
  <w:style w:type="character" w:customStyle="1" w:styleId="56">
    <w:name w:val="页脚 字符"/>
    <w:link w:val="21"/>
    <w:autoRedefine/>
    <w:qFormat/>
    <w:locked/>
    <w:uiPriority w:val="0"/>
    <w:rPr>
      <w:rFonts w:cs="Times New Roman"/>
      <w:sz w:val="18"/>
      <w:szCs w:val="18"/>
    </w:rPr>
  </w:style>
  <w:style w:type="character" w:customStyle="1" w:styleId="57">
    <w:name w:val="页眉 字符1"/>
    <w:link w:val="22"/>
    <w:autoRedefine/>
    <w:qFormat/>
    <w:locked/>
    <w:uiPriority w:val="0"/>
    <w:rPr>
      <w:rFonts w:cs="Times New Roman"/>
      <w:sz w:val="18"/>
      <w:szCs w:val="18"/>
    </w:rPr>
  </w:style>
  <w:style w:type="character" w:customStyle="1" w:styleId="58">
    <w:name w:val="普通(网站) 字符"/>
    <w:link w:val="30"/>
    <w:autoRedefine/>
    <w:qFormat/>
    <w:locked/>
    <w:uiPriority w:val="0"/>
    <w:rPr>
      <w:rFonts w:ascii="宋体" w:hAnsi="宋体" w:eastAsia="宋体"/>
      <w:sz w:val="24"/>
    </w:rPr>
  </w:style>
  <w:style w:type="character" w:customStyle="1" w:styleId="59">
    <w:name w:val="批注主题 字符"/>
    <w:link w:val="32"/>
    <w:autoRedefine/>
    <w:semiHidden/>
    <w:qFormat/>
    <w:locked/>
    <w:uiPriority w:val="0"/>
    <w:rPr>
      <w:rFonts w:cs="Times New Roman"/>
      <w:b/>
      <w:bCs/>
      <w:kern w:val="2"/>
      <w:szCs w:val="24"/>
    </w:rPr>
  </w:style>
  <w:style w:type="character" w:customStyle="1" w:styleId="60">
    <w:name w:val="页眉 字符"/>
    <w:autoRedefine/>
    <w:qFormat/>
    <w:uiPriority w:val="0"/>
    <w:rPr>
      <w:rFonts w:hint="default" w:ascii="Calibri" w:hAnsi="Calibri" w:cs="Calibri"/>
    </w:rPr>
  </w:style>
  <w:style w:type="character" w:customStyle="1" w:styleId="61">
    <w:name w:val="普通(网站) Char"/>
    <w:autoRedefine/>
    <w:qFormat/>
    <w:locked/>
    <w:uiPriority w:val="0"/>
    <w:rPr>
      <w:rFonts w:ascii="宋体" w:hAnsi="宋体" w:eastAsia="宋体"/>
      <w:sz w:val="24"/>
    </w:rPr>
  </w:style>
  <w:style w:type="character" w:customStyle="1" w:styleId="62">
    <w:name w:val="日期 字符"/>
    <w:autoRedefine/>
    <w:semiHidden/>
    <w:qFormat/>
    <w:uiPriority w:val="0"/>
    <w:rPr>
      <w:rFonts w:ascii="Times New Roman" w:hAnsi="Times New Roman" w:eastAsia="宋体" w:cs="Times New Roman"/>
      <w:sz w:val="24"/>
      <w:szCs w:val="24"/>
    </w:rPr>
  </w:style>
  <w:style w:type="character" w:customStyle="1" w:styleId="63">
    <w:name w:val="批注文字 字符1"/>
    <w:autoRedefine/>
    <w:semiHidden/>
    <w:qFormat/>
    <w:uiPriority w:val="0"/>
    <w:rPr>
      <w:rFonts w:ascii="Times New Roman" w:hAnsi="Times New Roman" w:eastAsia="宋体" w:cs="Times New Roman"/>
      <w:sz w:val="24"/>
      <w:szCs w:val="24"/>
    </w:rPr>
  </w:style>
  <w:style w:type="character" w:customStyle="1" w:styleId="64">
    <w:name w:val="正文文本 字符1"/>
    <w:autoRedefine/>
    <w:semiHidden/>
    <w:qFormat/>
    <w:uiPriority w:val="0"/>
    <w:rPr>
      <w:rFonts w:ascii="Times New Roman" w:hAnsi="Times New Roman" w:eastAsia="宋体" w:cs="Times New Roman"/>
      <w:sz w:val="24"/>
      <w:szCs w:val="24"/>
    </w:rPr>
  </w:style>
  <w:style w:type="character" w:customStyle="1" w:styleId="65">
    <w:name w:val="表格 Char"/>
    <w:link w:val="66"/>
    <w:autoRedefine/>
    <w:qFormat/>
    <w:locked/>
    <w:uiPriority w:val="0"/>
    <w:rPr>
      <w:rFonts w:ascii="宋体"/>
      <w:sz w:val="21"/>
    </w:rPr>
  </w:style>
  <w:style w:type="paragraph" w:customStyle="1" w:styleId="66">
    <w:name w:val="表格"/>
    <w:basedOn w:val="9"/>
    <w:next w:val="1"/>
    <w:link w:val="65"/>
    <w:autoRedefine/>
    <w:qFormat/>
    <w:uiPriority w:val="0"/>
    <w:pPr>
      <w:adjustRightInd w:val="0"/>
      <w:snapToGrid w:val="0"/>
      <w:spacing w:beforeLines="10" w:afterLines="10" w:line="259" w:lineRule="auto"/>
      <w:jc w:val="center"/>
    </w:pPr>
    <w:rPr>
      <w:rFonts w:ascii="宋体"/>
      <w:kern w:val="0"/>
      <w:sz w:val="20"/>
      <w:szCs w:val="21"/>
    </w:rPr>
  </w:style>
  <w:style w:type="character" w:customStyle="1" w:styleId="67">
    <w:name w:val="apple-converted-space"/>
    <w:autoRedefine/>
    <w:qFormat/>
    <w:uiPriority w:val="0"/>
    <w:rPr>
      <w:rFonts w:hint="default" w:ascii="Times New Roman" w:hAnsi="Times New Roman" w:cs="Times New Roman"/>
    </w:rPr>
  </w:style>
  <w:style w:type="paragraph" w:customStyle="1" w:styleId="68">
    <w:name w:val="样式 标题 1 + 首行缩进:  2 字符"/>
    <w:basedOn w:val="5"/>
    <w:autoRedefine/>
    <w:qFormat/>
    <w:uiPriority w:val="0"/>
    <w:pPr>
      <w:spacing w:before="0" w:after="0" w:line="720" w:lineRule="auto"/>
      <w:ind w:firstLine="200" w:firstLineChars="200"/>
      <w:jc w:val="center"/>
    </w:pPr>
    <w:rPr>
      <w:rFonts w:ascii="黑体" w:cs="宋体"/>
      <w:kern w:val="2"/>
      <w:sz w:val="36"/>
      <w:szCs w:val="20"/>
    </w:rPr>
  </w:style>
  <w:style w:type="paragraph" w:customStyle="1" w:styleId="69">
    <w:name w:val="报告表正文"/>
    <w:basedOn w:val="70"/>
    <w:next w:val="1"/>
    <w:autoRedefine/>
    <w:qFormat/>
    <w:uiPriority w:val="0"/>
    <w:pPr>
      <w:adjustRightInd w:val="0"/>
      <w:spacing w:line="312" w:lineRule="auto"/>
      <w:ind w:left="113" w:right="113" w:firstLine="482"/>
      <w:jc w:val="left"/>
      <w:textAlignment w:val="baseline"/>
    </w:pPr>
    <w:rPr>
      <w:kern w:val="0"/>
      <w:sz w:val="24"/>
    </w:rPr>
  </w:style>
  <w:style w:type="paragraph" w:customStyle="1" w:styleId="70">
    <w:name w:val="CM4"/>
    <w:basedOn w:val="1"/>
    <w:next w:val="1"/>
    <w:autoRedefine/>
    <w:qFormat/>
    <w:uiPriority w:val="0"/>
    <w:pPr>
      <w:keepNext/>
      <w:spacing w:line="520" w:lineRule="exact"/>
      <w:jc w:val="center"/>
    </w:pPr>
    <w:rPr>
      <w:b/>
      <w:kern w:val="0"/>
      <w:szCs w:val="21"/>
    </w:rPr>
  </w:style>
  <w:style w:type="paragraph" w:customStyle="1" w:styleId="71">
    <w:name w:val="表格标题"/>
    <w:basedOn w:val="1"/>
    <w:next w:val="1"/>
    <w:autoRedefine/>
    <w:qFormat/>
    <w:uiPriority w:val="0"/>
    <w:pPr>
      <w:tabs>
        <w:tab w:val="left" w:pos="5400"/>
      </w:tabs>
      <w:spacing w:before="156" w:beforeLines="50" w:after="156" w:afterLines="50" w:line="400" w:lineRule="exact"/>
      <w:jc w:val="center"/>
    </w:pPr>
    <w:rPr>
      <w:rFonts w:ascii="黑体" w:hAnsi="宋体" w:eastAsia="黑体"/>
      <w:color w:val="000000"/>
      <w:spacing w:val="4"/>
      <w:sz w:val="24"/>
    </w:rPr>
  </w:style>
  <w:style w:type="paragraph" w:customStyle="1" w:styleId="72">
    <w:name w:val="【表头】"/>
    <w:basedOn w:val="73"/>
    <w:autoRedefine/>
    <w:qFormat/>
    <w:uiPriority w:val="0"/>
    <w:pPr>
      <w:spacing w:line="460" w:lineRule="exact"/>
      <w:jc w:val="center"/>
    </w:pPr>
    <w:rPr>
      <w:rFonts w:eastAsia="黑体"/>
      <w:sz w:val="24"/>
    </w:rPr>
  </w:style>
  <w:style w:type="paragraph" w:customStyle="1" w:styleId="73">
    <w:name w:val="0"/>
    <w:basedOn w:val="1"/>
    <w:autoRedefine/>
    <w:qFormat/>
    <w:uiPriority w:val="99"/>
    <w:pPr>
      <w:widowControl/>
      <w:snapToGrid w:val="0"/>
      <w:jc w:val="left"/>
    </w:pPr>
    <w:rPr>
      <w:rFonts w:ascii="宋体"/>
      <w:kern w:val="0"/>
      <w:sz w:val="20"/>
      <w:szCs w:val="20"/>
    </w:rPr>
  </w:style>
  <w:style w:type="paragraph" w:customStyle="1" w:styleId="74">
    <w:name w:val="【正文】"/>
    <w:basedOn w:val="1"/>
    <w:next w:val="29"/>
    <w:autoRedefine/>
    <w:qFormat/>
    <w:uiPriority w:val="0"/>
    <w:pPr>
      <w:spacing w:line="440" w:lineRule="exact"/>
      <w:ind w:firstLine="544"/>
    </w:pPr>
    <w:rPr>
      <w:rFonts w:cs="宋体"/>
      <w:szCs w:val="20"/>
    </w:rPr>
  </w:style>
  <w:style w:type="paragraph" w:customStyle="1" w:styleId="75">
    <w:name w:val="正文00"/>
    <w:basedOn w:val="1"/>
    <w:autoRedefine/>
    <w:qFormat/>
    <w:uiPriority w:val="0"/>
    <w:pPr>
      <w:widowControl/>
      <w:spacing w:line="425" w:lineRule="atLeast"/>
      <w:ind w:left="107" w:leftChars="51" w:right="124" w:rightChars="59" w:firstLine="480"/>
      <w:textAlignment w:val="baseline"/>
    </w:pPr>
    <w:rPr>
      <w:rFonts w:ascii="Calibri"/>
      <w:sz w:val="28"/>
    </w:rPr>
  </w:style>
  <w:style w:type="paragraph" w:customStyle="1" w:styleId="76">
    <w:name w:val="表头"/>
    <w:basedOn w:val="24"/>
    <w:next w:val="1"/>
    <w:autoRedefine/>
    <w:qFormat/>
    <w:uiPriority w:val="0"/>
    <w:rPr>
      <w:rFonts w:eastAsia="黑体"/>
    </w:rPr>
  </w:style>
  <w:style w:type="paragraph" w:customStyle="1" w:styleId="77">
    <w:name w:val="样式4"/>
    <w:basedOn w:val="15"/>
    <w:autoRedefine/>
    <w:qFormat/>
    <w:uiPriority w:val="0"/>
    <w:pPr>
      <w:adjustRightInd w:val="0"/>
      <w:jc w:val="center"/>
    </w:pPr>
    <w:rPr>
      <w:sz w:val="24"/>
    </w:rPr>
  </w:style>
  <w:style w:type="paragraph" w:customStyle="1" w:styleId="78">
    <w:name w:val="Table Paragraph"/>
    <w:basedOn w:val="1"/>
    <w:autoRedefine/>
    <w:unhideWhenUsed/>
    <w:qFormat/>
    <w:uiPriority w:val="1"/>
    <w:rPr>
      <w:sz w:val="24"/>
    </w:rPr>
  </w:style>
  <w:style w:type="paragraph" w:customStyle="1" w:styleId="79">
    <w:name w:val="煤炭资源普查报告格式"/>
    <w:basedOn w:val="1"/>
    <w:autoRedefine/>
    <w:qFormat/>
    <w:uiPriority w:val="0"/>
    <w:pPr>
      <w:spacing w:line="500" w:lineRule="exact"/>
    </w:pPr>
  </w:style>
  <w:style w:type="paragraph" w:customStyle="1" w:styleId="80">
    <w:name w:val="表头文字"/>
    <w:basedOn w:val="1"/>
    <w:autoRedefine/>
    <w:qFormat/>
    <w:uiPriority w:val="0"/>
    <w:pPr>
      <w:adjustRightInd w:val="0"/>
      <w:jc w:val="center"/>
    </w:pPr>
    <w:rPr>
      <w:sz w:val="28"/>
      <w:szCs w:val="20"/>
    </w:rPr>
  </w:style>
  <w:style w:type="paragraph" w:customStyle="1" w:styleId="81">
    <w:name w:val="标题4"/>
    <w:basedOn w:val="75"/>
    <w:autoRedefine/>
    <w:qFormat/>
    <w:uiPriority w:val="0"/>
    <w:pPr>
      <w:ind w:left="51" w:right="59" w:firstLine="100" w:firstLineChars="100"/>
    </w:pPr>
    <w:rPr>
      <w:b/>
    </w:rPr>
  </w:style>
  <w:style w:type="paragraph" w:customStyle="1" w:styleId="82">
    <w:name w:val="正文----------------"/>
    <w:basedOn w:val="1"/>
    <w:autoRedefine/>
    <w:qFormat/>
    <w:uiPriority w:val="0"/>
    <w:pPr>
      <w:spacing w:line="440" w:lineRule="exact"/>
      <w:ind w:firstLine="544" w:firstLineChars="200"/>
    </w:pPr>
    <w:rPr>
      <w:rFonts w:ascii="Calibri" w:cs="宋体"/>
      <w:spacing w:val="16"/>
      <w:szCs w:val="20"/>
    </w:rPr>
  </w:style>
  <w:style w:type="paragraph" w:customStyle="1" w:styleId="83">
    <w:name w:val="表文"/>
    <w:basedOn w:val="1"/>
    <w:autoRedefine/>
    <w:qFormat/>
    <w:uiPriority w:val="0"/>
    <w:pPr>
      <w:tabs>
        <w:tab w:val="left" w:pos="6480"/>
      </w:tabs>
      <w:spacing w:line="360" w:lineRule="exact"/>
    </w:pPr>
    <w:rPr>
      <w:rFonts w:ascii="宋体" w:hAnsi="宋体"/>
      <w:sz w:val="24"/>
    </w:rPr>
  </w:style>
  <w:style w:type="paragraph" w:customStyle="1" w:styleId="84">
    <w:name w:val="表格文字"/>
    <w:basedOn w:val="1"/>
    <w:link w:val="152"/>
    <w:autoRedefine/>
    <w:qFormat/>
    <w:uiPriority w:val="0"/>
    <w:pPr>
      <w:jc w:val="center"/>
    </w:pPr>
    <w:rPr>
      <w:rFonts w:ascii="new times roma" w:hAnsi="new times roma"/>
    </w:rPr>
  </w:style>
  <w:style w:type="paragraph" w:styleId="85">
    <w:name w:val="No Spacing"/>
    <w:autoRedefine/>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86">
    <w:name w:val="表格内容"/>
    <w:basedOn w:val="87"/>
    <w:next w:val="1"/>
    <w:autoRedefine/>
    <w:qFormat/>
    <w:uiPriority w:val="0"/>
    <w:pPr>
      <w:spacing w:line="240" w:lineRule="exact"/>
    </w:pPr>
    <w:rPr>
      <w:snapToGrid w:val="0"/>
      <w:color w:val="FF0000"/>
      <w:kern w:val="0"/>
      <w:sz w:val="21"/>
      <w:szCs w:val="21"/>
    </w:rPr>
  </w:style>
  <w:style w:type="paragraph" w:customStyle="1" w:styleId="87">
    <w:name w:val="封皮-证书编号"/>
    <w:basedOn w:val="1"/>
    <w:autoRedefine/>
    <w:qFormat/>
    <w:uiPriority w:val="0"/>
    <w:pPr>
      <w:jc w:val="center"/>
    </w:pPr>
    <w:rPr>
      <w:rFonts w:eastAsia="黑体"/>
      <w:sz w:val="28"/>
    </w:rPr>
  </w:style>
  <w:style w:type="paragraph" w:customStyle="1" w:styleId="88">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89">
    <w:name w:val="表头-------------"/>
    <w:basedOn w:val="1"/>
    <w:autoRedefine/>
    <w:qFormat/>
    <w:uiPriority w:val="0"/>
    <w:pPr>
      <w:spacing w:line="460" w:lineRule="exact"/>
      <w:jc w:val="center"/>
    </w:pPr>
    <w:rPr>
      <w:rFonts w:ascii="Calibri" w:eastAsia="黑体" w:cs="宋体"/>
      <w:szCs w:val="20"/>
    </w:rPr>
  </w:style>
  <w:style w:type="paragraph" w:customStyle="1" w:styleId="90">
    <w:name w:val="正文01"/>
    <w:basedOn w:val="1"/>
    <w:autoRedefine/>
    <w:qFormat/>
    <w:uiPriority w:val="0"/>
    <w:pPr>
      <w:spacing w:before="60" w:line="460" w:lineRule="exact"/>
      <w:ind w:firstLine="200" w:firstLineChars="200"/>
    </w:pPr>
    <w:rPr>
      <w:snapToGrid w:val="0"/>
      <w:kern w:val="0"/>
      <w:sz w:val="24"/>
    </w:rPr>
  </w:style>
  <w:style w:type="paragraph" w:customStyle="1" w:styleId="91">
    <w:name w:val="样式 正文文字-1 + 首行缩进:  2.1 字符1"/>
    <w:basedOn w:val="92"/>
    <w:autoRedefine/>
    <w:qFormat/>
    <w:uiPriority w:val="0"/>
    <w:pPr>
      <w:spacing w:line="440" w:lineRule="exact"/>
      <w:ind w:firstLine="210"/>
    </w:pPr>
    <w:rPr>
      <w:rFonts w:cs="宋体"/>
      <w:szCs w:val="20"/>
    </w:rPr>
  </w:style>
  <w:style w:type="paragraph" w:customStyle="1" w:styleId="92">
    <w:name w:val="正文文字-1 Char"/>
    <w:autoRedefine/>
    <w:qFormat/>
    <w:uiPriority w:val="0"/>
    <w:pPr>
      <w:widowControl w:val="0"/>
      <w:spacing w:before="120" w:after="120" w:line="480" w:lineRule="exact"/>
      <w:ind w:firstLine="588" w:firstLineChars="210"/>
      <w:jc w:val="both"/>
    </w:pPr>
    <w:rPr>
      <w:rFonts w:ascii="Times New Roman" w:hAnsi="Times New Roman" w:eastAsia="宋体" w:cs="Times New Roman"/>
      <w:kern w:val="2"/>
      <w:sz w:val="24"/>
      <w:szCs w:val="24"/>
      <w:lang w:val="en-US" w:eastAsia="zh-CN" w:bidi="ar-SA"/>
    </w:rPr>
  </w:style>
  <w:style w:type="paragraph" w:customStyle="1" w:styleId="93">
    <w:name w:val="表格正文"/>
    <w:basedOn w:val="1"/>
    <w:autoRedefine/>
    <w:qFormat/>
    <w:uiPriority w:val="0"/>
    <w:pPr>
      <w:spacing w:line="360" w:lineRule="exact"/>
      <w:ind w:firstLine="640" w:firstLineChars="200"/>
      <w:jc w:val="center"/>
    </w:pPr>
    <w:rPr>
      <w:sz w:val="28"/>
      <w:szCs w:val="28"/>
    </w:rPr>
  </w:style>
  <w:style w:type="paragraph" w:customStyle="1" w:styleId="94">
    <w:name w:val="Table caption|1"/>
    <w:basedOn w:val="1"/>
    <w:autoRedefine/>
    <w:qFormat/>
    <w:uiPriority w:val="0"/>
    <w:rPr>
      <w:rFonts w:ascii="宋体" w:hAnsi="宋体" w:cs="宋体"/>
      <w:sz w:val="13"/>
      <w:szCs w:val="13"/>
      <w:lang w:val="zh-TW" w:eastAsia="zh-TW" w:bidi="zh-TW"/>
    </w:rPr>
  </w:style>
  <w:style w:type="paragraph" w:customStyle="1" w:styleId="95">
    <w:name w:val="报告书正文"/>
    <w:basedOn w:val="1"/>
    <w:autoRedefine/>
    <w:qFormat/>
    <w:uiPriority w:val="0"/>
    <w:pPr>
      <w:adjustRightInd w:val="0"/>
      <w:snapToGrid w:val="0"/>
      <w:spacing w:line="360" w:lineRule="auto"/>
      <w:ind w:firstLine="425"/>
      <w:textAlignment w:val="baseline"/>
    </w:pPr>
    <w:rPr>
      <w:rFonts w:ascii="Arial" w:hAnsi="Arial"/>
      <w:kern w:val="0"/>
      <w:sz w:val="24"/>
    </w:rPr>
  </w:style>
  <w:style w:type="paragraph" w:customStyle="1" w:styleId="96">
    <w:name w:val="正文样式1"/>
    <w:basedOn w:val="1"/>
    <w:autoRedefine/>
    <w:qFormat/>
    <w:uiPriority w:val="0"/>
    <w:pPr>
      <w:adjustRightInd w:val="0"/>
      <w:spacing w:line="288" w:lineRule="auto"/>
      <w:ind w:firstLine="360" w:firstLineChars="150"/>
      <w:textAlignment w:val="baseline"/>
    </w:pPr>
    <w:rPr>
      <w:kern w:val="0"/>
      <w:sz w:val="24"/>
      <w:szCs w:val="20"/>
    </w:rPr>
  </w:style>
  <w:style w:type="paragraph" w:customStyle="1" w:styleId="97">
    <w:name w:val="正文_14"/>
    <w:autoRedefine/>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98">
    <w:name w:val="正文_15"/>
    <w:autoRedefine/>
    <w:qFormat/>
    <w:uiPriority w:val="0"/>
    <w:pPr>
      <w:widowControl w:val="0"/>
      <w:jc w:val="both"/>
    </w:pPr>
    <w:rPr>
      <w:rFonts w:ascii="Times New Roman" w:hAnsi="Times New Roman" w:eastAsia="宋体" w:cs="Times New Roman"/>
      <w:kern w:val="2"/>
      <w:sz w:val="21"/>
      <w:lang w:val="en-US" w:eastAsia="zh-CN" w:bidi="ar-SA"/>
    </w:rPr>
  </w:style>
  <w:style w:type="paragraph" w:styleId="99">
    <w:name w:val="List Paragraph"/>
    <w:basedOn w:val="1"/>
    <w:autoRedefine/>
    <w:qFormat/>
    <w:uiPriority w:val="34"/>
    <w:pPr>
      <w:ind w:firstLine="420" w:firstLineChars="200"/>
    </w:pPr>
    <w:rPr>
      <w:szCs w:val="22"/>
    </w:rPr>
  </w:style>
  <w:style w:type="paragraph" w:customStyle="1" w:styleId="100">
    <w:name w:val="表中字"/>
    <w:autoRedefine/>
    <w:qFormat/>
    <w:uiPriority w:val="0"/>
    <w:pPr>
      <w:jc w:val="center"/>
    </w:pPr>
    <w:rPr>
      <w:rFonts w:ascii="Times New Roman" w:hAnsi="Times New Roman" w:eastAsia="宋体" w:cs="Times New Roman"/>
      <w:kern w:val="2"/>
      <w:sz w:val="21"/>
      <w:szCs w:val="22"/>
      <w:lang w:val="zh-CN" w:eastAsia="zh-CN" w:bidi="ar-SA"/>
    </w:rPr>
  </w:style>
  <w:style w:type="paragraph" w:customStyle="1" w:styleId="101">
    <w:name w:val="样式 Times New Roman 五号 居中1"/>
    <w:basedOn w:val="1"/>
    <w:autoRedefine/>
    <w:qFormat/>
    <w:uiPriority w:val="0"/>
    <w:pPr>
      <w:jc w:val="center"/>
    </w:pPr>
    <w:rPr>
      <w:rFonts w:cs="宋体"/>
      <w:szCs w:val="20"/>
    </w:rPr>
  </w:style>
  <w:style w:type="paragraph" w:customStyle="1" w:styleId="102">
    <w:name w:val="_Style 3"/>
    <w:basedOn w:val="1"/>
    <w:autoRedefine/>
    <w:qFormat/>
    <w:uiPriority w:val="34"/>
    <w:pPr>
      <w:ind w:firstLine="420" w:firstLineChars="200"/>
    </w:pPr>
    <w:rPr>
      <w:rFonts w:ascii="Calibri" w:hAnsi="Calibri"/>
      <w:szCs w:val="22"/>
    </w:rPr>
  </w:style>
  <w:style w:type="paragraph" w:customStyle="1" w:styleId="103">
    <w:name w:val="表1"/>
    <w:next w:val="1"/>
    <w:autoRedefine/>
    <w:qFormat/>
    <w:uiPriority w:val="0"/>
    <w:pPr>
      <w:adjustRightInd w:val="0"/>
      <w:snapToGrid w:val="0"/>
      <w:jc w:val="center"/>
    </w:pPr>
    <w:rPr>
      <w:rFonts w:ascii="宋体" w:hAnsi="Times New Roman" w:eastAsia="宋体" w:cs="Times New Roman"/>
      <w:sz w:val="21"/>
      <w:lang w:val="en-US" w:eastAsia="zh-CN" w:bidi="ar-SA"/>
    </w:rPr>
  </w:style>
  <w:style w:type="paragraph" w:customStyle="1" w:styleId="104">
    <w:name w:val="Body text|4"/>
    <w:basedOn w:val="1"/>
    <w:autoRedefine/>
    <w:qFormat/>
    <w:uiPriority w:val="0"/>
    <w:pPr>
      <w:spacing w:line="434" w:lineRule="auto"/>
      <w:ind w:firstLine="500"/>
    </w:pPr>
    <w:rPr>
      <w:color w:val="FF0000"/>
    </w:rPr>
  </w:style>
  <w:style w:type="paragraph" w:customStyle="1" w:styleId="105">
    <w:name w:val="Body text|1"/>
    <w:basedOn w:val="1"/>
    <w:autoRedefine/>
    <w:qFormat/>
    <w:uiPriority w:val="0"/>
    <w:pPr>
      <w:spacing w:line="480" w:lineRule="auto"/>
      <w:ind w:firstLine="400"/>
    </w:pPr>
    <w:rPr>
      <w:rFonts w:ascii="宋体" w:hAnsi="宋体" w:cs="宋体"/>
      <w:sz w:val="22"/>
      <w:szCs w:val="22"/>
      <w:lang w:val="zh-TW" w:eastAsia="zh-TW" w:bidi="zh-TW"/>
    </w:rPr>
  </w:style>
  <w:style w:type="paragraph" w:customStyle="1" w:styleId="106">
    <w:name w:val="Other|1"/>
    <w:basedOn w:val="1"/>
    <w:autoRedefine/>
    <w:qFormat/>
    <w:uiPriority w:val="0"/>
    <w:pPr>
      <w:jc w:val="center"/>
    </w:pPr>
    <w:rPr>
      <w:rFonts w:ascii="宋体" w:hAnsi="宋体" w:cs="宋体"/>
      <w:sz w:val="20"/>
      <w:szCs w:val="20"/>
      <w:lang w:val="zh-TW" w:eastAsia="zh-TW" w:bidi="zh-TW"/>
    </w:rPr>
  </w:style>
  <w:style w:type="paragraph" w:customStyle="1" w:styleId="107">
    <w:name w:val="首行缩进表格正文"/>
    <w:basedOn w:val="1"/>
    <w:autoRedefine/>
    <w:qFormat/>
    <w:uiPriority w:val="0"/>
    <w:pPr>
      <w:spacing w:line="360" w:lineRule="auto"/>
      <w:ind w:firstLine="720" w:firstLineChars="200"/>
      <w:jc w:val="left"/>
    </w:pPr>
  </w:style>
  <w:style w:type="paragraph" w:customStyle="1" w:styleId="108">
    <w:name w:val="C首行缩进正文"/>
    <w:basedOn w:val="74"/>
    <w:autoRedefine/>
    <w:qFormat/>
    <w:uiPriority w:val="0"/>
    <w:pPr>
      <w:spacing w:line="360" w:lineRule="auto"/>
      <w:ind w:firstLine="200"/>
    </w:pPr>
    <w:rPr>
      <w:color w:val="000000"/>
    </w:rPr>
  </w:style>
  <w:style w:type="paragraph" w:customStyle="1" w:styleId="109">
    <w:name w:val="C【表中文字】-"/>
    <w:basedOn w:val="1"/>
    <w:autoRedefine/>
    <w:qFormat/>
    <w:uiPriority w:val="0"/>
    <w:pPr>
      <w:adjustRightInd w:val="0"/>
      <w:snapToGrid w:val="0"/>
      <w:jc w:val="center"/>
    </w:pPr>
    <w:rPr>
      <w:kern w:val="0"/>
      <w:szCs w:val="20"/>
    </w:rPr>
  </w:style>
  <w:style w:type="paragraph" w:customStyle="1" w:styleId="110">
    <w:name w:val="正文_6"/>
    <w:autoRedefine/>
    <w:qFormat/>
    <w:uiPriority w:val="0"/>
    <w:pPr>
      <w:widowControl w:val="0"/>
      <w:jc w:val="both"/>
    </w:pPr>
    <w:rPr>
      <w:rFonts w:ascii="Calibri" w:hAnsi="Calibri" w:eastAsia="宋体" w:cs="Times New Roman"/>
      <w:kern w:val="2"/>
      <w:sz w:val="21"/>
      <w:lang w:val="en-US" w:eastAsia="zh-CN" w:bidi="ar-SA"/>
    </w:rPr>
  </w:style>
  <w:style w:type="paragraph" w:customStyle="1" w:styleId="111">
    <w:name w:val="11111"/>
    <w:basedOn w:val="1"/>
    <w:next w:val="1"/>
    <w:autoRedefine/>
    <w:qFormat/>
    <w:uiPriority w:val="0"/>
    <w:pPr>
      <w:spacing w:line="360" w:lineRule="auto"/>
      <w:ind w:firstLine="200" w:firstLineChars="200"/>
    </w:pPr>
    <w:rPr>
      <w:rFonts w:hAnsi="宋体" w:cs="宋体"/>
    </w:rPr>
  </w:style>
  <w:style w:type="character" w:customStyle="1" w:styleId="112">
    <w:name w:val="chakan"/>
    <w:basedOn w:val="36"/>
    <w:autoRedefine/>
    <w:qFormat/>
    <w:uiPriority w:val="0"/>
    <w:rPr>
      <w:color w:val="0064EA"/>
    </w:rPr>
  </w:style>
  <w:style w:type="character" w:customStyle="1" w:styleId="113">
    <w:name w:val="checkbox2"/>
    <w:basedOn w:val="36"/>
    <w:autoRedefine/>
    <w:qFormat/>
    <w:uiPriority w:val="0"/>
  </w:style>
  <w:style w:type="character" w:customStyle="1" w:styleId="114">
    <w:name w:val="shenbao"/>
    <w:basedOn w:val="36"/>
    <w:autoRedefine/>
    <w:qFormat/>
    <w:uiPriority w:val="0"/>
    <w:rPr>
      <w:color w:val="EF6334"/>
    </w:rPr>
  </w:style>
  <w:style w:type="character" w:customStyle="1" w:styleId="115">
    <w:name w:val="checkbox"/>
    <w:basedOn w:val="36"/>
    <w:autoRedefine/>
    <w:qFormat/>
    <w:uiPriority w:val="0"/>
  </w:style>
  <w:style w:type="paragraph" w:customStyle="1" w:styleId="116">
    <w:name w:val="表中"/>
    <w:basedOn w:val="1"/>
    <w:autoRedefine/>
    <w:qFormat/>
    <w:uiPriority w:val="0"/>
    <w:pPr>
      <w:spacing w:line="240" w:lineRule="exact"/>
    </w:pPr>
    <w:rPr>
      <w:szCs w:val="21"/>
    </w:rPr>
  </w:style>
  <w:style w:type="paragraph" w:customStyle="1" w:styleId="117">
    <w:name w:val="TOC2"/>
    <w:basedOn w:val="1"/>
    <w:next w:val="1"/>
    <w:autoRedefine/>
    <w:qFormat/>
    <w:uiPriority w:val="0"/>
    <w:pPr>
      <w:widowControl/>
      <w:spacing w:after="100" w:line="276" w:lineRule="auto"/>
      <w:ind w:left="220"/>
      <w:jc w:val="left"/>
      <w:textAlignment w:val="baseline"/>
    </w:pPr>
    <w:rPr>
      <w:rFonts w:ascii="Calibri" w:hAnsi="Calibri"/>
      <w:kern w:val="0"/>
      <w:sz w:val="22"/>
      <w:szCs w:val="22"/>
    </w:rPr>
  </w:style>
  <w:style w:type="paragraph" w:customStyle="1" w:styleId="118">
    <w:name w:val="中文报告书样式"/>
    <w:basedOn w:val="1"/>
    <w:autoRedefine/>
    <w:qFormat/>
    <w:uiPriority w:val="0"/>
    <w:pPr>
      <w:adjustRightInd w:val="0"/>
      <w:spacing w:line="480" w:lineRule="atLeast"/>
      <w:ind w:firstLine="482"/>
      <w:textAlignment w:val="baseline"/>
    </w:pPr>
    <w:rPr>
      <w:kern w:val="24"/>
      <w:szCs w:val="20"/>
    </w:rPr>
  </w:style>
  <w:style w:type="paragraph" w:customStyle="1" w:styleId="119">
    <w:name w:val="UserStyle_0"/>
    <w:basedOn w:val="120"/>
    <w:next w:val="121"/>
    <w:autoRedefine/>
    <w:qFormat/>
    <w:uiPriority w:val="0"/>
    <w:pPr>
      <w:spacing w:line="360" w:lineRule="auto"/>
      <w:ind w:firstLine="480" w:firstLineChars="200"/>
    </w:pPr>
    <w:rPr>
      <w:rFonts w:ascii="Calibri" w:hAnsi="Calibri"/>
      <w:sz w:val="24"/>
      <w:szCs w:val="22"/>
    </w:rPr>
  </w:style>
  <w:style w:type="paragraph" w:customStyle="1" w:styleId="120">
    <w:name w:val="UserStyle_1"/>
    <w:basedOn w:val="1"/>
    <w:next w:val="1"/>
    <w:autoRedefine/>
    <w:qFormat/>
    <w:uiPriority w:val="0"/>
    <w:pPr>
      <w:spacing w:after="120"/>
      <w:textAlignment w:val="baseline"/>
    </w:pPr>
  </w:style>
  <w:style w:type="paragraph" w:customStyle="1" w:styleId="121">
    <w:name w:val="TOC1"/>
    <w:basedOn w:val="1"/>
    <w:next w:val="1"/>
    <w:autoRedefine/>
    <w:qFormat/>
    <w:uiPriority w:val="0"/>
    <w:pPr>
      <w:spacing w:line="360" w:lineRule="auto"/>
      <w:textAlignment w:val="baseline"/>
    </w:pPr>
    <w:rPr>
      <w:rFonts w:ascii="Calibri" w:hAnsi="Calibri"/>
      <w:b/>
      <w:sz w:val="24"/>
      <w:szCs w:val="22"/>
    </w:rPr>
  </w:style>
  <w:style w:type="character" w:customStyle="1" w:styleId="122">
    <w:name w:val="NormalCharacter"/>
    <w:autoRedefine/>
    <w:qFormat/>
    <w:uiPriority w:val="0"/>
    <w:rPr>
      <w:kern w:val="2"/>
      <w:sz w:val="21"/>
      <w:szCs w:val="24"/>
      <w:lang w:val="en-US" w:eastAsia="zh-CN" w:bidi="ar-SA"/>
    </w:rPr>
  </w:style>
  <w:style w:type="paragraph" w:customStyle="1" w:styleId="123">
    <w:name w:val="表头1"/>
    <w:basedOn w:val="124"/>
    <w:next w:val="1"/>
    <w:autoRedefine/>
    <w:qFormat/>
    <w:uiPriority w:val="0"/>
    <w:pPr>
      <w:spacing w:before="120" w:beforeLines="50"/>
    </w:pPr>
  </w:style>
  <w:style w:type="paragraph" w:customStyle="1" w:styleId="124">
    <w:name w:val="文华表标题"/>
    <w:basedOn w:val="125"/>
    <w:autoRedefine/>
    <w:qFormat/>
    <w:uiPriority w:val="0"/>
    <w:pPr>
      <w:spacing w:line="240" w:lineRule="auto"/>
      <w:ind w:firstLine="0"/>
      <w:jc w:val="center"/>
    </w:pPr>
    <w:rPr>
      <w:rFonts w:eastAsia="黑体"/>
    </w:rPr>
  </w:style>
  <w:style w:type="paragraph" w:customStyle="1" w:styleId="125">
    <w:name w:val="文华表正文"/>
    <w:basedOn w:val="69"/>
    <w:autoRedefine/>
    <w:qFormat/>
    <w:uiPriority w:val="0"/>
  </w:style>
  <w:style w:type="paragraph" w:customStyle="1" w:styleId="126">
    <w:name w:val="xl25"/>
    <w:basedOn w:val="1"/>
    <w:autoRedefine/>
    <w:qFormat/>
    <w:uiPriority w:val="0"/>
    <w:pPr>
      <w:widowControl/>
      <w:pBdr>
        <w:bottom w:val="single" w:color="auto" w:sz="4" w:space="0"/>
        <w:right w:val="single" w:color="auto" w:sz="4" w:space="0"/>
      </w:pBdr>
      <w:spacing w:before="100" w:beforeAutospacing="1" w:after="100" w:afterAutospacing="1"/>
    </w:pPr>
    <w:rPr>
      <w:kern w:val="0"/>
      <w:szCs w:val="21"/>
    </w:rPr>
  </w:style>
  <w:style w:type="paragraph" w:customStyle="1" w:styleId="127">
    <w:name w:val="xl36"/>
    <w:basedOn w:val="1"/>
    <w:autoRedefine/>
    <w:qFormat/>
    <w:uiPriority w:val="0"/>
    <w:pPr>
      <w:widowControl/>
      <w:pBdr>
        <w:left w:val="single" w:color="auto" w:sz="4" w:space="0"/>
        <w:right w:val="single" w:color="auto" w:sz="4" w:space="0"/>
      </w:pBdr>
      <w:spacing w:before="100" w:beforeAutospacing="1" w:after="100" w:afterAutospacing="1"/>
      <w:jc w:val="center"/>
      <w:textAlignment w:val="top"/>
    </w:pPr>
    <w:rPr>
      <w:kern w:val="0"/>
      <w:sz w:val="24"/>
    </w:rPr>
  </w:style>
  <w:style w:type="paragraph" w:customStyle="1" w:styleId="128">
    <w:name w:val="文华表1级标题1"/>
    <w:basedOn w:val="5"/>
    <w:next w:val="129"/>
    <w:autoRedefine/>
    <w:qFormat/>
    <w:uiPriority w:val="0"/>
    <w:pPr>
      <w:keepNext w:val="0"/>
    </w:pPr>
    <w:rPr>
      <w:kern w:val="4"/>
      <w:sz w:val="28"/>
    </w:rPr>
  </w:style>
  <w:style w:type="paragraph" w:customStyle="1" w:styleId="129">
    <w:name w:val="文本正文"/>
    <w:basedOn w:val="1"/>
    <w:autoRedefine/>
    <w:qFormat/>
    <w:uiPriority w:val="0"/>
    <w:pPr>
      <w:spacing w:line="360" w:lineRule="auto"/>
      <w:ind w:firstLine="480" w:firstLineChars="200"/>
    </w:pPr>
    <w:rPr>
      <w:rFonts w:ascii="Calibri" w:hAnsi="Calibri"/>
      <w:sz w:val="24"/>
    </w:rPr>
  </w:style>
  <w:style w:type="paragraph" w:customStyle="1" w:styleId="130">
    <w:name w:val="zxzx书正文"/>
    <w:basedOn w:val="1"/>
    <w:autoRedefine/>
    <w:qFormat/>
    <w:uiPriority w:val="0"/>
    <w:pPr>
      <w:widowControl/>
      <w:spacing w:line="440" w:lineRule="exact"/>
      <w:ind w:firstLine="880" w:firstLineChars="200"/>
      <w:jc w:val="left"/>
    </w:pPr>
    <w:rPr>
      <w:sz w:val="24"/>
    </w:rPr>
  </w:style>
  <w:style w:type="paragraph" w:customStyle="1" w:styleId="131">
    <w:name w:val="正文--环评"/>
    <w:basedOn w:val="1"/>
    <w:autoRedefine/>
    <w:qFormat/>
    <w:uiPriority w:val="0"/>
    <w:pPr>
      <w:spacing w:line="360" w:lineRule="auto"/>
      <w:ind w:firstLine="480" w:firstLineChars="200"/>
    </w:pPr>
    <w:rPr>
      <w:rFonts w:cs="宋体"/>
      <w:color w:val="000000"/>
      <w:spacing w:val="0"/>
      <w:sz w:val="24"/>
    </w:rPr>
  </w:style>
  <w:style w:type="paragraph" w:customStyle="1" w:styleId="132">
    <w:name w:val="表中文字（工大）"/>
    <w:basedOn w:val="1"/>
    <w:autoRedefine/>
    <w:qFormat/>
    <w:uiPriority w:val="0"/>
    <w:pPr>
      <w:spacing w:line="440" w:lineRule="exact"/>
      <w:jc w:val="center"/>
    </w:pPr>
    <w:rPr>
      <w:sz w:val="21"/>
      <w:szCs w:val="20"/>
    </w:rPr>
  </w:style>
  <w:style w:type="character" w:customStyle="1" w:styleId="133">
    <w:name w:val="font11"/>
    <w:basedOn w:val="36"/>
    <w:autoRedefine/>
    <w:qFormat/>
    <w:uiPriority w:val="0"/>
    <w:rPr>
      <w:rFonts w:hint="default" w:ascii="Times New Roman" w:hAnsi="Times New Roman" w:cs="Times New Roman"/>
      <w:color w:val="000000"/>
      <w:sz w:val="18"/>
      <w:szCs w:val="18"/>
      <w:u w:val="none"/>
    </w:rPr>
  </w:style>
  <w:style w:type="character" w:customStyle="1" w:styleId="134">
    <w:name w:val="font21"/>
    <w:basedOn w:val="36"/>
    <w:autoRedefine/>
    <w:qFormat/>
    <w:uiPriority w:val="0"/>
    <w:rPr>
      <w:rFonts w:hint="eastAsia" w:ascii="宋体" w:hAnsi="宋体" w:eastAsia="宋体" w:cs="宋体"/>
      <w:color w:val="000000"/>
      <w:sz w:val="18"/>
      <w:szCs w:val="18"/>
      <w:u w:val="none"/>
    </w:rPr>
  </w:style>
  <w:style w:type="paragraph" w:customStyle="1" w:styleId="135">
    <w:name w:val="文本框样式"/>
    <w:basedOn w:val="1"/>
    <w:autoRedefine/>
    <w:qFormat/>
    <w:uiPriority w:val="0"/>
    <w:pPr>
      <w:spacing w:line="240" w:lineRule="auto"/>
      <w:ind w:firstLine="0" w:firstLineChars="0"/>
      <w:jc w:val="center"/>
    </w:pPr>
    <w:rPr>
      <w:sz w:val="21"/>
    </w:rPr>
  </w:style>
  <w:style w:type="paragraph" w:customStyle="1" w:styleId="136">
    <w:name w:val="表"/>
    <w:autoRedefine/>
    <w:qFormat/>
    <w:uiPriority w:val="0"/>
    <w:pPr>
      <w:spacing w:line="440" w:lineRule="exact"/>
      <w:ind w:firstLine="200" w:firstLineChars="200"/>
      <w:jc w:val="both"/>
    </w:pPr>
    <w:rPr>
      <w:rFonts w:ascii="Calibri" w:hAnsi="Calibri" w:eastAsia="宋体" w:cs="Times New Roman"/>
      <w:sz w:val="24"/>
      <w:lang w:val="en-US" w:eastAsia="zh-CN" w:bidi="ar-SA"/>
    </w:rPr>
  </w:style>
  <w:style w:type="paragraph" w:customStyle="1" w:styleId="137">
    <w:name w:val="cucd-0"/>
    <w:autoRedefine/>
    <w:qFormat/>
    <w:uiPriority w:val="0"/>
    <w:pPr>
      <w:numPr>
        <w:ilvl w:val="0"/>
        <w:numId w:val="2"/>
      </w:numPr>
      <w:tabs>
        <w:tab w:val="left" w:pos="3485"/>
      </w:tabs>
      <w:spacing w:line="360" w:lineRule="auto"/>
    </w:pPr>
    <w:rPr>
      <w:rFonts w:ascii="Times New Roman" w:hAnsi="Times New Roman" w:eastAsia="宋体" w:cs="Times New Roman"/>
      <w:kern w:val="2"/>
      <w:sz w:val="24"/>
      <w:szCs w:val="24"/>
      <w:lang w:val="en-US" w:eastAsia="zh-CN" w:bidi="ar-SA"/>
    </w:rPr>
  </w:style>
  <w:style w:type="paragraph" w:customStyle="1" w:styleId="138">
    <w:name w:val="段落正文"/>
    <w:basedOn w:val="1"/>
    <w:autoRedefine/>
    <w:qFormat/>
    <w:uiPriority w:val="0"/>
    <w:pPr>
      <w:widowControl w:val="0"/>
      <w:spacing w:line="500" w:lineRule="atLeast"/>
    </w:pPr>
    <w:rPr>
      <w:rFonts w:eastAsia="仿宋_GB2312"/>
      <w:szCs w:val="28"/>
    </w:rPr>
  </w:style>
  <w:style w:type="character" w:customStyle="1" w:styleId="139">
    <w:name w:val="标题 1 Char1"/>
    <w:link w:val="5"/>
    <w:autoRedefine/>
    <w:qFormat/>
    <w:uiPriority w:val="0"/>
    <w:rPr>
      <w:rFonts w:eastAsia="黑体"/>
      <w:b/>
      <w:bCs/>
      <w:color w:val="000000"/>
      <w:kern w:val="44"/>
      <w:sz w:val="30"/>
      <w:szCs w:val="30"/>
    </w:rPr>
  </w:style>
  <w:style w:type="character" w:customStyle="1" w:styleId="140">
    <w:name w:val="标题 2 Char"/>
    <w:link w:val="6"/>
    <w:autoRedefine/>
    <w:qFormat/>
    <w:uiPriority w:val="0"/>
    <w:rPr>
      <w:rFonts w:ascii="Arial" w:hAnsi="Arial" w:eastAsia="黑体"/>
      <w:b/>
      <w:bCs/>
      <w:sz w:val="32"/>
      <w:szCs w:val="32"/>
    </w:rPr>
  </w:style>
  <w:style w:type="paragraph" w:customStyle="1" w:styleId="141">
    <w:name w:val="表体"/>
    <w:basedOn w:val="1"/>
    <w:autoRedefine/>
    <w:qFormat/>
    <w:uiPriority w:val="0"/>
    <w:pPr>
      <w:spacing w:line="240" w:lineRule="auto"/>
    </w:pPr>
    <w:rPr>
      <w:sz w:val="21"/>
      <w:szCs w:val="21"/>
    </w:rPr>
  </w:style>
  <w:style w:type="paragraph" w:customStyle="1" w:styleId="142">
    <w:name w:val="Char Char Char Char Char Char Char2"/>
    <w:basedOn w:val="1"/>
    <w:autoRedefine/>
    <w:qFormat/>
    <w:uiPriority w:val="0"/>
    <w:pPr>
      <w:snapToGrid w:val="0"/>
      <w:spacing w:line="360" w:lineRule="auto"/>
      <w:ind w:firstLine="529" w:firstLineChars="200"/>
    </w:pPr>
  </w:style>
  <w:style w:type="paragraph" w:customStyle="1" w:styleId="143">
    <w:name w:val="表格题目"/>
    <w:basedOn w:val="1"/>
    <w:autoRedefine/>
    <w:qFormat/>
    <w:uiPriority w:val="0"/>
    <w:pPr>
      <w:spacing w:line="240" w:lineRule="atLeast"/>
      <w:jc w:val="center"/>
    </w:pPr>
    <w:rPr>
      <w:rFonts w:ascii="黑体" w:hAnsi="宋体" w:eastAsia="黑体"/>
      <w:sz w:val="24"/>
    </w:rPr>
  </w:style>
  <w:style w:type="table" w:customStyle="1" w:styleId="144">
    <w:name w:val="Table Normal"/>
    <w:autoRedefine/>
    <w:semiHidden/>
    <w:unhideWhenUsed/>
    <w:qFormat/>
    <w:uiPriority w:val="0"/>
    <w:tblPr>
      <w:tblCellMar>
        <w:top w:w="0" w:type="dxa"/>
        <w:left w:w="0" w:type="dxa"/>
        <w:bottom w:w="0" w:type="dxa"/>
        <w:right w:w="0" w:type="dxa"/>
      </w:tblCellMar>
    </w:tblPr>
  </w:style>
  <w:style w:type="character" w:customStyle="1" w:styleId="145">
    <w:name w:val="正文（首行缩进两字） Char"/>
    <w:autoRedefine/>
    <w:qFormat/>
    <w:uiPriority w:val="0"/>
    <w:rPr>
      <w:rFonts w:eastAsia="宋体"/>
      <w:kern w:val="2"/>
      <w:sz w:val="24"/>
      <w:lang w:val="en-US" w:eastAsia="zh-CN"/>
    </w:rPr>
  </w:style>
  <w:style w:type="paragraph" w:customStyle="1" w:styleId="146">
    <w:name w:val="表中文字"/>
    <w:basedOn w:val="1"/>
    <w:autoRedefine/>
    <w:qFormat/>
    <w:uiPriority w:val="0"/>
    <w:pPr>
      <w:jc w:val="center"/>
    </w:pPr>
    <w:rPr>
      <w:szCs w:val="20"/>
    </w:rPr>
  </w:style>
  <w:style w:type="paragraph" w:customStyle="1" w:styleId="147">
    <w:name w:val="正文格式"/>
    <w:basedOn w:val="1"/>
    <w:autoRedefine/>
    <w:qFormat/>
    <w:uiPriority w:val="0"/>
    <w:pPr>
      <w:spacing w:line="360" w:lineRule="auto"/>
      <w:ind w:firstLine="482"/>
    </w:pPr>
  </w:style>
  <w:style w:type="paragraph" w:customStyle="1" w:styleId="148">
    <w:name w:val="Table Text"/>
    <w:basedOn w:val="1"/>
    <w:autoRedefine/>
    <w:semiHidden/>
    <w:qFormat/>
    <w:uiPriority w:val="0"/>
    <w:rPr>
      <w:rFonts w:ascii="宋体" w:hAnsi="宋体" w:eastAsia="宋体" w:cs="宋体"/>
      <w:sz w:val="24"/>
      <w:szCs w:val="24"/>
      <w:lang w:val="en-US" w:eastAsia="en-US" w:bidi="ar-SA"/>
    </w:rPr>
  </w:style>
  <w:style w:type="paragraph" w:customStyle="1" w:styleId="149">
    <w:name w:val="【表中文字】"/>
    <w:basedOn w:val="150"/>
    <w:autoRedefine/>
    <w:qFormat/>
    <w:uiPriority w:val="0"/>
    <w:pPr>
      <w:jc w:val="center"/>
    </w:pPr>
    <w:rPr>
      <w:kern w:val="0"/>
      <w:szCs w:val="20"/>
    </w:rPr>
  </w:style>
  <w:style w:type="paragraph" w:customStyle="1" w:styleId="150">
    <w:name w:val=".表1-1-1内容"/>
    <w:basedOn w:val="1"/>
    <w:autoRedefine/>
    <w:qFormat/>
    <w:uiPriority w:val="0"/>
    <w:pPr>
      <w:spacing w:line="300" w:lineRule="exact"/>
      <w:jc w:val="center"/>
    </w:pPr>
    <w:rPr>
      <w:kern w:val="0"/>
      <w:szCs w:val="21"/>
    </w:rPr>
  </w:style>
  <w:style w:type="paragraph" w:customStyle="1" w:styleId="151">
    <w:name w:val="a正文"/>
    <w:basedOn w:val="147"/>
    <w:autoRedefine/>
    <w:qFormat/>
    <w:uiPriority w:val="0"/>
    <w:pPr>
      <w:spacing w:line="520" w:lineRule="exact"/>
      <w:ind w:firstLine="200" w:firstLineChars="200"/>
    </w:pPr>
    <w:rPr>
      <w:kern w:val="0"/>
      <w:szCs w:val="21"/>
    </w:rPr>
  </w:style>
  <w:style w:type="character" w:customStyle="1" w:styleId="152">
    <w:name w:val="表格文字 Char"/>
    <w:link w:val="84"/>
    <w:autoRedefine/>
    <w:qFormat/>
    <w:uiPriority w:val="0"/>
    <w:rPr>
      <w:rFonts w:ascii="new times roma" w:hAnsi="new times roma"/>
    </w:rPr>
  </w:style>
  <w:style w:type="paragraph" w:customStyle="1" w:styleId="153">
    <w:name w:val="表表头"/>
    <w:basedOn w:val="1"/>
    <w:autoRedefine/>
    <w:qFormat/>
    <w:uiPriority w:val="0"/>
    <w:pPr>
      <w:jc w:val="center"/>
    </w:pPr>
    <w:rPr>
      <w:rFonts w:ascii="Calibri" w:hAnsi="Calibri" w:eastAsia="黑体"/>
    </w:rPr>
  </w:style>
  <w:style w:type="paragraph" w:customStyle="1" w:styleId="154">
    <w:name w:val="列出段落1"/>
    <w:basedOn w:val="1"/>
    <w:autoRedefine/>
    <w:qFormat/>
    <w:uiPriority w:val="0"/>
    <w:pPr>
      <w:ind w:firstLine="420" w:firstLineChars="200"/>
    </w:pPr>
  </w:style>
  <w:style w:type="paragraph" w:customStyle="1" w:styleId="155">
    <w:name w:val="盂县"/>
    <w:basedOn w:val="1"/>
    <w:autoRedefine/>
    <w:qFormat/>
    <w:uiPriority w:val="0"/>
    <w:pPr>
      <w:adjustRightInd w:val="0"/>
      <w:snapToGrid w:val="0"/>
      <w:spacing w:line="312" w:lineRule="auto"/>
      <w:ind w:firstLine="560" w:firstLineChars="200"/>
    </w:pPr>
    <w:rPr>
      <w:sz w:val="28"/>
    </w:rPr>
  </w:style>
  <w:style w:type="paragraph" w:customStyle="1" w:styleId="156">
    <w:name w:val="首行缩进正文"/>
    <w:basedOn w:val="74"/>
    <w:autoRedefine/>
    <w:qFormat/>
    <w:uiPriority w:val="0"/>
    <w:rPr>
      <w:sz w:val="21"/>
    </w:rPr>
  </w:style>
  <w:style w:type="paragraph" w:customStyle="1" w:styleId="157">
    <w:name w:val="【表中文字】-"/>
    <w:basedOn w:val="1"/>
    <w:autoRedefine/>
    <w:qFormat/>
    <w:uiPriority w:val="0"/>
    <w:pPr>
      <w:adjustRightInd w:val="0"/>
      <w:snapToGrid w:val="0"/>
      <w:jc w:val="center"/>
    </w:pPr>
    <w:rPr>
      <w:kern w:val="0"/>
      <w:sz w:val="18"/>
      <w:szCs w:val="20"/>
    </w:rPr>
  </w:style>
  <w:style w:type="paragraph" w:customStyle="1" w:styleId="158">
    <w:name w:val="填表样式"/>
    <w:autoRedefine/>
    <w:qFormat/>
    <w:uiPriority w:val="0"/>
    <w:pPr>
      <w:widowControl w:val="0"/>
      <w:adjustRightInd w:val="0"/>
      <w:snapToGrid w:val="0"/>
      <w:spacing w:line="360" w:lineRule="auto"/>
      <w:ind w:firstLine="720" w:firstLineChars="200"/>
      <w:jc w:val="both"/>
    </w:pPr>
    <w:rPr>
      <w:rFonts w:ascii="Times New Roman" w:hAnsi="Times New Roman" w:eastAsia="宋体" w:cs="Times New Roman"/>
      <w:kern w:val="2"/>
      <w:sz w:val="21"/>
      <w:szCs w:val="24"/>
      <w:lang w:val="en-US" w:eastAsia="zh-CN" w:bidi="ar-SA"/>
    </w:rPr>
  </w:style>
  <w:style w:type="paragraph" w:customStyle="1" w:styleId="159">
    <w:name w:val="正文缩进1"/>
    <w:basedOn w:val="1"/>
    <w:autoRedefine/>
    <w:qFormat/>
    <w:uiPriority w:val="0"/>
    <w:pPr>
      <w:ind w:firstLine="420"/>
    </w:pPr>
    <w:rPr>
      <w:rFonts w:eastAsia="宋体"/>
      <w:sz w:val="28"/>
    </w:rPr>
  </w:style>
  <w:style w:type="paragraph" w:customStyle="1" w:styleId="160">
    <w:name w:val="专篇正文"/>
    <w:basedOn w:val="74"/>
    <w:autoRedefine/>
    <w:qFormat/>
    <w:uiPriority w:val="0"/>
  </w:style>
  <w:style w:type="paragraph" w:customStyle="1" w:styleId="161">
    <w:name w:val="a表格标题"/>
    <w:basedOn w:val="1"/>
    <w:autoRedefine/>
    <w:qFormat/>
    <w:uiPriority w:val="0"/>
    <w:pPr>
      <w:widowControl/>
      <w:spacing w:line="360" w:lineRule="auto"/>
      <w:jc w:val="center"/>
    </w:pPr>
    <w:rPr>
      <w:b/>
      <w:kern w:val="0"/>
      <w:szCs w:val="21"/>
    </w:rPr>
  </w:style>
  <w:style w:type="paragraph" w:customStyle="1" w:styleId="162">
    <w:name w:val="样式 黑体 居中 行距: 1.5 倍行距"/>
    <w:basedOn w:val="1"/>
    <w:qFormat/>
    <w:uiPriority w:val="0"/>
    <w:pPr>
      <w:spacing w:line="360" w:lineRule="auto"/>
      <w:jc w:val="center"/>
    </w:pPr>
    <w:rPr>
      <w:rFonts w:ascii="黑体" w:hAnsi="黑体" w:eastAsia="黑体" w:cs="宋体"/>
    </w:rPr>
  </w:style>
  <w:style w:type="paragraph" w:customStyle="1" w:styleId="163">
    <w:name w:val="[正文]"/>
    <w:basedOn w:val="147"/>
    <w:qFormat/>
    <w:uiPriority w:val="0"/>
    <w:pPr>
      <w:spacing w:line="520" w:lineRule="exact"/>
      <w:ind w:firstLine="200"/>
    </w:pPr>
    <w:rPr>
      <w:rFonts w:ascii="Times New Roman" w:hAnsi="Times New Roman"/>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3" Type="http://schemas.openxmlformats.org/officeDocument/2006/relationships/fontTable" Target="fontTable.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48.png"/><Relationship Id="rId6" Type="http://schemas.openxmlformats.org/officeDocument/2006/relationships/footer" Target="footer4.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jpe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wmf"/><Relationship Id="rId25" Type="http://schemas.openxmlformats.org/officeDocument/2006/relationships/oleObject" Target="embeddings/oleObject5.bin"/><Relationship Id="rId24" Type="http://schemas.openxmlformats.org/officeDocument/2006/relationships/image" Target="media/image13.png"/><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oleObject" Target="embeddings/oleObject4.bin"/><Relationship Id="rId18" Type="http://schemas.openxmlformats.org/officeDocument/2006/relationships/oleObject" Target="embeddings/oleObject3.bin"/><Relationship Id="rId17" Type="http://schemas.openxmlformats.org/officeDocument/2006/relationships/image" Target="media/image8.wmf"/><Relationship Id="rId16" Type="http://schemas.openxmlformats.org/officeDocument/2006/relationships/oleObject" Target="embeddings/oleObject2.bin"/><Relationship Id="rId15" Type="http://schemas.openxmlformats.org/officeDocument/2006/relationships/image" Target="media/image7.wmf"/><Relationship Id="rId14" Type="http://schemas.openxmlformats.org/officeDocument/2006/relationships/oleObject" Target="embeddings/oleObject1.bin"/><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Manager>Yu</Manager>
  <Company>-</Company>
  <Pages>87</Pages>
  <Words>18627</Words>
  <Characters>20430</Characters>
  <Lines>1</Lines>
  <Paragraphs>1</Paragraphs>
  <TotalTime>20</TotalTime>
  <ScaleCrop>false</ScaleCrop>
  <LinksUpToDate>false</LinksUpToDate>
  <CharactersWithSpaces>20532</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2020-12-24T01:42:00Z</dcterms:created>
  <dc:creator>Yu</dc:creator>
  <cp:lastModifiedBy>进击的豆子</cp:lastModifiedBy>
  <cp:lastPrinted>2021-09-16T08:57:00Z</cp:lastPrinted>
  <dcterms:modified xsi:type="dcterms:W3CDTF">2025-08-20T01:21:32Z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79E58E6C1A7246ABA3354E40385590B0_13</vt:lpwstr>
  </property>
  <property fmtid="{D5CDD505-2E9C-101B-9397-08002B2CF9AE}" pid="4" name="KSOTemplateDocerSaveRecord">
    <vt:lpwstr>eyJoZGlkIjoiNDA3ZDEzYTcyZWRiOGYyNzJkZjRjYTAzZDg0ODNmY2UiLCJ1c2VySWQiOiIzNDIxNTk0NDEifQ==</vt:lpwstr>
  </property>
</Properties>
</file>