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ED75E5C">
      <w:pPr>
        <w:rPr>
          <w:rFonts w:hint="default" w:ascii="Times New Roman" w:hAnsi="Times New Roman" w:eastAsia="仿宋_GB2312" w:cs="Times New Roman"/>
          <w:color w:val="auto"/>
          <w:sz w:val="36"/>
          <w:szCs w:val="36"/>
          <w:highlight w:val="none"/>
          <w:lang w:val="en-US" w:eastAsia="zh-CN"/>
        </w:rPr>
      </w:pPr>
      <w:r>
        <w:rPr>
          <w:rFonts w:hint="default" w:ascii="Times New Roman" w:hAnsi="Times New Roman" w:eastAsia="仿宋_GB2312" w:cs="Times New Roman"/>
          <w:color w:val="auto"/>
          <w:sz w:val="36"/>
          <w:szCs w:val="36"/>
          <w:highlight w:val="none"/>
          <w:lang w:val="en-US" w:eastAsia="zh-CN"/>
        </w:rPr>
        <w:drawing>
          <wp:anchor distT="0" distB="0" distL="114300" distR="114300" simplePos="0" relativeHeight="251697152" behindDoc="0" locked="0" layoutInCell="1" allowOverlap="1">
            <wp:simplePos x="0" y="0"/>
            <wp:positionH relativeFrom="column">
              <wp:posOffset>-962025</wp:posOffset>
            </wp:positionH>
            <wp:positionV relativeFrom="paragraph">
              <wp:posOffset>-1076325</wp:posOffset>
            </wp:positionV>
            <wp:extent cx="7518400" cy="11363325"/>
            <wp:effectExtent l="0" t="0" r="6350" b="9525"/>
            <wp:wrapNone/>
            <wp:docPr id="17" name="图片 17" descr="9c5ceb619779765a19c3114b33bea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9c5ceb619779765a19c3114b33bea474"/>
                    <pic:cNvPicPr>
                      <a:picLocks noChangeAspect="1"/>
                    </pic:cNvPicPr>
                  </pic:nvPicPr>
                  <pic:blipFill>
                    <a:blip r:embed="rId11"/>
                    <a:stretch>
                      <a:fillRect/>
                    </a:stretch>
                  </pic:blipFill>
                  <pic:spPr>
                    <a:xfrm>
                      <a:off x="0" y="0"/>
                      <a:ext cx="7518400" cy="11363325"/>
                    </a:xfrm>
                    <a:prstGeom prst="rect">
                      <a:avLst/>
                    </a:prstGeom>
                  </pic:spPr>
                </pic:pic>
              </a:graphicData>
            </a:graphic>
          </wp:anchor>
        </w:drawing>
      </w:r>
    </w:p>
    <w:p w14:paraId="00EAF6EE">
      <w:pPr>
        <w:rPr>
          <w:rFonts w:hint="default" w:ascii="Times New Roman" w:hAnsi="Times New Roman" w:eastAsia="仿宋_GB2312" w:cs="Times New Roman"/>
          <w:color w:val="auto"/>
          <w:sz w:val="36"/>
          <w:szCs w:val="36"/>
          <w:highlight w:val="none"/>
        </w:rPr>
      </w:pPr>
    </w:p>
    <w:p w14:paraId="3A32757D">
      <w:pPr>
        <w:rPr>
          <w:rFonts w:hint="default" w:ascii="Times New Roman" w:hAnsi="Times New Roman" w:eastAsia="仿宋_GB2312" w:cs="Times New Roman"/>
          <w:color w:val="auto"/>
          <w:sz w:val="36"/>
          <w:szCs w:val="36"/>
          <w:highlight w:val="none"/>
        </w:rPr>
      </w:pPr>
    </w:p>
    <w:p w14:paraId="0B77BF09">
      <w:pPr>
        <w:rPr>
          <w:rFonts w:hint="eastAsia" w:ascii="宋体" w:hAnsi="宋体" w:eastAsia="宋体" w:cs="宋体"/>
          <w:color w:val="auto"/>
          <w:sz w:val="36"/>
          <w:szCs w:val="36"/>
          <w:highlight w:val="none"/>
        </w:rPr>
      </w:pPr>
    </w:p>
    <w:p w14:paraId="4ED1D276">
      <w:pPr>
        <w:rPr>
          <w:rFonts w:hint="eastAsia" w:ascii="宋体" w:hAnsi="宋体" w:eastAsia="宋体" w:cs="宋体"/>
          <w:color w:val="auto"/>
          <w:sz w:val="36"/>
          <w:szCs w:val="36"/>
          <w:highlight w:val="none"/>
        </w:rPr>
      </w:pPr>
    </w:p>
    <w:p w14:paraId="67E46258">
      <w:pPr>
        <w:adjustRightInd w:val="0"/>
        <w:snapToGrid w:val="0"/>
        <w:jc w:val="center"/>
        <w:outlineLvl w:val="0"/>
        <w:rPr>
          <w:rFonts w:hint="eastAsia" w:ascii="宋体" w:hAnsi="宋体" w:eastAsia="宋体" w:cs="宋体"/>
          <w:bCs/>
          <w:color w:val="auto"/>
          <w:sz w:val="72"/>
          <w:szCs w:val="72"/>
          <w:highlight w:val="none"/>
        </w:rPr>
      </w:pPr>
      <w:bookmarkStart w:id="0" w:name="_Toc24661"/>
      <w:bookmarkStart w:id="1" w:name="_Toc13958"/>
      <w:bookmarkStart w:id="2" w:name="_Toc21638"/>
      <w:bookmarkStart w:id="3" w:name="_Toc8828"/>
      <w:bookmarkStart w:id="4" w:name="_Toc80034800"/>
      <w:bookmarkStart w:id="5" w:name="_Toc15511"/>
      <w:bookmarkStart w:id="6" w:name="_Toc17705"/>
      <w:bookmarkStart w:id="7" w:name="_Toc845"/>
      <w:bookmarkStart w:id="8" w:name="_Toc18176"/>
      <w:bookmarkStart w:id="9" w:name="_Toc20566"/>
      <w:bookmarkStart w:id="10" w:name="_Toc1041"/>
      <w:r>
        <w:rPr>
          <w:rFonts w:hint="eastAsia" w:ascii="宋体" w:hAnsi="宋体" w:eastAsia="宋体" w:cs="宋体"/>
          <w:bCs/>
          <w:color w:val="auto"/>
          <w:sz w:val="72"/>
          <w:szCs w:val="72"/>
          <w:highlight w:val="none"/>
        </w:rPr>
        <w:t>建设项目环境影响报告表</w:t>
      </w:r>
      <w:bookmarkEnd w:id="0"/>
      <w:bookmarkEnd w:id="1"/>
      <w:bookmarkEnd w:id="2"/>
      <w:bookmarkEnd w:id="3"/>
      <w:bookmarkEnd w:id="4"/>
      <w:bookmarkEnd w:id="5"/>
      <w:bookmarkEnd w:id="6"/>
      <w:bookmarkEnd w:id="7"/>
      <w:bookmarkEnd w:id="8"/>
      <w:bookmarkEnd w:id="9"/>
      <w:bookmarkEnd w:id="10"/>
    </w:p>
    <w:p w14:paraId="78B4FE95">
      <w:pPr>
        <w:adjustRightInd w:val="0"/>
        <w:snapToGrid w:val="0"/>
        <w:spacing w:before="192" w:beforeLines="80"/>
        <w:jc w:val="center"/>
        <w:rPr>
          <w:rFonts w:hint="eastAsia" w:ascii="宋体" w:hAnsi="宋体" w:eastAsia="宋体" w:cs="宋体"/>
          <w:bCs/>
          <w:color w:val="auto"/>
          <w:sz w:val="48"/>
          <w:szCs w:val="48"/>
          <w:highlight w:val="none"/>
        </w:rPr>
      </w:pPr>
      <w:r>
        <w:rPr>
          <w:rFonts w:hint="eastAsia" w:ascii="宋体" w:hAnsi="宋体" w:eastAsia="宋体" w:cs="宋体"/>
          <w:bCs/>
          <w:color w:val="auto"/>
          <w:sz w:val="48"/>
          <w:szCs w:val="48"/>
          <w:highlight w:val="none"/>
        </w:rPr>
        <w:t>（污染影响类）</w:t>
      </w:r>
    </w:p>
    <w:p w14:paraId="7A7A1BED">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p>
    <w:p w14:paraId="1975AC30">
      <w:pPr>
        <w:rPr>
          <w:rFonts w:hint="default" w:ascii="Times New Roman" w:hAnsi="Times New Roman" w:cs="Times New Roman"/>
          <w:color w:val="auto"/>
          <w:highlight w:val="none"/>
        </w:rPr>
      </w:pPr>
    </w:p>
    <w:p w14:paraId="262A6AB1">
      <w:pPr>
        <w:jc w:val="center"/>
        <w:rPr>
          <w:rFonts w:hint="default" w:ascii="Times New Roman" w:hAnsi="Times New Roman" w:eastAsia="仿宋" w:cs="Times New Roman"/>
          <w:color w:val="auto"/>
          <w:sz w:val="52"/>
          <w:szCs w:val="52"/>
          <w:highlight w:val="none"/>
        </w:rPr>
      </w:pPr>
    </w:p>
    <w:p w14:paraId="6D7728F6">
      <w:pPr>
        <w:ind w:firstLine="1040"/>
        <w:rPr>
          <w:rFonts w:hint="default" w:ascii="Times New Roman" w:hAnsi="Times New Roman" w:eastAsia="仿宋" w:cs="Times New Roman"/>
          <w:color w:val="auto"/>
          <w:sz w:val="44"/>
          <w:szCs w:val="44"/>
          <w:highlight w:val="none"/>
        </w:rPr>
      </w:pPr>
    </w:p>
    <w:p w14:paraId="32825941">
      <w:pPr>
        <w:ind w:firstLine="1040"/>
        <w:rPr>
          <w:rFonts w:hint="default" w:ascii="Times New Roman" w:hAnsi="Times New Roman" w:eastAsia="仿宋" w:cs="Times New Roman"/>
          <w:color w:val="auto"/>
          <w:sz w:val="44"/>
          <w:szCs w:val="44"/>
          <w:highlight w:val="none"/>
        </w:rPr>
      </w:pPr>
    </w:p>
    <w:p w14:paraId="1A500674">
      <w:pPr>
        <w:ind w:firstLine="1040"/>
        <w:rPr>
          <w:rFonts w:hint="default" w:ascii="Times New Roman" w:hAnsi="Times New Roman" w:eastAsia="仿宋" w:cs="Times New Roman"/>
          <w:color w:val="auto"/>
          <w:sz w:val="44"/>
          <w:szCs w:val="44"/>
          <w:highlight w:val="none"/>
        </w:rPr>
      </w:pPr>
    </w:p>
    <w:p w14:paraId="7E9A0C94">
      <w:pPr>
        <w:ind w:firstLine="1040"/>
        <w:rPr>
          <w:rFonts w:hint="default" w:ascii="Times New Roman" w:hAnsi="Times New Roman" w:eastAsia="仿宋" w:cs="Times New Roman"/>
          <w:color w:val="auto"/>
          <w:sz w:val="44"/>
          <w:szCs w:val="44"/>
          <w:highlight w:val="none"/>
        </w:rPr>
      </w:pPr>
    </w:p>
    <w:p w14:paraId="4183F9D7">
      <w:pPr>
        <w:adjustRightInd w:val="0"/>
        <w:snapToGrid w:val="0"/>
        <w:spacing w:line="560" w:lineRule="exact"/>
        <w:ind w:left="2230" w:leftChars="300" w:hanging="1600" w:hangingChars="500"/>
        <w:rPr>
          <w:rFonts w:hint="default" w:ascii="Times New Roman" w:hAnsi="Times New Roman" w:cs="Times New Roman"/>
          <w:color w:val="auto"/>
          <w:sz w:val="32"/>
          <w:szCs w:val="32"/>
          <w:highlight w:val="none"/>
          <w:u w:val="single"/>
          <w:lang w:val="en-US"/>
        </w:rPr>
      </w:pPr>
      <w:r>
        <w:rPr>
          <w:rFonts w:hint="default" w:ascii="Times New Roman" w:hAnsi="Times New Roman" w:cs="Times New Roman"/>
          <w:color w:val="auto"/>
          <w:sz w:val="32"/>
          <w:szCs w:val="32"/>
          <w:highlight w:val="none"/>
        </w:rPr>
        <w:t>项目名称：</w:t>
      </w:r>
      <w:r>
        <w:rPr>
          <w:rFonts w:hint="default" w:ascii="Times New Roman" w:hAnsi="Times New Roman" w:cs="Times New Roman"/>
          <w:color w:val="auto"/>
          <w:sz w:val="32"/>
          <w:szCs w:val="32"/>
          <w:highlight w:val="none"/>
          <w:u w:val="single"/>
          <w:lang w:val="en-US" w:eastAsia="zh-CN"/>
        </w:rPr>
        <w:t xml:space="preserve">  </w:t>
      </w:r>
      <w:r>
        <w:rPr>
          <w:rFonts w:hint="eastAsia" w:cs="Times New Roman"/>
          <w:color w:val="auto"/>
          <w:sz w:val="32"/>
          <w:szCs w:val="32"/>
          <w:highlight w:val="none"/>
          <w:u w:val="single"/>
          <w:lang w:eastAsia="zh-CN"/>
        </w:rPr>
        <w:t>鸡西市富金煤炭销售有限公司</w:t>
      </w:r>
      <w:r>
        <w:rPr>
          <w:rFonts w:hint="default" w:ascii="Times New Roman" w:hAnsi="Times New Roman" w:cs="Times New Roman"/>
          <w:color w:val="auto"/>
          <w:sz w:val="32"/>
          <w:szCs w:val="32"/>
          <w:highlight w:val="none"/>
          <w:u w:val="single"/>
          <w:lang w:eastAsia="zh-CN"/>
        </w:rPr>
        <w:t>建设项目</w:t>
      </w:r>
      <w:r>
        <w:rPr>
          <w:rFonts w:hint="default" w:ascii="Times New Roman" w:hAnsi="Times New Roman" w:cs="Times New Roman"/>
          <w:color w:val="auto"/>
          <w:sz w:val="32"/>
          <w:szCs w:val="32"/>
          <w:highlight w:val="none"/>
          <w:u w:val="single"/>
          <w:lang w:val="en-US" w:eastAsia="zh-CN"/>
        </w:rPr>
        <w:t xml:space="preserve">   </w:t>
      </w:r>
    </w:p>
    <w:p w14:paraId="0F091698">
      <w:pPr>
        <w:adjustRightInd w:val="0"/>
        <w:snapToGrid w:val="0"/>
        <w:spacing w:line="560" w:lineRule="exact"/>
        <w:ind w:left="3510" w:leftChars="300" w:hanging="2880" w:hangingChars="900"/>
        <w:rPr>
          <w:rFonts w:hint="default" w:ascii="Times New Roman" w:hAnsi="Times New Roman" w:eastAsia="宋体" w:cs="Times New Roman"/>
          <w:color w:val="auto"/>
          <w:sz w:val="32"/>
          <w:szCs w:val="32"/>
          <w:highlight w:val="none"/>
          <w:lang w:val="en-US" w:eastAsia="zh-CN"/>
        </w:rPr>
      </w:pPr>
      <w:r>
        <w:rPr>
          <w:rFonts w:hint="default" w:ascii="Times New Roman" w:hAnsi="Times New Roman" w:cs="Times New Roman"/>
          <w:color w:val="auto"/>
          <w:sz w:val="32"/>
          <w:szCs w:val="32"/>
          <w:highlight w:val="none"/>
        </w:rPr>
        <w:t>建设单位：</w:t>
      </w:r>
      <w:r>
        <w:rPr>
          <w:rFonts w:hint="default" w:ascii="Times New Roman" w:hAnsi="Times New Roman" w:cs="Times New Roman"/>
          <w:color w:val="auto"/>
          <w:sz w:val="32"/>
          <w:szCs w:val="32"/>
          <w:highlight w:val="none"/>
          <w:u w:val="single"/>
          <w:lang w:val="en-US" w:eastAsia="zh-CN"/>
        </w:rPr>
        <w:t xml:space="preserve">     </w:t>
      </w:r>
      <w:r>
        <w:rPr>
          <w:rFonts w:hint="eastAsia" w:cs="Times New Roman"/>
          <w:color w:val="auto"/>
          <w:sz w:val="32"/>
          <w:szCs w:val="32"/>
          <w:highlight w:val="none"/>
          <w:u w:val="single"/>
          <w:lang w:eastAsia="zh-CN"/>
        </w:rPr>
        <w:t>鸡西市富金煤炭销售有限公司</w:t>
      </w:r>
      <w:r>
        <w:rPr>
          <w:rFonts w:hint="default" w:ascii="Times New Roman" w:hAnsi="Times New Roman" w:cs="Times New Roman"/>
          <w:color w:val="auto"/>
          <w:sz w:val="32"/>
          <w:szCs w:val="32"/>
          <w:highlight w:val="none"/>
          <w:u w:val="single"/>
          <w:lang w:val="en-US" w:eastAsia="zh-CN"/>
        </w:rPr>
        <w:t xml:space="preserve">        </w:t>
      </w:r>
    </w:p>
    <w:p w14:paraId="3D727C2A">
      <w:pPr>
        <w:adjustRightInd w:val="0"/>
        <w:snapToGrid w:val="0"/>
        <w:spacing w:line="560" w:lineRule="exact"/>
        <w:ind w:left="630" w:leftChars="300"/>
        <w:rPr>
          <w:rFonts w:hint="default" w:ascii="Times New Roman" w:hAnsi="Times New Roman" w:eastAsia="宋体" w:cs="Times New Roman"/>
          <w:color w:val="auto"/>
          <w:sz w:val="32"/>
          <w:szCs w:val="32"/>
          <w:highlight w:val="none"/>
          <w:u w:val="single"/>
          <w:lang w:val="en-US" w:eastAsia="zh-CN"/>
        </w:rPr>
      </w:pPr>
      <w:r>
        <w:rPr>
          <w:rFonts w:hint="default" w:ascii="Times New Roman" w:hAnsi="Times New Roman" w:cs="Times New Roman"/>
          <w:color w:val="auto"/>
          <w:sz w:val="32"/>
          <w:szCs w:val="32"/>
          <w:highlight w:val="none"/>
        </w:rPr>
        <w:t>编制日期：</w:t>
      </w:r>
      <w:r>
        <w:rPr>
          <w:rFonts w:hint="default" w:ascii="Times New Roman" w:hAnsi="Times New Roman" w:cs="Times New Roman"/>
          <w:color w:val="auto"/>
          <w:sz w:val="32"/>
          <w:szCs w:val="32"/>
          <w:highlight w:val="none"/>
          <w:u w:val="single"/>
        </w:rPr>
        <w:t xml:space="preserve">        </w:t>
      </w:r>
      <w:r>
        <w:rPr>
          <w:rFonts w:hint="default" w:ascii="Times New Roman" w:hAnsi="Times New Roman" w:cs="Times New Roman"/>
          <w:color w:val="auto"/>
          <w:sz w:val="32"/>
          <w:szCs w:val="32"/>
          <w:highlight w:val="none"/>
          <w:u w:val="single"/>
          <w:lang w:val="en-US" w:eastAsia="zh-CN"/>
        </w:rPr>
        <w:t xml:space="preserve">    </w:t>
      </w:r>
      <w:r>
        <w:rPr>
          <w:rFonts w:hint="default" w:ascii="Times New Roman" w:hAnsi="Times New Roman" w:cs="Times New Roman"/>
          <w:color w:val="auto"/>
          <w:sz w:val="32"/>
          <w:szCs w:val="32"/>
          <w:highlight w:val="none"/>
          <w:u w:val="single"/>
        </w:rPr>
        <w:t>202</w:t>
      </w:r>
      <w:r>
        <w:rPr>
          <w:rFonts w:hint="default" w:ascii="Times New Roman" w:hAnsi="Times New Roman" w:cs="Times New Roman"/>
          <w:color w:val="auto"/>
          <w:sz w:val="32"/>
          <w:szCs w:val="32"/>
          <w:highlight w:val="none"/>
          <w:u w:val="single"/>
          <w:lang w:val="en-US" w:eastAsia="zh-CN"/>
        </w:rPr>
        <w:t>5</w:t>
      </w:r>
      <w:r>
        <w:rPr>
          <w:rFonts w:hint="default" w:ascii="Times New Roman" w:hAnsi="Times New Roman" w:cs="Times New Roman"/>
          <w:color w:val="auto"/>
          <w:sz w:val="32"/>
          <w:szCs w:val="32"/>
          <w:highlight w:val="none"/>
          <w:u w:val="single"/>
        </w:rPr>
        <w:t>年</w:t>
      </w:r>
      <w:r>
        <w:rPr>
          <w:rFonts w:hint="eastAsia" w:cs="Times New Roman"/>
          <w:color w:val="auto"/>
          <w:sz w:val="32"/>
          <w:szCs w:val="32"/>
          <w:highlight w:val="none"/>
          <w:u w:val="single"/>
          <w:lang w:val="en-US" w:eastAsia="zh-CN"/>
        </w:rPr>
        <w:t>5</w:t>
      </w:r>
      <w:r>
        <w:rPr>
          <w:rFonts w:hint="default" w:ascii="Times New Roman" w:hAnsi="Times New Roman" w:cs="Times New Roman"/>
          <w:color w:val="auto"/>
          <w:sz w:val="32"/>
          <w:szCs w:val="32"/>
          <w:highlight w:val="none"/>
          <w:u w:val="single"/>
        </w:rPr>
        <w:t xml:space="preserve">月               </w:t>
      </w:r>
      <w:r>
        <w:rPr>
          <w:rFonts w:hint="default" w:ascii="Times New Roman" w:hAnsi="Times New Roman" w:cs="Times New Roman"/>
          <w:color w:val="auto"/>
          <w:sz w:val="32"/>
          <w:szCs w:val="32"/>
          <w:highlight w:val="none"/>
          <w:u w:val="single"/>
          <w:lang w:val="en-US" w:eastAsia="zh-CN"/>
        </w:rPr>
        <w:t xml:space="preserve"> </w:t>
      </w:r>
    </w:p>
    <w:p w14:paraId="258DE4C3">
      <w:pPr>
        <w:adjustRightInd w:val="0"/>
        <w:snapToGrid w:val="0"/>
        <w:spacing w:line="560" w:lineRule="exact"/>
        <w:ind w:firstLine="1040"/>
        <w:rPr>
          <w:rFonts w:hint="default" w:ascii="Times New Roman" w:hAnsi="Times New Roman" w:eastAsia="仿宋_GB2312" w:cs="Times New Roman"/>
          <w:color w:val="auto"/>
          <w:sz w:val="36"/>
          <w:szCs w:val="36"/>
          <w:highlight w:val="none"/>
          <w:u w:val="single"/>
        </w:rPr>
      </w:pPr>
      <w:bookmarkStart w:id="11" w:name="_Hlk57884087"/>
    </w:p>
    <w:p w14:paraId="1AFD87A0">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bookmarkEnd w:id="11"/>
    <w:p w14:paraId="3D0F4365">
      <w:pPr>
        <w:adjustRightInd w:val="0"/>
        <w:snapToGrid w:val="0"/>
        <w:spacing w:line="288" w:lineRule="auto"/>
        <w:jc w:val="center"/>
        <w:outlineLvl w:val="0"/>
        <w:rPr>
          <w:rFonts w:hint="eastAsia" w:ascii="宋体" w:hAnsi="宋体" w:eastAsia="宋体" w:cs="宋体"/>
          <w:color w:val="auto"/>
          <w:sz w:val="36"/>
          <w:szCs w:val="36"/>
          <w:highlight w:val="none"/>
        </w:rPr>
      </w:pPr>
      <w:bookmarkStart w:id="12" w:name="_Toc6568"/>
      <w:bookmarkStart w:id="13" w:name="_Toc6931"/>
      <w:bookmarkStart w:id="14" w:name="_Toc12071"/>
      <w:bookmarkStart w:id="15" w:name="_Toc19825"/>
      <w:r>
        <w:rPr>
          <w:rFonts w:hint="eastAsia" w:ascii="宋体" w:hAnsi="宋体" w:eastAsia="宋体" w:cs="宋体"/>
          <w:color w:val="auto"/>
          <w:sz w:val="36"/>
          <w:szCs w:val="36"/>
          <w:highlight w:val="none"/>
        </w:rPr>
        <w:t>中华人民共和国生态环境部制</w:t>
      </w:r>
      <w:bookmarkEnd w:id="12"/>
      <w:bookmarkEnd w:id="13"/>
      <w:bookmarkEnd w:id="14"/>
      <w:bookmarkEnd w:id="15"/>
    </w:p>
    <w:p w14:paraId="203F6C24">
      <w:pPr>
        <w:adjustRightInd w:val="0"/>
        <w:snapToGrid w:val="0"/>
        <w:spacing w:line="288" w:lineRule="auto"/>
        <w:jc w:val="center"/>
        <w:rPr>
          <w:rFonts w:hint="default" w:ascii="Times New Roman" w:hAnsi="Times New Roman" w:eastAsia="楷体_GB2312" w:cs="Times New Roman"/>
          <w:color w:val="auto"/>
          <w:sz w:val="36"/>
          <w:szCs w:val="36"/>
          <w:highlight w:val="none"/>
        </w:rPr>
      </w:pPr>
    </w:p>
    <w:p w14:paraId="5582159A">
      <w:pPr>
        <w:rPr>
          <w:rFonts w:hint="default" w:ascii="Times New Roman" w:hAnsi="Times New Roman" w:cs="Times New Roman"/>
          <w:color w:val="auto"/>
          <w:kern w:val="0"/>
          <w:sz w:val="48"/>
          <w:szCs w:val="48"/>
          <w:highlight w:val="none"/>
          <w:lang w:bidi="ar"/>
        </w:rPr>
      </w:pPr>
      <w:r>
        <w:rPr>
          <w:rFonts w:hint="default" w:ascii="Times New Roman" w:hAnsi="Times New Roman" w:cs="Times New Roman"/>
          <w:color w:val="auto"/>
          <w:highlight w:val="none"/>
        </w:rPr>
        <w:br w:type="page"/>
      </w:r>
    </w:p>
    <w:p w14:paraId="2A87F3A6">
      <w:pPr>
        <w:widowControl/>
        <w:spacing w:line="360" w:lineRule="auto"/>
        <w:jc w:val="center"/>
        <w:rPr>
          <w:rFonts w:hint="eastAsia" w:ascii="Times New Roman" w:hAnsi="Times New Roman" w:eastAsia="宋体" w:cs="Times New Roman"/>
          <w:color w:val="auto"/>
          <w:kern w:val="0"/>
          <w:sz w:val="48"/>
          <w:szCs w:val="48"/>
          <w:highlight w:val="none"/>
          <w:lang w:eastAsia="zh-CN" w:bidi="ar"/>
        </w:rPr>
      </w:pPr>
      <w:r>
        <w:rPr>
          <w:rFonts w:hint="eastAsia" w:ascii="Times New Roman" w:hAnsi="Times New Roman" w:eastAsia="宋体" w:cs="Times New Roman"/>
          <w:color w:val="auto"/>
          <w:kern w:val="0"/>
          <w:sz w:val="48"/>
          <w:szCs w:val="48"/>
          <w:highlight w:val="none"/>
          <w:lang w:eastAsia="zh-CN" w:bidi="ar"/>
        </w:rPr>
        <w:drawing>
          <wp:anchor distT="0" distB="0" distL="114300" distR="114300" simplePos="0" relativeHeight="251698176" behindDoc="0" locked="0" layoutInCell="1" allowOverlap="1">
            <wp:simplePos x="0" y="0"/>
            <wp:positionH relativeFrom="column">
              <wp:posOffset>-944880</wp:posOffset>
            </wp:positionH>
            <wp:positionV relativeFrom="paragraph">
              <wp:posOffset>-1076325</wp:posOffset>
            </wp:positionV>
            <wp:extent cx="7527290" cy="10725150"/>
            <wp:effectExtent l="0" t="0" r="16510" b="0"/>
            <wp:wrapNone/>
            <wp:docPr id="48" name="图片 48" descr="5b21ac8c857334fcd7e97d2873b2f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5b21ac8c857334fcd7e97d2873b2f445"/>
                    <pic:cNvPicPr>
                      <a:picLocks noChangeAspect="1"/>
                    </pic:cNvPicPr>
                  </pic:nvPicPr>
                  <pic:blipFill>
                    <a:blip r:embed="rId12"/>
                    <a:stretch>
                      <a:fillRect/>
                    </a:stretch>
                  </pic:blipFill>
                  <pic:spPr>
                    <a:xfrm>
                      <a:off x="0" y="0"/>
                      <a:ext cx="7527290" cy="10725150"/>
                    </a:xfrm>
                    <a:prstGeom prst="rect">
                      <a:avLst/>
                    </a:prstGeom>
                  </pic:spPr>
                </pic:pic>
              </a:graphicData>
            </a:graphic>
          </wp:anchor>
        </w:drawing>
      </w:r>
    </w:p>
    <w:p w14:paraId="000B5B15">
      <w:pPr>
        <w:widowControl/>
        <w:spacing w:line="360" w:lineRule="auto"/>
        <w:jc w:val="both"/>
        <w:rPr>
          <w:rFonts w:hint="default" w:ascii="Times New Roman" w:hAnsi="Times New Roman" w:eastAsia="仿宋_GB2312" w:cs="Times New Roman"/>
          <w:color w:val="auto"/>
          <w:highlight w:val="none"/>
        </w:rPr>
      </w:pPr>
    </w:p>
    <w:p w14:paraId="23E75CD0">
      <w:pPr>
        <w:pStyle w:val="8"/>
        <w:rPr>
          <w:rFonts w:hint="default" w:ascii="Times New Roman" w:hAnsi="Times New Roman" w:cs="Times New Roman"/>
          <w:color w:val="auto"/>
        </w:rPr>
      </w:pPr>
    </w:p>
    <w:p w14:paraId="68C0B6AD">
      <w:pPr>
        <w:pStyle w:val="9"/>
        <w:rPr>
          <w:rFonts w:hint="default" w:ascii="Times New Roman" w:hAnsi="Times New Roman" w:cs="Times New Roman"/>
          <w:color w:val="auto"/>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sdt>
      <w:sdtPr>
        <w:rPr>
          <w:rFonts w:hint="default" w:ascii="Times New Roman" w:hAnsi="Times New Roman" w:eastAsia="宋体" w:cs="Times New Roman"/>
          <w:color w:val="auto"/>
          <w:kern w:val="2"/>
          <w:sz w:val="21"/>
          <w:szCs w:val="24"/>
          <w:lang w:val="en-US" w:eastAsia="zh-CN" w:bidi="ar-SA"/>
        </w:rPr>
        <w:id w:val="147451985"/>
        <w15:color w:val="DBDBDB"/>
        <w:docPartObj>
          <w:docPartGallery w:val="Table of Contents"/>
          <w:docPartUnique/>
        </w:docPartObj>
      </w:sdtPr>
      <w:sdtEndPr>
        <w:rPr>
          <w:rFonts w:hint="default" w:ascii="Times New Roman" w:hAnsi="Times New Roman" w:eastAsia="黑体" w:cs="Times New Roman"/>
          <w:snapToGrid w:val="0"/>
          <w:color w:val="auto"/>
          <w:kern w:val="0"/>
          <w:sz w:val="24"/>
          <w:szCs w:val="30"/>
          <w:highlight w:val="none"/>
          <w:lang w:val="en-US" w:eastAsia="zh-CN" w:bidi="ar-SA"/>
        </w:rPr>
      </w:sdtEndPr>
      <w:sdtContent>
        <w:p w14:paraId="0A1644AB">
          <w:pPr>
            <w:spacing w:before="0" w:beforeLines="0" w:after="0" w:afterLines="0" w:line="360" w:lineRule="auto"/>
            <w:ind w:left="0" w:leftChars="0" w:right="0" w:rightChars="0" w:firstLine="0" w:firstLineChars="0"/>
            <w:jc w:val="center"/>
            <w:rPr>
              <w:rFonts w:hint="eastAsia" w:ascii="宋体" w:hAnsi="宋体" w:eastAsia="宋体" w:cs="宋体"/>
              <w:color w:val="auto"/>
              <w:sz w:val="44"/>
              <w:szCs w:val="44"/>
            </w:rPr>
          </w:pPr>
          <w:bookmarkStart w:id="16" w:name="_Toc12634"/>
          <w:bookmarkStart w:id="17" w:name="_Toc30708"/>
          <w:r>
            <w:rPr>
              <w:rFonts w:hint="eastAsia" w:ascii="宋体" w:hAnsi="宋体" w:eastAsia="宋体" w:cs="宋体"/>
              <w:color w:val="auto"/>
              <w:sz w:val="44"/>
              <w:szCs w:val="44"/>
            </w:rPr>
            <w:t>目录</w:t>
          </w:r>
        </w:p>
        <w:p w14:paraId="4AA7609D">
          <w:pPr>
            <w:pStyle w:val="15"/>
            <w:tabs>
              <w:tab w:val="right" w:leader="dot" w:pos="8844"/>
            </w:tabs>
            <w:rPr>
              <w:color w:val="auto"/>
            </w:rPr>
          </w:pPr>
          <w:r>
            <w:rPr>
              <w:rFonts w:hint="default" w:ascii="Times New Roman" w:hAnsi="Times New Roman" w:cs="Times New Roman" w:eastAsiaTheme="minorEastAsia"/>
              <w:snapToGrid w:val="0"/>
              <w:color w:val="auto"/>
              <w:kern w:val="0"/>
              <w:sz w:val="24"/>
              <w:szCs w:val="24"/>
              <w:highlight w:val="none"/>
              <w:lang w:val="en-US" w:eastAsia="zh-CN" w:bidi="ar-SA"/>
            </w:rPr>
            <w:fldChar w:fldCharType="begin"/>
          </w:r>
          <w:r>
            <w:rPr>
              <w:rFonts w:hint="default" w:ascii="Times New Roman" w:hAnsi="Times New Roman" w:cs="Times New Roman" w:eastAsiaTheme="minorEastAsia"/>
              <w:color w:val="auto"/>
              <w:sz w:val="24"/>
              <w:szCs w:val="24"/>
            </w:rPr>
            <w:instrText xml:space="preserve">TOC \o "1-2" \h \u </w:instrText>
          </w:r>
          <w:r>
            <w:rPr>
              <w:rFonts w:hint="default" w:ascii="Times New Roman" w:hAnsi="Times New Roman" w:cs="Times New Roman" w:eastAsiaTheme="minorEastAsia"/>
              <w:snapToGrid w:val="0"/>
              <w:color w:val="auto"/>
              <w:kern w:val="0"/>
              <w:sz w:val="24"/>
              <w:szCs w:val="24"/>
              <w:highlight w:val="none"/>
              <w:lang w:val="en-US" w:eastAsia="zh-CN" w:bidi="ar-SA"/>
            </w:rPr>
            <w:fldChar w:fldCharType="separate"/>
          </w:r>
        </w:p>
        <w:p w14:paraId="3E4B4AD8">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_Toc30395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sz w:val="24"/>
              <w:szCs w:val="24"/>
              <w:highlight w:val="none"/>
            </w:rPr>
            <w:t>一、建设项目基本情况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_Toc30395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12012C5C">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_Toc6859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sz w:val="24"/>
              <w:szCs w:val="24"/>
              <w:highlight w:val="none"/>
            </w:rPr>
            <w:t>二、建设项目工程分析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_Toc6859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5101022D">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_Toc31415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sz w:val="24"/>
              <w:szCs w:val="24"/>
              <w:highlight w:val="none"/>
            </w:rPr>
            <w:t>三、区域环境质量现状、环境保护目标及评价标准</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_Toc31415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09CD5C5B">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_Toc15567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sz w:val="24"/>
              <w:szCs w:val="24"/>
              <w:highlight w:val="none"/>
            </w:rPr>
            <w:t>四、主要环境影响和保护措施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_Toc15567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4FCA13F1">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_Toc15969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sz w:val="24"/>
              <w:szCs w:val="24"/>
              <w:highlight w:val="none"/>
            </w:rPr>
            <w:t>五、环境保护措施监督检查清单</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_Toc15969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5863DF11">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_Toc22988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sz w:val="24"/>
              <w:szCs w:val="24"/>
              <w:highlight w:val="none"/>
            </w:rPr>
            <w:t>六、结论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_Toc22988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5B2AB65A">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_Toc22722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sz w:val="24"/>
              <w:szCs w:val="24"/>
              <w:highlight w:val="none"/>
            </w:rPr>
            <w:t>建设项目污染物排放量汇总表</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_Toc22722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5365DD9B">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_Toc3209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bCs w:val="0"/>
              <w:color w:val="auto"/>
              <w:sz w:val="24"/>
              <w:szCs w:val="24"/>
            </w:rPr>
            <w:t>附图1项目地理位置图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_Toc3209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0C668D60">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_Toc5773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sz w:val="24"/>
              <w:szCs w:val="24"/>
              <w:highlight w:val="none"/>
              <w:lang w:val="en-US" w:eastAsia="zh-CN"/>
            </w:rPr>
            <w:t>附图2项目总平面布置图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_Toc5773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6860EAD2">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_Toc11368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0"/>
              <w:sz w:val="24"/>
              <w:szCs w:val="24"/>
              <w:highlight w:val="none"/>
              <w:lang w:val="en-US" w:eastAsia="zh-CN" w:bidi="ar-SA"/>
            </w:rPr>
            <w:t>附图3 项目分区防渗图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_Toc11368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4F4D4CB2">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_Toc9043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bCs/>
              <w:color w:val="auto"/>
              <w:sz w:val="24"/>
              <w:szCs w:val="24"/>
              <w:lang w:val="en-US" w:eastAsia="zh-CN"/>
            </w:rPr>
            <w:t>附图4 环境保护目标图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_Toc9043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54614FED">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_Toc22674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bCs w:val="0"/>
              <w:color w:val="auto"/>
              <w:sz w:val="24"/>
              <w:szCs w:val="24"/>
              <w:lang w:val="en-US" w:eastAsia="zh-CN"/>
            </w:rPr>
            <w:t>附图5监测点位示意图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_Toc22674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0D28461F">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_Toc24703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bCs/>
              <w:color w:val="auto"/>
              <w:sz w:val="24"/>
              <w:szCs w:val="24"/>
            </w:rPr>
            <w:t>附图</w:t>
          </w:r>
          <w:r>
            <w:rPr>
              <w:rFonts w:hint="default" w:ascii="Times New Roman" w:hAnsi="Times New Roman" w:eastAsia="宋体" w:cs="Times New Roman"/>
              <w:bCs/>
              <w:color w:val="auto"/>
              <w:sz w:val="24"/>
              <w:szCs w:val="24"/>
              <w:lang w:val="en-US" w:eastAsia="zh-CN"/>
            </w:rPr>
            <w:t>6</w:t>
          </w:r>
          <w:r>
            <w:rPr>
              <w:rFonts w:hint="default" w:ascii="Times New Roman" w:hAnsi="Times New Roman" w:eastAsia="宋体" w:cs="Times New Roman"/>
              <w:bCs/>
              <w:color w:val="auto"/>
              <w:sz w:val="24"/>
              <w:szCs w:val="24"/>
            </w:rPr>
            <w:t xml:space="preserve"> </w:t>
          </w:r>
          <w:r>
            <w:rPr>
              <w:rFonts w:hint="default" w:ascii="Times New Roman" w:hAnsi="Times New Roman" w:eastAsia="宋体" w:cs="Times New Roman"/>
              <w:bCs/>
              <w:color w:val="auto"/>
              <w:sz w:val="24"/>
              <w:szCs w:val="24"/>
              <w:lang w:val="en-US" w:eastAsia="zh-CN"/>
            </w:rPr>
            <w:t>现场照片</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_Toc24703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16696943">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_Toc12457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bCs/>
              <w:color w:val="auto"/>
              <w:sz w:val="24"/>
              <w:szCs w:val="24"/>
            </w:rPr>
            <w:t>附图</w:t>
          </w:r>
          <w:r>
            <w:rPr>
              <w:rFonts w:hint="default" w:ascii="Times New Roman" w:hAnsi="Times New Roman" w:eastAsia="宋体" w:cs="Times New Roman"/>
              <w:bCs/>
              <w:color w:val="auto"/>
              <w:sz w:val="24"/>
              <w:szCs w:val="24"/>
              <w:lang w:val="en-US" w:eastAsia="zh-CN"/>
            </w:rPr>
            <w:t>7</w:t>
          </w:r>
          <w:r>
            <w:rPr>
              <w:rFonts w:hint="default" w:ascii="Times New Roman" w:hAnsi="Times New Roman" w:eastAsia="宋体" w:cs="Times New Roman"/>
              <w:bCs/>
              <w:color w:val="auto"/>
              <w:sz w:val="24"/>
              <w:szCs w:val="24"/>
            </w:rPr>
            <w:t xml:space="preserve"> </w:t>
          </w:r>
          <w:r>
            <w:rPr>
              <w:rFonts w:hint="default" w:ascii="Times New Roman" w:hAnsi="Times New Roman" w:eastAsia="宋体" w:cs="Times New Roman"/>
              <w:bCs/>
              <w:color w:val="auto"/>
              <w:sz w:val="24"/>
              <w:szCs w:val="24"/>
              <w:lang w:val="en-US" w:eastAsia="zh-CN"/>
            </w:rPr>
            <w:t>鸡西市环境管控单元图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_Toc12457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78371A5B">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_Toc11149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sz w:val="24"/>
              <w:szCs w:val="24"/>
              <w:highlight w:val="none"/>
            </w:rPr>
            <w:t>附件1营业执照</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_Toc11149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469A3B2F">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_Toc20265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2"/>
              <w:sz w:val="24"/>
              <w:szCs w:val="24"/>
              <w:highlight w:val="none"/>
              <w:lang w:val="en-US" w:eastAsia="zh-CN"/>
            </w:rPr>
            <w:t>附件2</w:t>
          </w:r>
          <w:r>
            <w:rPr>
              <w:rFonts w:hint="eastAsia" w:ascii="Times New Roman" w:hAnsi="Times New Roman" w:eastAsia="宋体" w:cs="Times New Roman"/>
              <w:snapToGrid w:val="0"/>
              <w:color w:val="auto"/>
              <w:kern w:val="2"/>
              <w:sz w:val="24"/>
              <w:szCs w:val="24"/>
              <w:highlight w:val="none"/>
              <w:lang w:val="en-US" w:eastAsia="zh-CN"/>
            </w:rPr>
            <w:t>买卖</w:t>
          </w:r>
          <w:r>
            <w:rPr>
              <w:rFonts w:hint="default" w:ascii="Times New Roman" w:hAnsi="Times New Roman" w:eastAsia="宋体" w:cs="Times New Roman"/>
              <w:snapToGrid w:val="0"/>
              <w:color w:val="auto"/>
              <w:kern w:val="2"/>
              <w:sz w:val="24"/>
              <w:szCs w:val="24"/>
              <w:highlight w:val="none"/>
              <w:lang w:val="en-US" w:eastAsia="zh-CN"/>
            </w:rPr>
            <w:t>协议</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_Toc20265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50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6CF650E3">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_Toc25646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2"/>
              <w:sz w:val="24"/>
              <w:szCs w:val="24"/>
              <w:highlight w:val="none"/>
              <w:lang w:val="en-US" w:eastAsia="zh-CN"/>
            </w:rPr>
            <w:t>附件3土地性质证明</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_Toc25646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55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09D2878C">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_Toc20620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2"/>
              <w:sz w:val="24"/>
              <w:szCs w:val="24"/>
              <w:highlight w:val="none"/>
              <w:lang w:val="en-US" w:eastAsia="zh-CN"/>
            </w:rPr>
            <w:t>附件4检测报告</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_Toc20620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57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091F874E">
          <w:pPr>
            <w:pStyle w:val="15"/>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HYPERLINK \l _Toc14523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2"/>
              <w:sz w:val="24"/>
              <w:szCs w:val="24"/>
              <w:highlight w:val="none"/>
              <w:lang w:val="en-US" w:eastAsia="zh-CN"/>
            </w:rPr>
            <w:t>附件5鸡西市富金煤炭销售有限公司建设项目生态环境分区管控分析报告</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_Toc14523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snapToGrid w:val="0"/>
              <w:color w:val="auto"/>
              <w:kern w:val="0"/>
              <w:sz w:val="24"/>
              <w:szCs w:val="24"/>
              <w:highlight w:val="none"/>
              <w:lang w:val="en-US" w:eastAsia="zh-CN" w:bidi="ar-SA"/>
            </w:rPr>
            <w:fldChar w:fldCharType="end"/>
          </w:r>
        </w:p>
        <w:p w14:paraId="4D96BD5E">
          <w:pPr>
            <w:pStyle w:val="18"/>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both"/>
            <w:textAlignment w:val="auto"/>
            <w:outlineLvl w:val="9"/>
            <w:rPr>
              <w:rFonts w:hint="default" w:ascii="Times New Roman" w:hAnsi="Times New Roman" w:eastAsia="黑体" w:cs="Times New Roman"/>
              <w:snapToGrid w:val="0"/>
              <w:color w:val="auto"/>
              <w:kern w:val="0"/>
              <w:sz w:val="24"/>
              <w:szCs w:val="30"/>
              <w:highlight w:val="none"/>
              <w:lang w:val="en-US" w:eastAsia="zh-CN" w:bidi="ar-SA"/>
            </w:rPr>
          </w:pPr>
          <w:r>
            <w:rPr>
              <w:rFonts w:hint="default" w:ascii="Times New Roman" w:hAnsi="Times New Roman" w:cs="Times New Roman" w:eastAsiaTheme="minorEastAsia"/>
              <w:snapToGrid w:val="0"/>
              <w:color w:val="auto"/>
              <w:kern w:val="0"/>
              <w:szCs w:val="24"/>
              <w:highlight w:val="none"/>
              <w:lang w:val="en-US" w:eastAsia="zh-CN" w:bidi="ar-SA"/>
            </w:rPr>
            <w:fldChar w:fldCharType="end"/>
          </w:r>
        </w:p>
      </w:sdtContent>
    </w:sdt>
    <w:p w14:paraId="27ECC91D">
      <w:pPr>
        <w:pStyle w:val="18"/>
        <w:keepNext w:val="0"/>
        <w:keepLines w:val="0"/>
        <w:pageBreakBefore w:val="0"/>
        <w:widowControl/>
        <w:kinsoku/>
        <w:wordWrap/>
        <w:overflowPunct/>
        <w:topLinePunct w:val="0"/>
        <w:autoSpaceDE/>
        <w:autoSpaceDN/>
        <w:bidi w:val="0"/>
        <w:adjustRightInd/>
        <w:snapToGrid/>
        <w:spacing w:before="0" w:beforeAutospacing="0" w:after="313" w:afterLines="100" w:afterAutospacing="0"/>
        <w:jc w:val="center"/>
        <w:textAlignment w:val="auto"/>
        <w:outlineLvl w:val="0"/>
        <w:rPr>
          <w:rFonts w:hint="eastAsia" w:ascii="宋体" w:hAnsi="宋体" w:eastAsia="宋体" w:cs="宋体"/>
          <w:snapToGrid w:val="0"/>
          <w:color w:val="auto"/>
          <w:sz w:val="30"/>
          <w:szCs w:val="30"/>
          <w:highlight w:val="none"/>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pgNumType w:start="1"/>
          <w:cols w:space="720" w:num="1"/>
          <w:docGrid w:linePitch="312" w:charSpace="0"/>
        </w:sectPr>
      </w:pPr>
      <w:bookmarkStart w:id="18" w:name="_Toc30745"/>
      <w:bookmarkStart w:id="19" w:name="_Toc30395"/>
    </w:p>
    <w:p w14:paraId="1A4A9EC7">
      <w:pPr>
        <w:pStyle w:val="18"/>
        <w:keepNext w:val="0"/>
        <w:keepLines w:val="0"/>
        <w:pageBreakBefore w:val="0"/>
        <w:widowControl/>
        <w:kinsoku/>
        <w:wordWrap/>
        <w:overflowPunct/>
        <w:topLinePunct w:val="0"/>
        <w:autoSpaceDE/>
        <w:autoSpaceDN/>
        <w:bidi w:val="0"/>
        <w:adjustRightInd/>
        <w:snapToGrid/>
        <w:spacing w:before="0" w:beforeAutospacing="0" w:after="313" w:afterLines="100" w:afterAutospacing="0"/>
        <w:jc w:val="center"/>
        <w:textAlignment w:val="auto"/>
        <w:outlineLvl w:val="0"/>
        <w:rPr>
          <w:rFonts w:hint="eastAsia" w:ascii="宋体" w:hAnsi="宋体" w:eastAsia="宋体" w:cs="宋体"/>
          <w:snapToGrid w:val="0"/>
          <w:color w:val="auto"/>
          <w:sz w:val="30"/>
          <w:szCs w:val="30"/>
          <w:highlight w:val="none"/>
        </w:rPr>
      </w:pPr>
      <w:r>
        <w:rPr>
          <w:rFonts w:hint="eastAsia" w:ascii="宋体" w:hAnsi="宋体" w:eastAsia="宋体" w:cs="宋体"/>
          <w:snapToGrid w:val="0"/>
          <w:color w:val="auto"/>
          <w:sz w:val="30"/>
          <w:szCs w:val="30"/>
          <w:highlight w:val="none"/>
        </w:rPr>
        <w:t>一、建设项目基本情况</w:t>
      </w:r>
      <w:bookmarkEnd w:id="16"/>
      <w:bookmarkEnd w:id="17"/>
      <w:bookmarkEnd w:id="18"/>
      <w:bookmarkEnd w:id="19"/>
    </w:p>
    <w:tbl>
      <w:tblPr>
        <w:tblStyle w:val="20"/>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423"/>
        <w:gridCol w:w="1944"/>
        <w:gridCol w:w="2110"/>
        <w:gridCol w:w="3161"/>
      </w:tblGrid>
      <w:tr w14:paraId="5E53E7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423" w:type="dxa"/>
            <w:tcMar>
              <w:top w:w="16" w:type="dxa"/>
              <w:left w:w="16" w:type="dxa"/>
              <w:right w:w="16" w:type="dxa"/>
            </w:tcMar>
            <w:vAlign w:val="center"/>
          </w:tcPr>
          <w:p w14:paraId="69910D02">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建设项目名称</w:t>
            </w:r>
          </w:p>
        </w:tc>
        <w:tc>
          <w:tcPr>
            <w:tcW w:w="7215" w:type="dxa"/>
            <w:gridSpan w:val="3"/>
            <w:vAlign w:val="center"/>
          </w:tcPr>
          <w:p w14:paraId="630C9FEE">
            <w:pPr>
              <w:adjustRightInd w:val="0"/>
              <w:snapToGrid w:val="0"/>
              <w:spacing w:line="340" w:lineRule="exact"/>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eastAsia="zh-CN"/>
              </w:rPr>
              <w:t>鸡西市富金煤炭销售有限公司</w:t>
            </w:r>
            <w:r>
              <w:rPr>
                <w:rFonts w:hint="default" w:ascii="Times New Roman" w:hAnsi="Times New Roman" w:cs="Times New Roman"/>
                <w:color w:val="auto"/>
                <w:sz w:val="24"/>
                <w:szCs w:val="24"/>
                <w:highlight w:val="none"/>
                <w:lang w:eastAsia="zh-CN"/>
              </w:rPr>
              <w:t>建设项目</w:t>
            </w:r>
          </w:p>
        </w:tc>
      </w:tr>
      <w:tr w14:paraId="46F361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423" w:type="dxa"/>
            <w:tcMar>
              <w:top w:w="16" w:type="dxa"/>
              <w:left w:w="16" w:type="dxa"/>
              <w:right w:w="16" w:type="dxa"/>
            </w:tcMar>
            <w:vAlign w:val="center"/>
          </w:tcPr>
          <w:p w14:paraId="00F04A70">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项目代码</w:t>
            </w:r>
          </w:p>
        </w:tc>
        <w:tc>
          <w:tcPr>
            <w:tcW w:w="7215" w:type="dxa"/>
            <w:gridSpan w:val="3"/>
            <w:vAlign w:val="center"/>
          </w:tcPr>
          <w:p w14:paraId="116B2AB1">
            <w:pPr>
              <w:pStyle w:val="7"/>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无</w:t>
            </w:r>
          </w:p>
        </w:tc>
      </w:tr>
      <w:tr w14:paraId="52A7CB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423" w:type="dxa"/>
            <w:tcMar>
              <w:top w:w="16" w:type="dxa"/>
              <w:left w:w="16" w:type="dxa"/>
              <w:right w:w="16" w:type="dxa"/>
            </w:tcMar>
            <w:vAlign w:val="center"/>
          </w:tcPr>
          <w:p w14:paraId="189EF194">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建设单位联系人</w:t>
            </w:r>
          </w:p>
        </w:tc>
        <w:tc>
          <w:tcPr>
            <w:tcW w:w="1944" w:type="dxa"/>
            <w:vAlign w:val="center"/>
          </w:tcPr>
          <w:p w14:paraId="0C7138EB">
            <w:pPr>
              <w:adjustRightInd w:val="0"/>
              <w:snapToGrid w:val="0"/>
              <w:spacing w:line="340" w:lineRule="exact"/>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池海强</w:t>
            </w:r>
          </w:p>
        </w:tc>
        <w:tc>
          <w:tcPr>
            <w:tcW w:w="2110" w:type="dxa"/>
            <w:vAlign w:val="center"/>
          </w:tcPr>
          <w:p w14:paraId="2C570CEA">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3161" w:type="dxa"/>
            <w:vAlign w:val="center"/>
          </w:tcPr>
          <w:p w14:paraId="7DF25B9B">
            <w:pPr>
              <w:adjustRightInd w:val="0"/>
              <w:snapToGrid w:val="0"/>
              <w:spacing w:line="340" w:lineRule="exact"/>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19060672222</w:t>
            </w:r>
          </w:p>
        </w:tc>
      </w:tr>
      <w:tr w14:paraId="0841B7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423" w:type="dxa"/>
            <w:tcMar>
              <w:top w:w="16" w:type="dxa"/>
              <w:left w:w="16" w:type="dxa"/>
              <w:right w:w="16" w:type="dxa"/>
            </w:tcMar>
            <w:vAlign w:val="center"/>
          </w:tcPr>
          <w:p w14:paraId="7A37ECAF">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w:t>
            </w:r>
          </w:p>
        </w:tc>
        <w:tc>
          <w:tcPr>
            <w:tcW w:w="7215" w:type="dxa"/>
            <w:gridSpan w:val="3"/>
            <w:vAlign w:val="center"/>
          </w:tcPr>
          <w:p w14:paraId="05EEB686">
            <w:pPr>
              <w:adjustRightInd w:val="0"/>
              <w:snapToGrid w:val="0"/>
              <w:spacing w:line="340" w:lineRule="exact"/>
              <w:jc w:val="center"/>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lang w:val="en-US" w:eastAsia="zh-CN"/>
              </w:rPr>
              <w:t>黑龙江省鸡西市</w:t>
            </w:r>
            <w:r>
              <w:rPr>
                <w:rFonts w:hint="eastAsia" w:cs="Times New Roman"/>
                <w:color w:val="auto"/>
                <w:sz w:val="24"/>
                <w:szCs w:val="24"/>
                <w:highlight w:val="none"/>
                <w:lang w:val="en-US" w:eastAsia="zh-CN"/>
              </w:rPr>
              <w:t>城子河区正阳煤矿</w:t>
            </w:r>
          </w:p>
        </w:tc>
      </w:tr>
      <w:tr w14:paraId="49034C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423" w:type="dxa"/>
            <w:tcMar>
              <w:top w:w="16" w:type="dxa"/>
              <w:left w:w="16" w:type="dxa"/>
              <w:right w:w="16" w:type="dxa"/>
            </w:tcMar>
            <w:vAlign w:val="center"/>
          </w:tcPr>
          <w:p w14:paraId="5C0C8B6B">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地理坐标</w:t>
            </w:r>
          </w:p>
        </w:tc>
        <w:tc>
          <w:tcPr>
            <w:tcW w:w="7215" w:type="dxa"/>
            <w:gridSpan w:val="3"/>
            <w:vAlign w:val="center"/>
          </w:tcPr>
          <w:p w14:paraId="16B22D70">
            <w:pPr>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u w:val="single"/>
              </w:rPr>
              <w:t>1</w:t>
            </w:r>
            <w:r>
              <w:rPr>
                <w:rFonts w:hint="default" w:ascii="Times New Roman" w:hAnsi="Times New Roman" w:cs="Times New Roman"/>
                <w:color w:val="auto"/>
                <w:sz w:val="24"/>
                <w:szCs w:val="24"/>
                <w:highlight w:val="none"/>
                <w:u w:val="single"/>
                <w:lang w:val="en-US" w:eastAsia="zh-CN"/>
              </w:rPr>
              <w:t>3</w:t>
            </w:r>
            <w:r>
              <w:rPr>
                <w:rFonts w:hint="eastAsia" w:cs="Times New Roman"/>
                <w:color w:val="auto"/>
                <w:sz w:val="24"/>
                <w:szCs w:val="24"/>
                <w:highlight w:val="none"/>
                <w:u w:val="single"/>
                <w:lang w:val="en-US" w:eastAsia="zh-CN"/>
              </w:rPr>
              <w:t>1</w:t>
            </w:r>
            <w:r>
              <w:rPr>
                <w:rFonts w:hint="default" w:ascii="Times New Roman" w:hAnsi="Times New Roman" w:cs="Times New Roman"/>
                <w:color w:val="auto"/>
                <w:sz w:val="24"/>
                <w:szCs w:val="24"/>
                <w:highlight w:val="none"/>
              </w:rPr>
              <w:t>度</w:t>
            </w:r>
            <w:r>
              <w:rPr>
                <w:rFonts w:hint="eastAsia" w:cs="Times New Roman"/>
                <w:color w:val="auto"/>
                <w:sz w:val="24"/>
                <w:szCs w:val="24"/>
                <w:highlight w:val="none"/>
                <w:u w:val="single"/>
                <w:lang w:val="en-US" w:eastAsia="zh-CN"/>
              </w:rPr>
              <w:t>03</w:t>
            </w:r>
            <w:r>
              <w:rPr>
                <w:rFonts w:hint="default" w:ascii="Times New Roman" w:hAnsi="Times New Roman" w:cs="Times New Roman"/>
                <w:color w:val="auto"/>
                <w:sz w:val="24"/>
                <w:szCs w:val="24"/>
                <w:highlight w:val="none"/>
              </w:rPr>
              <w:t>分</w:t>
            </w:r>
            <w:r>
              <w:rPr>
                <w:rFonts w:hint="eastAsia" w:cs="Times New Roman"/>
                <w:color w:val="auto"/>
                <w:sz w:val="24"/>
                <w:szCs w:val="24"/>
                <w:highlight w:val="none"/>
                <w:u w:val="single"/>
                <w:lang w:val="en-US" w:eastAsia="zh-CN"/>
              </w:rPr>
              <w:t>41.07</w:t>
            </w:r>
            <w:r>
              <w:rPr>
                <w:rFonts w:hint="default" w:ascii="Times New Roman" w:hAnsi="Times New Roman" w:cs="Times New Roman"/>
                <w:color w:val="auto"/>
                <w:sz w:val="24"/>
                <w:szCs w:val="24"/>
                <w:highlight w:val="none"/>
              </w:rPr>
              <w:t>秒，</w:t>
            </w:r>
            <w:r>
              <w:rPr>
                <w:rFonts w:hint="default" w:ascii="Times New Roman" w:hAnsi="Times New Roman" w:cs="Times New Roman"/>
                <w:color w:val="auto"/>
                <w:sz w:val="24"/>
                <w:szCs w:val="24"/>
                <w:highlight w:val="none"/>
                <w:u w:val="single"/>
              </w:rPr>
              <w:t>4</w:t>
            </w:r>
            <w:r>
              <w:rPr>
                <w:rFonts w:hint="default" w:ascii="Times New Roman" w:hAnsi="Times New Roman" w:cs="Times New Roman"/>
                <w:color w:val="auto"/>
                <w:sz w:val="24"/>
                <w:szCs w:val="24"/>
                <w:highlight w:val="none"/>
                <w:u w:val="single"/>
                <w:lang w:val="en-US" w:eastAsia="zh-CN"/>
              </w:rPr>
              <w:t>5</w:t>
            </w:r>
            <w:r>
              <w:rPr>
                <w:rFonts w:hint="default" w:ascii="Times New Roman" w:hAnsi="Times New Roman" w:cs="Times New Roman"/>
                <w:color w:val="auto"/>
                <w:sz w:val="24"/>
                <w:szCs w:val="24"/>
                <w:highlight w:val="none"/>
              </w:rPr>
              <w:t>度</w:t>
            </w:r>
            <w:r>
              <w:rPr>
                <w:rFonts w:hint="eastAsia" w:cs="Times New Roman"/>
                <w:color w:val="auto"/>
                <w:sz w:val="24"/>
                <w:szCs w:val="24"/>
                <w:highlight w:val="none"/>
                <w:u w:val="single"/>
                <w:lang w:val="en-US" w:eastAsia="zh-CN"/>
              </w:rPr>
              <w:t>21</w:t>
            </w:r>
            <w:r>
              <w:rPr>
                <w:rFonts w:hint="default" w:ascii="Times New Roman" w:hAnsi="Times New Roman" w:cs="Times New Roman"/>
                <w:color w:val="auto"/>
                <w:sz w:val="24"/>
                <w:szCs w:val="24"/>
                <w:highlight w:val="none"/>
              </w:rPr>
              <w:t>分</w:t>
            </w:r>
            <w:r>
              <w:rPr>
                <w:rFonts w:hint="eastAsia" w:cs="Times New Roman"/>
                <w:color w:val="auto"/>
                <w:sz w:val="24"/>
                <w:szCs w:val="24"/>
                <w:highlight w:val="none"/>
                <w:u w:val="single"/>
                <w:lang w:val="en-US" w:eastAsia="zh-CN"/>
              </w:rPr>
              <w:t>11</w:t>
            </w:r>
            <w:bookmarkStart w:id="105" w:name="_GoBack"/>
            <w:bookmarkEnd w:id="105"/>
            <w:r>
              <w:rPr>
                <w:rFonts w:hint="default" w:ascii="Times New Roman" w:hAnsi="Times New Roman" w:cs="Times New Roman"/>
                <w:color w:val="auto"/>
                <w:sz w:val="24"/>
                <w:szCs w:val="24"/>
                <w:highlight w:val="none"/>
              </w:rPr>
              <w:t>秒）</w:t>
            </w:r>
          </w:p>
        </w:tc>
      </w:tr>
      <w:tr w14:paraId="3C8915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423" w:type="dxa"/>
            <w:tcMar>
              <w:top w:w="16" w:type="dxa"/>
              <w:left w:w="16" w:type="dxa"/>
              <w:right w:w="16" w:type="dxa"/>
            </w:tcMar>
            <w:vAlign w:val="center"/>
          </w:tcPr>
          <w:p w14:paraId="04F92055">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国民经济</w:t>
            </w:r>
          </w:p>
          <w:p w14:paraId="39929DFD">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944" w:type="dxa"/>
            <w:vAlign w:val="center"/>
          </w:tcPr>
          <w:p w14:paraId="36659686">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B0610</w:t>
            </w:r>
            <w:r>
              <w:rPr>
                <w:rFonts w:hint="default" w:ascii="Times New Roman" w:hAnsi="Times New Roman" w:cs="Times New Roman"/>
                <w:b w:val="0"/>
                <w:bCs w:val="0"/>
                <w:color w:val="auto"/>
                <w:kern w:val="2"/>
                <w:sz w:val="24"/>
                <w:szCs w:val="24"/>
                <w:highlight w:val="none"/>
                <w:lang w:val="en-US" w:eastAsia="zh-CN" w:bidi="ar-SA"/>
              </w:rPr>
              <w:t>烟煤和无烟煤开采洗选</w:t>
            </w:r>
          </w:p>
        </w:tc>
        <w:tc>
          <w:tcPr>
            <w:tcW w:w="2110" w:type="dxa"/>
            <w:vAlign w:val="center"/>
          </w:tcPr>
          <w:p w14:paraId="23F3A57D">
            <w:pPr>
              <w:adjustRightInd w:val="0"/>
              <w:snapToGrid w:val="0"/>
              <w:spacing w:line="340" w:lineRule="exact"/>
              <w:jc w:val="center"/>
              <w:rPr>
                <w:rFonts w:hint="default" w:ascii="Times New Roman" w:hAnsi="Times New Roman" w:cs="Times New Roman"/>
                <w:color w:val="auto"/>
                <w:sz w:val="24"/>
                <w:szCs w:val="24"/>
                <w:highlight w:val="none"/>
              </w:rPr>
            </w:pPr>
            <w:bookmarkStart w:id="20" w:name="_Hlk49843745"/>
            <w:r>
              <w:rPr>
                <w:rFonts w:hint="default" w:ascii="Times New Roman" w:hAnsi="Times New Roman" w:cs="Times New Roman"/>
                <w:color w:val="auto"/>
                <w:sz w:val="24"/>
                <w:szCs w:val="24"/>
                <w:highlight w:val="none"/>
              </w:rPr>
              <w:t>建设项目</w:t>
            </w:r>
          </w:p>
          <w:p w14:paraId="1B4D9B85">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bookmarkEnd w:id="20"/>
          </w:p>
        </w:tc>
        <w:tc>
          <w:tcPr>
            <w:tcW w:w="3161" w:type="dxa"/>
            <w:vAlign w:val="center"/>
          </w:tcPr>
          <w:p w14:paraId="421EE19A">
            <w:pPr>
              <w:numPr>
                <w:ilvl w:val="0"/>
                <w:numId w:val="0"/>
              </w:numPr>
              <w:spacing w:before="0" w:after="0" w:line="240" w:lineRule="auto"/>
              <w:ind w:left="0" w:leftChars="0" w:firstLine="0" w:firstLineChars="0"/>
              <w:outlineLvl w:val="9"/>
              <w:rPr>
                <w:rFonts w:hint="default" w:ascii="Times New Roman" w:hAnsi="Times New Roman" w:cs="Times New Roman"/>
                <w:color w:val="auto"/>
                <w:sz w:val="24"/>
                <w:szCs w:val="24"/>
                <w:highlight w:val="none"/>
                <w:lang w:val="en-US"/>
              </w:rPr>
            </w:pPr>
            <w:r>
              <w:rPr>
                <w:rFonts w:hint="default" w:ascii="Times New Roman" w:hAnsi="Times New Roman" w:eastAsia="宋体" w:cs="Times New Roman"/>
                <w:b w:val="0"/>
                <w:bCs w:val="0"/>
                <w:color w:val="auto"/>
                <w:kern w:val="2"/>
                <w:sz w:val="24"/>
                <w:szCs w:val="24"/>
                <w:lang w:val="en-US" w:eastAsia="zh-CN" w:bidi="ar-SA"/>
              </w:rPr>
              <w:t>四、</w:t>
            </w:r>
            <w:r>
              <w:rPr>
                <w:rFonts w:hint="default" w:ascii="Times New Roman" w:hAnsi="Times New Roman" w:eastAsia="宋体" w:cs="Times New Roman"/>
                <w:b w:val="0"/>
                <w:bCs w:val="0"/>
                <w:color w:val="auto"/>
                <w:kern w:val="2"/>
                <w:sz w:val="24"/>
                <w:szCs w:val="24"/>
                <w:highlight w:val="none"/>
                <w:lang w:val="en-US" w:eastAsia="zh-CN" w:bidi="ar-SA"/>
              </w:rPr>
              <w:t>煤炭</w:t>
            </w:r>
            <w:r>
              <w:rPr>
                <w:rFonts w:hint="default" w:ascii="Times New Roman" w:hAnsi="Times New Roman" w:cs="Times New Roman"/>
                <w:b w:val="0"/>
                <w:bCs w:val="0"/>
                <w:color w:val="auto"/>
                <w:kern w:val="2"/>
                <w:sz w:val="24"/>
                <w:szCs w:val="24"/>
                <w:highlight w:val="none"/>
                <w:lang w:val="en-US" w:eastAsia="zh-CN" w:bidi="ar-SA"/>
              </w:rPr>
              <w:t>开采和</w:t>
            </w:r>
            <w:r>
              <w:rPr>
                <w:rFonts w:hint="default" w:ascii="Times New Roman" w:hAnsi="Times New Roman" w:eastAsia="宋体" w:cs="Times New Roman"/>
                <w:b w:val="0"/>
                <w:bCs w:val="0"/>
                <w:color w:val="auto"/>
                <w:kern w:val="2"/>
                <w:sz w:val="24"/>
                <w:szCs w:val="24"/>
                <w:highlight w:val="none"/>
                <w:lang w:val="en-US" w:eastAsia="zh-CN" w:bidi="ar-SA"/>
              </w:rPr>
              <w:t>洗选业</w:t>
            </w:r>
            <w:r>
              <w:rPr>
                <w:rFonts w:hint="default" w:ascii="Times New Roman" w:hAnsi="Times New Roman" w:cs="Times New Roman"/>
                <w:b w:val="0"/>
                <w:bCs w:val="0"/>
                <w:color w:val="auto"/>
                <w:kern w:val="2"/>
                <w:sz w:val="24"/>
                <w:szCs w:val="24"/>
                <w:highlight w:val="none"/>
                <w:lang w:val="en-US" w:eastAsia="zh-CN" w:bidi="ar-SA"/>
              </w:rPr>
              <w:t xml:space="preserve"> </w:t>
            </w:r>
            <w:r>
              <w:rPr>
                <w:rFonts w:hint="default" w:ascii="Times New Roman" w:hAnsi="Times New Roman" w:eastAsia="宋体" w:cs="Times New Roman"/>
                <w:b w:val="0"/>
                <w:bCs w:val="0"/>
                <w:color w:val="auto"/>
                <w:kern w:val="2"/>
                <w:sz w:val="24"/>
                <w:szCs w:val="24"/>
                <w:highlight w:val="none"/>
                <w:lang w:val="en-US" w:eastAsia="zh-CN" w:bidi="ar-SA"/>
              </w:rPr>
              <w:t>6</w:t>
            </w:r>
            <w:r>
              <w:rPr>
                <w:rFonts w:hint="default" w:ascii="Times New Roman" w:hAnsi="Times New Roman" w:cs="Times New Roman"/>
                <w:b w:val="0"/>
                <w:bCs w:val="0"/>
                <w:color w:val="auto"/>
                <w:kern w:val="2"/>
                <w:sz w:val="24"/>
                <w:szCs w:val="24"/>
                <w:highlight w:val="none"/>
                <w:lang w:val="en-US" w:eastAsia="zh-CN" w:bidi="ar-SA"/>
              </w:rPr>
              <w:t>烟煤和无烟煤开采洗选</w:t>
            </w:r>
            <w:r>
              <w:rPr>
                <w:rFonts w:hint="default" w:ascii="Times New Roman" w:hAnsi="Times New Roman" w:eastAsia="宋体" w:cs="Times New Roman"/>
                <w:b w:val="0"/>
                <w:bCs w:val="0"/>
                <w:color w:val="auto"/>
                <w:kern w:val="2"/>
                <w:sz w:val="24"/>
                <w:szCs w:val="24"/>
                <w:highlight w:val="none"/>
                <w:lang w:val="en-US" w:eastAsia="zh-CN" w:bidi="ar-SA"/>
              </w:rPr>
              <w:t>061</w:t>
            </w:r>
            <w:r>
              <w:rPr>
                <w:rFonts w:hint="default" w:ascii="Times New Roman" w:hAnsi="Times New Roman" w:eastAsia="宋体" w:cs="Times New Roman"/>
                <w:color w:val="auto"/>
                <w:sz w:val="24"/>
                <w:szCs w:val="24"/>
              </w:rPr>
              <w:t>煤炭储存、集运</w:t>
            </w:r>
          </w:p>
        </w:tc>
      </w:tr>
      <w:tr w14:paraId="7AD19E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423" w:type="dxa"/>
            <w:tcMar>
              <w:top w:w="16" w:type="dxa"/>
              <w:left w:w="16" w:type="dxa"/>
              <w:right w:w="16" w:type="dxa"/>
            </w:tcMar>
            <w:vAlign w:val="center"/>
          </w:tcPr>
          <w:p w14:paraId="63CA7A0D">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建设性质</w:t>
            </w:r>
          </w:p>
        </w:tc>
        <w:tc>
          <w:tcPr>
            <w:tcW w:w="1944" w:type="dxa"/>
            <w:vAlign w:val="center"/>
          </w:tcPr>
          <w:p w14:paraId="631783FB">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新建（迁建）</w:t>
            </w:r>
          </w:p>
          <w:p w14:paraId="57B499EB">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改建</w:t>
            </w:r>
          </w:p>
          <w:p w14:paraId="2B6CBE37">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扩建</w:t>
            </w:r>
          </w:p>
          <w:p w14:paraId="393F4F5C">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技术改造</w:t>
            </w:r>
          </w:p>
        </w:tc>
        <w:tc>
          <w:tcPr>
            <w:tcW w:w="2110" w:type="dxa"/>
            <w:vAlign w:val="center"/>
          </w:tcPr>
          <w:p w14:paraId="664A8D87">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356AC06C">
            <w:pPr>
              <w:adjustRightInd w:val="0"/>
              <w:snapToGrid w:val="0"/>
              <w:spacing w:line="34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申报情形</w:t>
            </w:r>
          </w:p>
        </w:tc>
        <w:tc>
          <w:tcPr>
            <w:tcW w:w="3161" w:type="dxa"/>
            <w:vAlign w:val="center"/>
          </w:tcPr>
          <w:p w14:paraId="6EC59F74">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☑首次申报项目             </w:t>
            </w:r>
          </w:p>
          <w:p w14:paraId="2E7FDC0A">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不予批准后再次申报项目</w:t>
            </w:r>
          </w:p>
          <w:p w14:paraId="01B6C522">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 xml:space="preserve">超五年重新审核项目     </w:t>
            </w:r>
          </w:p>
          <w:p w14:paraId="05B76B1C">
            <w:pPr>
              <w:spacing w:line="340" w:lineRule="exact"/>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重大变动重新报批项目</w:t>
            </w:r>
          </w:p>
        </w:tc>
      </w:tr>
      <w:tr w14:paraId="036FAC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423" w:type="dxa"/>
            <w:tcMar>
              <w:top w:w="16" w:type="dxa"/>
              <w:left w:w="16" w:type="dxa"/>
              <w:right w:w="16" w:type="dxa"/>
            </w:tcMar>
            <w:vAlign w:val="center"/>
          </w:tcPr>
          <w:p w14:paraId="7AFA7BE8">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7990165E">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备案）部门（选填）</w:t>
            </w:r>
          </w:p>
        </w:tc>
        <w:tc>
          <w:tcPr>
            <w:tcW w:w="1944" w:type="dxa"/>
            <w:vAlign w:val="center"/>
          </w:tcPr>
          <w:p w14:paraId="2E3806C7">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c>
          <w:tcPr>
            <w:tcW w:w="2110" w:type="dxa"/>
            <w:vAlign w:val="center"/>
          </w:tcPr>
          <w:p w14:paraId="769F39C2">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7E0F86E8">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备案）文号（选填）</w:t>
            </w:r>
          </w:p>
        </w:tc>
        <w:tc>
          <w:tcPr>
            <w:tcW w:w="3161" w:type="dxa"/>
            <w:vAlign w:val="center"/>
          </w:tcPr>
          <w:p w14:paraId="01093651">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r>
      <w:tr w14:paraId="053B07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423" w:type="dxa"/>
            <w:tcMar>
              <w:top w:w="16" w:type="dxa"/>
              <w:left w:w="16" w:type="dxa"/>
              <w:right w:w="16" w:type="dxa"/>
            </w:tcMar>
            <w:vAlign w:val="center"/>
          </w:tcPr>
          <w:p w14:paraId="08EA3DB3">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总投资（万元）</w:t>
            </w:r>
          </w:p>
        </w:tc>
        <w:tc>
          <w:tcPr>
            <w:tcW w:w="1944" w:type="dxa"/>
            <w:vAlign w:val="center"/>
          </w:tcPr>
          <w:p w14:paraId="69C13B40">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50</w:t>
            </w:r>
          </w:p>
        </w:tc>
        <w:tc>
          <w:tcPr>
            <w:tcW w:w="2110" w:type="dxa"/>
            <w:tcMar>
              <w:top w:w="16" w:type="dxa"/>
              <w:left w:w="16" w:type="dxa"/>
              <w:right w:w="16" w:type="dxa"/>
            </w:tcMar>
            <w:vAlign w:val="center"/>
          </w:tcPr>
          <w:p w14:paraId="00B57CCB">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环保投资（万元）</w:t>
            </w:r>
          </w:p>
        </w:tc>
        <w:tc>
          <w:tcPr>
            <w:tcW w:w="3161" w:type="dxa"/>
            <w:vAlign w:val="center"/>
          </w:tcPr>
          <w:p w14:paraId="414CFFDD">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35</w:t>
            </w:r>
          </w:p>
        </w:tc>
      </w:tr>
      <w:tr w14:paraId="2D24D4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423" w:type="dxa"/>
            <w:tcMar>
              <w:top w:w="16" w:type="dxa"/>
              <w:left w:w="16" w:type="dxa"/>
              <w:right w:w="16" w:type="dxa"/>
            </w:tcMar>
            <w:vAlign w:val="center"/>
          </w:tcPr>
          <w:p w14:paraId="5B05B3A9">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环保投资占比（%）</w:t>
            </w:r>
          </w:p>
        </w:tc>
        <w:tc>
          <w:tcPr>
            <w:tcW w:w="1944" w:type="dxa"/>
            <w:vAlign w:val="center"/>
          </w:tcPr>
          <w:p w14:paraId="4FD9B695">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70</w:t>
            </w:r>
          </w:p>
        </w:tc>
        <w:tc>
          <w:tcPr>
            <w:tcW w:w="2110" w:type="dxa"/>
            <w:tcMar>
              <w:top w:w="16" w:type="dxa"/>
              <w:left w:w="16" w:type="dxa"/>
              <w:right w:w="16" w:type="dxa"/>
            </w:tcMar>
            <w:vAlign w:val="center"/>
          </w:tcPr>
          <w:p w14:paraId="446B3BC2">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施工工期</w:t>
            </w:r>
          </w:p>
        </w:tc>
        <w:tc>
          <w:tcPr>
            <w:tcW w:w="3161" w:type="dxa"/>
            <w:vAlign w:val="center"/>
          </w:tcPr>
          <w:p w14:paraId="0454DD15">
            <w:pPr>
              <w:adjustRightInd w:val="0"/>
              <w:snapToGrid w:val="0"/>
              <w:spacing w:line="340" w:lineRule="exact"/>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color w:val="auto"/>
                <w:sz w:val="24"/>
                <w:highlight w:val="none"/>
                <w:lang w:val="en-US" w:eastAsia="zh-CN"/>
              </w:rPr>
              <w:t>2025.</w:t>
            </w:r>
            <w:r>
              <w:rPr>
                <w:rFonts w:hint="eastAsia" w:cs="Times New Roman"/>
                <w:color w:val="auto"/>
                <w:sz w:val="24"/>
                <w:highlight w:val="none"/>
                <w:lang w:val="en-US" w:eastAsia="zh-CN"/>
              </w:rPr>
              <w:t>10</w:t>
            </w:r>
            <w:r>
              <w:rPr>
                <w:rFonts w:hint="default" w:ascii="Times New Roman" w:hAnsi="Times New Roman" w:cs="Times New Roman"/>
                <w:color w:val="auto"/>
                <w:sz w:val="24"/>
                <w:highlight w:val="none"/>
                <w:lang w:val="en-US" w:eastAsia="zh-CN"/>
              </w:rPr>
              <w:t>-2025.</w:t>
            </w:r>
            <w:r>
              <w:rPr>
                <w:rFonts w:hint="eastAsia" w:cs="Times New Roman"/>
                <w:color w:val="auto"/>
                <w:sz w:val="24"/>
                <w:highlight w:val="none"/>
                <w:lang w:val="en-US" w:eastAsia="zh-CN"/>
              </w:rPr>
              <w:t>11</w:t>
            </w:r>
          </w:p>
        </w:tc>
      </w:tr>
      <w:tr w14:paraId="55E0C0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2423" w:type="dxa"/>
            <w:tcMar>
              <w:top w:w="16" w:type="dxa"/>
              <w:left w:w="16" w:type="dxa"/>
              <w:right w:w="16" w:type="dxa"/>
            </w:tcMar>
            <w:vAlign w:val="center"/>
          </w:tcPr>
          <w:p w14:paraId="68E15D0B">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是否开工建设</w:t>
            </w:r>
          </w:p>
        </w:tc>
        <w:tc>
          <w:tcPr>
            <w:tcW w:w="1944" w:type="dxa"/>
            <w:vAlign w:val="center"/>
          </w:tcPr>
          <w:p w14:paraId="767D1015">
            <w:pPr>
              <w:adjustRightInd w:val="0"/>
              <w:snapToGrid w:val="0"/>
              <w:spacing w:line="340" w:lineRule="exact"/>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t>否：</w:t>
            </w:r>
            <w:r>
              <w:rPr>
                <w:rFonts w:hint="default" w:ascii="Times New Roman" w:hAnsi="Times New Roman" w:cs="Times New Roman"/>
                <w:color w:val="auto"/>
                <w:sz w:val="24"/>
                <w:highlight w:val="none"/>
                <w:u w:val="single"/>
                <w:lang w:val="en-US" w:eastAsia="zh-CN"/>
              </w:rPr>
              <w:t>√</w:t>
            </w:r>
            <w:r>
              <w:rPr>
                <w:rFonts w:hint="default" w:ascii="Times New Roman" w:hAnsi="Times New Roman" w:cs="Times New Roman"/>
                <w:color w:val="auto"/>
                <w:sz w:val="24"/>
                <w:highlight w:val="none"/>
                <w:u w:val="single"/>
              </w:rPr>
              <w:t xml:space="preserve">        </w:t>
            </w:r>
          </w:p>
          <w:p w14:paraId="1C1A4557">
            <w:pPr>
              <w:adjustRightInd w:val="0"/>
              <w:snapToGrid w:val="0"/>
              <w:spacing w:line="340" w:lineRule="exact"/>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是：</w:t>
            </w:r>
            <w:r>
              <w:rPr>
                <w:rFonts w:hint="default" w:ascii="Times New Roman" w:hAnsi="Times New Roman" w:cs="Times New Roman"/>
                <w:color w:val="auto"/>
                <w:sz w:val="24"/>
                <w:highlight w:val="none"/>
                <w:u w:val="single"/>
              </w:rPr>
              <w:t xml:space="preserve"> </w:t>
            </w:r>
            <w:r>
              <w:rPr>
                <w:rFonts w:hint="default" w:ascii="Times New Roman" w:hAnsi="Times New Roman" w:cs="Times New Roman"/>
                <w:color w:val="auto"/>
                <w:sz w:val="24"/>
                <w:highlight w:val="none"/>
                <w:u w:val="single"/>
                <w:lang w:val="en-US" w:eastAsia="zh-CN"/>
              </w:rPr>
              <w:t xml:space="preserve"> </w:t>
            </w:r>
            <w:r>
              <w:rPr>
                <w:rFonts w:hint="default" w:ascii="Times New Roman" w:hAnsi="Times New Roman" w:cs="Times New Roman"/>
                <w:color w:val="auto"/>
                <w:sz w:val="24"/>
                <w:highlight w:val="none"/>
                <w:u w:val="single"/>
              </w:rPr>
              <w:t xml:space="preserve">        </w:t>
            </w:r>
          </w:p>
        </w:tc>
        <w:tc>
          <w:tcPr>
            <w:tcW w:w="2110" w:type="dxa"/>
            <w:tcMar>
              <w:top w:w="16" w:type="dxa"/>
              <w:left w:w="16" w:type="dxa"/>
              <w:right w:w="16" w:type="dxa"/>
            </w:tcMar>
            <w:vAlign w:val="center"/>
          </w:tcPr>
          <w:p w14:paraId="1F980849">
            <w:pPr>
              <w:adjustRightInd w:val="0"/>
              <w:snapToGrid w:val="0"/>
              <w:spacing w:line="340" w:lineRule="exact"/>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用地（用海）</w:t>
            </w:r>
          </w:p>
          <w:p w14:paraId="2522672F">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pacing w:val="-6"/>
                <w:sz w:val="24"/>
                <w:highlight w:val="none"/>
              </w:rPr>
              <w:t>面积（m</w:t>
            </w:r>
            <w:r>
              <w:rPr>
                <w:rFonts w:hint="default" w:ascii="Times New Roman" w:hAnsi="Times New Roman" w:cs="Times New Roman"/>
                <w:color w:val="auto"/>
                <w:spacing w:val="-6"/>
                <w:sz w:val="24"/>
                <w:highlight w:val="none"/>
                <w:vertAlign w:val="superscript"/>
              </w:rPr>
              <w:t>2</w:t>
            </w:r>
            <w:r>
              <w:rPr>
                <w:rFonts w:hint="default" w:ascii="Times New Roman" w:hAnsi="Times New Roman" w:cs="Times New Roman"/>
                <w:color w:val="auto"/>
                <w:spacing w:val="-6"/>
                <w:sz w:val="24"/>
                <w:highlight w:val="none"/>
              </w:rPr>
              <w:t>）</w:t>
            </w:r>
          </w:p>
        </w:tc>
        <w:tc>
          <w:tcPr>
            <w:tcW w:w="3161" w:type="dxa"/>
            <w:vAlign w:val="center"/>
          </w:tcPr>
          <w:p w14:paraId="5DAA87F6">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13155</w:t>
            </w:r>
          </w:p>
        </w:tc>
      </w:tr>
      <w:tr w14:paraId="7369C9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2423" w:type="dxa"/>
            <w:vAlign w:val="center"/>
          </w:tcPr>
          <w:p w14:paraId="358FD769">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专项评价设置情况</w:t>
            </w:r>
          </w:p>
        </w:tc>
        <w:tc>
          <w:tcPr>
            <w:tcW w:w="7215" w:type="dxa"/>
            <w:gridSpan w:val="3"/>
            <w:vAlign w:val="center"/>
          </w:tcPr>
          <w:p w14:paraId="2268536E">
            <w:pPr>
              <w:autoSpaceDE w:val="0"/>
              <w:autoSpaceDN w:val="0"/>
              <w:adjustRightInd w:val="0"/>
              <w:snapToGrid w:val="0"/>
              <w:spacing w:line="340" w:lineRule="exact"/>
              <w:jc w:val="center"/>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表1-1 专项设置情况</w:t>
            </w:r>
          </w:p>
          <w:tbl>
            <w:tblPr>
              <w:tblStyle w:val="20"/>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80"/>
              <w:gridCol w:w="3156"/>
              <w:gridCol w:w="2860"/>
            </w:tblGrid>
            <w:tr w14:paraId="5133B7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CEA6E5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专项评价的类别</w:t>
                  </w:r>
                </w:p>
              </w:tc>
              <w:tc>
                <w:tcPr>
                  <w:tcW w:w="2255" w:type="pct"/>
                  <w:noWrap w:val="0"/>
                  <w:vAlign w:val="center"/>
                </w:tcPr>
                <w:p w14:paraId="1614842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设置原则</w:t>
                  </w:r>
                </w:p>
              </w:tc>
              <w:tc>
                <w:tcPr>
                  <w:tcW w:w="2044" w:type="pct"/>
                  <w:noWrap w:val="0"/>
                  <w:vAlign w:val="center"/>
                </w:tcPr>
                <w:p w14:paraId="5A44D07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是否设置</w:t>
                  </w:r>
                </w:p>
              </w:tc>
            </w:tr>
            <w:tr w14:paraId="69D21F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3941D1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大气</w:t>
                  </w:r>
                </w:p>
              </w:tc>
              <w:tc>
                <w:tcPr>
                  <w:tcW w:w="2255" w:type="pct"/>
                  <w:noWrap w:val="0"/>
                  <w:vAlign w:val="center"/>
                </w:tcPr>
                <w:p w14:paraId="44384B4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排放废气含有毒有害污染物、二噁英、苯并[</w:t>
                  </w:r>
                  <w:r>
                    <w:rPr>
                      <w:rFonts w:hint="default" w:ascii="Times New Roman" w:hAnsi="Times New Roman" w:eastAsia="宋体" w:cs="Times New Roman"/>
                      <w:i/>
                      <w:iCs/>
                      <w:color w:val="auto"/>
                      <w:spacing w:val="0"/>
                      <w:kern w:val="21"/>
                      <w:sz w:val="21"/>
                      <w:szCs w:val="21"/>
                      <w:highlight w:val="none"/>
                    </w:rPr>
                    <w:t>a</w:t>
                  </w:r>
                  <w:r>
                    <w:rPr>
                      <w:rFonts w:hint="default" w:ascii="Times New Roman" w:hAnsi="Times New Roman" w:eastAsia="宋体" w:cs="Times New Roman"/>
                      <w:color w:val="auto"/>
                      <w:spacing w:val="0"/>
                      <w:kern w:val="21"/>
                      <w:sz w:val="21"/>
                      <w:szCs w:val="21"/>
                      <w:highlight w:val="none"/>
                    </w:rPr>
                    <w:t>]芘、氰化物、氯气且厂界外500米范围内有环境空气保护目标的建设项目</w:t>
                  </w:r>
                </w:p>
              </w:tc>
              <w:tc>
                <w:tcPr>
                  <w:tcW w:w="2044" w:type="pct"/>
                  <w:noWrap w:val="0"/>
                  <w:vAlign w:val="center"/>
                </w:tcPr>
                <w:p w14:paraId="05B0C97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不设置</w:t>
                  </w:r>
                  <w:r>
                    <w:rPr>
                      <w:rFonts w:hint="default" w:ascii="Times New Roman" w:hAnsi="Times New Roman" w:eastAsia="宋体" w:cs="Times New Roman"/>
                      <w:color w:val="auto"/>
                      <w:spacing w:val="0"/>
                      <w:kern w:val="21"/>
                      <w:sz w:val="21"/>
                      <w:szCs w:val="21"/>
                      <w:highlight w:val="none"/>
                      <w:lang w:eastAsia="zh-CN"/>
                    </w:rPr>
                    <w:t>，</w:t>
                  </w:r>
                  <w:r>
                    <w:rPr>
                      <w:rFonts w:hint="default" w:ascii="Times New Roman" w:hAnsi="Times New Roman" w:eastAsia="宋体" w:cs="Times New Roman"/>
                      <w:color w:val="auto"/>
                      <w:spacing w:val="0"/>
                      <w:kern w:val="21"/>
                      <w:sz w:val="21"/>
                      <w:szCs w:val="21"/>
                      <w:highlight w:val="none"/>
                    </w:rPr>
                    <w:t>项目排放废气</w:t>
                  </w:r>
                  <w:r>
                    <w:rPr>
                      <w:rFonts w:hint="default" w:ascii="Times New Roman" w:hAnsi="Times New Roman" w:eastAsia="宋体" w:cs="Times New Roman"/>
                      <w:color w:val="auto"/>
                      <w:spacing w:val="0"/>
                      <w:kern w:val="21"/>
                      <w:sz w:val="21"/>
                      <w:szCs w:val="21"/>
                      <w:highlight w:val="none"/>
                      <w:lang w:val="en-US" w:eastAsia="zh-CN"/>
                    </w:rPr>
                    <w:t>不</w:t>
                  </w:r>
                  <w:r>
                    <w:rPr>
                      <w:rFonts w:hint="default" w:ascii="Times New Roman" w:hAnsi="Times New Roman" w:eastAsia="宋体" w:cs="Times New Roman"/>
                      <w:color w:val="auto"/>
                      <w:spacing w:val="0"/>
                      <w:kern w:val="21"/>
                      <w:sz w:val="21"/>
                      <w:szCs w:val="21"/>
                      <w:highlight w:val="none"/>
                    </w:rPr>
                    <w:t>含有毒有害污染物</w:t>
                  </w:r>
                </w:p>
              </w:tc>
            </w:tr>
            <w:tr w14:paraId="4E0A9F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668E6D4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地表水</w:t>
                  </w:r>
                </w:p>
              </w:tc>
              <w:tc>
                <w:tcPr>
                  <w:tcW w:w="2255" w:type="pct"/>
                  <w:noWrap w:val="0"/>
                  <w:vAlign w:val="center"/>
                </w:tcPr>
                <w:p w14:paraId="6A7603B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新增工业废水直排建设项目（槽罐车外送污水处理厂的除外）；新增废水直排的污水集中处理厂</w:t>
                  </w:r>
                </w:p>
              </w:tc>
              <w:tc>
                <w:tcPr>
                  <w:tcW w:w="2044" w:type="pct"/>
                  <w:noWrap w:val="0"/>
                  <w:vAlign w:val="center"/>
                </w:tcPr>
                <w:p w14:paraId="3B6CCC3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不设置</w:t>
                  </w:r>
                  <w:r>
                    <w:rPr>
                      <w:rFonts w:hint="default" w:ascii="Times New Roman" w:hAnsi="Times New Roman" w:eastAsia="宋体" w:cs="Times New Roman"/>
                      <w:color w:val="auto"/>
                      <w:spacing w:val="0"/>
                      <w:kern w:val="21"/>
                      <w:sz w:val="21"/>
                      <w:szCs w:val="21"/>
                      <w:highlight w:val="none"/>
                      <w:lang w:eastAsia="zh-CN"/>
                    </w:rPr>
                    <w:t>，</w:t>
                  </w:r>
                  <w:r>
                    <w:rPr>
                      <w:rFonts w:hint="default" w:ascii="Times New Roman" w:hAnsi="Times New Roman" w:eastAsia="宋体" w:cs="Times New Roman"/>
                      <w:color w:val="auto"/>
                      <w:spacing w:val="0"/>
                      <w:kern w:val="21"/>
                      <w:sz w:val="21"/>
                      <w:szCs w:val="21"/>
                      <w:highlight w:val="none"/>
                      <w:lang w:val="en-US" w:eastAsia="zh-CN"/>
                    </w:rPr>
                    <w:t>项目不</w:t>
                  </w:r>
                  <w:r>
                    <w:rPr>
                      <w:rFonts w:hint="default" w:ascii="Times New Roman" w:hAnsi="Times New Roman" w:eastAsia="宋体" w:cs="Times New Roman"/>
                      <w:color w:val="auto"/>
                      <w:spacing w:val="0"/>
                      <w:kern w:val="21"/>
                      <w:sz w:val="21"/>
                      <w:szCs w:val="21"/>
                      <w:highlight w:val="none"/>
                    </w:rPr>
                    <w:t>新增工业废水直排</w:t>
                  </w:r>
                </w:p>
              </w:tc>
            </w:tr>
            <w:tr w14:paraId="673905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61BE8B0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环境风险</w:t>
                  </w:r>
                </w:p>
              </w:tc>
              <w:tc>
                <w:tcPr>
                  <w:tcW w:w="2255" w:type="pct"/>
                  <w:noWrap w:val="0"/>
                  <w:vAlign w:val="center"/>
                </w:tcPr>
                <w:p w14:paraId="152BD24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有毒有害和易燃易爆危险物质存储量超过临界量的建设项目</w:t>
                  </w:r>
                </w:p>
              </w:tc>
              <w:tc>
                <w:tcPr>
                  <w:tcW w:w="2044" w:type="pct"/>
                  <w:noWrap w:val="0"/>
                  <w:vAlign w:val="center"/>
                </w:tcPr>
                <w:p w14:paraId="0ECC48F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cs="Times New Roman" w:eastAsiaTheme="minorEastAsia"/>
                      <w:color w:val="auto"/>
                      <w:kern w:val="0"/>
                      <w:szCs w:val="21"/>
                      <w:highlight w:val="none"/>
                    </w:rPr>
                    <w:t>本</w:t>
                  </w:r>
                  <w:r>
                    <w:rPr>
                      <w:rFonts w:hint="default" w:ascii="Times New Roman" w:hAnsi="Times New Roman" w:eastAsia="宋体" w:cs="Times New Roman"/>
                      <w:color w:val="auto"/>
                      <w:spacing w:val="0"/>
                      <w:kern w:val="21"/>
                      <w:sz w:val="21"/>
                      <w:szCs w:val="21"/>
                      <w:highlight w:val="none"/>
                    </w:rPr>
                    <w:t>项目涉及危险物质存储量未超过临界量</w:t>
                  </w:r>
                  <w:r>
                    <w:rPr>
                      <w:rFonts w:hint="default" w:ascii="Times New Roman" w:hAnsi="Times New Roman" w:eastAsia="宋体" w:cs="Times New Roman"/>
                      <w:color w:val="auto"/>
                      <w:spacing w:val="0"/>
                      <w:kern w:val="21"/>
                      <w:sz w:val="21"/>
                      <w:szCs w:val="21"/>
                      <w:highlight w:val="none"/>
                      <w:lang w:val="en-US" w:eastAsia="zh-CN"/>
                    </w:rPr>
                    <w:t>，因此无需开展环境风险专项评价</w:t>
                  </w:r>
                </w:p>
              </w:tc>
            </w:tr>
            <w:tr w14:paraId="02255B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368F08C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生态</w:t>
                  </w:r>
                </w:p>
              </w:tc>
              <w:tc>
                <w:tcPr>
                  <w:tcW w:w="2255" w:type="pct"/>
                  <w:noWrap w:val="0"/>
                  <w:vAlign w:val="center"/>
                </w:tcPr>
                <w:p w14:paraId="4099E9A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取水口下游500米范围内有重要水生生物的自然产卵场、索饵场、越冬场和洄游通道的新增河道取水的污染类建设项目</w:t>
                  </w:r>
                </w:p>
              </w:tc>
              <w:tc>
                <w:tcPr>
                  <w:tcW w:w="2044" w:type="pct"/>
                  <w:noWrap w:val="0"/>
                  <w:vAlign w:val="center"/>
                </w:tcPr>
                <w:p w14:paraId="451FC3F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lang w:eastAsia="zh-CN"/>
                    </w:rPr>
                    <w:t>不设置</w:t>
                  </w:r>
                </w:p>
              </w:tc>
            </w:tr>
            <w:tr w14:paraId="33E9EF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3F19A90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海洋</w:t>
                  </w:r>
                </w:p>
              </w:tc>
              <w:tc>
                <w:tcPr>
                  <w:tcW w:w="2255" w:type="pct"/>
                  <w:noWrap w:val="0"/>
                  <w:vAlign w:val="center"/>
                </w:tcPr>
                <w:p w14:paraId="0809E08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直接向海排放污染物的海洋工程建设项目</w:t>
                  </w:r>
                </w:p>
              </w:tc>
              <w:tc>
                <w:tcPr>
                  <w:tcW w:w="2044" w:type="pct"/>
                  <w:noWrap w:val="0"/>
                  <w:vAlign w:val="center"/>
                </w:tcPr>
                <w:p w14:paraId="2B26577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lang w:eastAsia="zh-CN"/>
                    </w:rPr>
                    <w:t>不设置</w:t>
                  </w:r>
                </w:p>
              </w:tc>
            </w:tr>
            <w:tr w14:paraId="16DB73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C13E9E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lang w:eastAsia="zh-CN"/>
                    </w:rPr>
                  </w:pPr>
                  <w:r>
                    <w:rPr>
                      <w:rFonts w:hint="default" w:ascii="Times New Roman" w:hAnsi="Times New Roman" w:eastAsia="宋体" w:cs="Times New Roman"/>
                      <w:color w:val="auto"/>
                      <w:spacing w:val="0"/>
                      <w:kern w:val="21"/>
                      <w:sz w:val="21"/>
                      <w:szCs w:val="21"/>
                      <w:highlight w:val="none"/>
                      <w:lang w:eastAsia="zh-CN"/>
                    </w:rPr>
                    <w:t>地下水</w:t>
                  </w:r>
                </w:p>
              </w:tc>
              <w:tc>
                <w:tcPr>
                  <w:tcW w:w="2255" w:type="pct"/>
                  <w:noWrap w:val="0"/>
                  <w:vAlign w:val="center"/>
                </w:tcPr>
                <w:p w14:paraId="7FEA087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lang w:eastAsia="zh-CN"/>
                    </w:rPr>
                    <w:t>地下水原则上不开展专项评价，涉及集中式饮用水水源和热水、矿泉水、温泉等特殊地下水资源保护区的开展地下水专项评价工作</w:t>
                  </w:r>
                </w:p>
              </w:tc>
              <w:tc>
                <w:tcPr>
                  <w:tcW w:w="2044" w:type="pct"/>
                  <w:noWrap w:val="0"/>
                  <w:vAlign w:val="center"/>
                </w:tcPr>
                <w:p w14:paraId="254E490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lang w:eastAsia="zh-CN"/>
                    </w:rPr>
                  </w:pPr>
                  <w:r>
                    <w:rPr>
                      <w:rFonts w:hint="default" w:ascii="Times New Roman" w:hAnsi="Times New Roman" w:eastAsia="宋体" w:cs="Times New Roman"/>
                      <w:color w:val="auto"/>
                      <w:spacing w:val="0"/>
                      <w:kern w:val="21"/>
                      <w:sz w:val="21"/>
                      <w:szCs w:val="21"/>
                      <w:highlight w:val="none"/>
                      <w:lang w:eastAsia="zh-CN"/>
                    </w:rPr>
                    <w:t>不设置</w:t>
                  </w:r>
                </w:p>
              </w:tc>
            </w:tr>
            <w:tr w14:paraId="2291B4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62E91C8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lang w:eastAsia="zh-CN"/>
                    </w:rPr>
                  </w:pPr>
                  <w:r>
                    <w:rPr>
                      <w:rFonts w:hint="default" w:ascii="Times New Roman" w:hAnsi="Times New Roman" w:eastAsia="宋体" w:cs="Times New Roman"/>
                      <w:color w:val="auto"/>
                      <w:spacing w:val="0"/>
                      <w:kern w:val="21"/>
                      <w:sz w:val="21"/>
                      <w:szCs w:val="21"/>
                      <w:highlight w:val="none"/>
                      <w:lang w:eastAsia="zh-CN"/>
                    </w:rPr>
                    <w:t>土壤</w:t>
                  </w:r>
                </w:p>
              </w:tc>
              <w:tc>
                <w:tcPr>
                  <w:tcW w:w="2255" w:type="pct"/>
                  <w:vMerge w:val="restart"/>
                  <w:noWrap w:val="0"/>
                  <w:vAlign w:val="center"/>
                </w:tcPr>
                <w:p w14:paraId="708A566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rPr>
                    <w:t>土壤、声环境不开展专项评价</w:t>
                  </w:r>
                </w:p>
              </w:tc>
              <w:tc>
                <w:tcPr>
                  <w:tcW w:w="2044" w:type="pct"/>
                  <w:noWrap w:val="0"/>
                  <w:vAlign w:val="center"/>
                </w:tcPr>
                <w:p w14:paraId="7442520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lang w:eastAsia="zh-CN"/>
                    </w:rPr>
                  </w:pPr>
                  <w:r>
                    <w:rPr>
                      <w:rFonts w:hint="default" w:ascii="Times New Roman" w:hAnsi="Times New Roman" w:eastAsia="宋体" w:cs="Times New Roman"/>
                      <w:color w:val="auto"/>
                      <w:spacing w:val="0"/>
                      <w:kern w:val="21"/>
                      <w:sz w:val="21"/>
                      <w:szCs w:val="21"/>
                      <w:highlight w:val="none"/>
                      <w:lang w:eastAsia="zh-CN"/>
                    </w:rPr>
                    <w:t>不设置</w:t>
                  </w:r>
                </w:p>
              </w:tc>
            </w:tr>
            <w:tr w14:paraId="416ED5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EDCD0B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r>
                    <w:rPr>
                      <w:rFonts w:hint="default" w:ascii="Times New Roman" w:hAnsi="Times New Roman" w:eastAsia="宋体" w:cs="Times New Roman"/>
                      <w:color w:val="auto"/>
                      <w:spacing w:val="0"/>
                      <w:kern w:val="21"/>
                      <w:sz w:val="21"/>
                      <w:szCs w:val="21"/>
                      <w:highlight w:val="none"/>
                      <w:lang w:eastAsia="zh-CN"/>
                    </w:rPr>
                    <w:t>声环境</w:t>
                  </w:r>
                </w:p>
              </w:tc>
              <w:tc>
                <w:tcPr>
                  <w:tcW w:w="2255" w:type="pct"/>
                  <w:vMerge w:val="continue"/>
                  <w:noWrap w:val="0"/>
                  <w:vAlign w:val="center"/>
                </w:tcPr>
                <w:p w14:paraId="3075E4B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rPr>
                  </w:pPr>
                </w:p>
              </w:tc>
              <w:tc>
                <w:tcPr>
                  <w:tcW w:w="2044" w:type="pct"/>
                  <w:noWrap w:val="0"/>
                  <w:vAlign w:val="center"/>
                </w:tcPr>
                <w:p w14:paraId="64DF249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21"/>
                      <w:szCs w:val="21"/>
                      <w:highlight w:val="none"/>
                      <w:lang w:eastAsia="zh-CN"/>
                    </w:rPr>
                  </w:pPr>
                  <w:r>
                    <w:rPr>
                      <w:rFonts w:hint="default" w:ascii="Times New Roman" w:hAnsi="Times New Roman" w:eastAsia="宋体" w:cs="Times New Roman"/>
                      <w:color w:val="auto"/>
                      <w:spacing w:val="0"/>
                      <w:kern w:val="21"/>
                      <w:sz w:val="21"/>
                      <w:szCs w:val="21"/>
                      <w:highlight w:val="none"/>
                      <w:lang w:eastAsia="zh-CN"/>
                    </w:rPr>
                    <w:t>不设置</w:t>
                  </w:r>
                </w:p>
              </w:tc>
            </w:tr>
          </w:tbl>
          <w:p w14:paraId="180BDE96">
            <w:pPr>
              <w:autoSpaceDE w:val="0"/>
              <w:autoSpaceDN w:val="0"/>
              <w:adjustRightInd w:val="0"/>
              <w:snapToGrid w:val="0"/>
              <w:spacing w:line="340" w:lineRule="exact"/>
              <w:jc w:val="center"/>
              <w:rPr>
                <w:rFonts w:hint="default" w:ascii="Times New Roman" w:hAnsi="Times New Roman" w:eastAsia="宋体" w:cs="Times New Roman"/>
                <w:color w:val="auto"/>
                <w:kern w:val="0"/>
                <w:sz w:val="24"/>
                <w:highlight w:val="none"/>
                <w:lang w:val="en-US" w:eastAsia="zh-CN"/>
              </w:rPr>
            </w:pPr>
          </w:p>
        </w:tc>
      </w:tr>
      <w:tr w14:paraId="7C822F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423" w:type="dxa"/>
            <w:vAlign w:val="center"/>
          </w:tcPr>
          <w:p w14:paraId="4A3962BE">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规划情况</w:t>
            </w:r>
          </w:p>
        </w:tc>
        <w:tc>
          <w:tcPr>
            <w:tcW w:w="7215" w:type="dxa"/>
            <w:gridSpan w:val="3"/>
            <w:vAlign w:val="center"/>
          </w:tcPr>
          <w:p w14:paraId="3C834186">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tc>
      </w:tr>
      <w:tr w14:paraId="403023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423" w:type="dxa"/>
            <w:vAlign w:val="center"/>
          </w:tcPr>
          <w:p w14:paraId="32B1D283">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规划环境影响</w:t>
            </w:r>
          </w:p>
          <w:p w14:paraId="46E86EA6">
            <w:pPr>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评价情况</w:t>
            </w:r>
          </w:p>
        </w:tc>
        <w:tc>
          <w:tcPr>
            <w:tcW w:w="7215" w:type="dxa"/>
            <w:gridSpan w:val="3"/>
            <w:vAlign w:val="center"/>
          </w:tcPr>
          <w:p w14:paraId="3F48FC9E">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tc>
      </w:tr>
      <w:tr w14:paraId="3B98FC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423" w:type="dxa"/>
            <w:vAlign w:val="center"/>
          </w:tcPr>
          <w:p w14:paraId="2ED86CB7">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规划及规划环境</w:t>
            </w:r>
          </w:p>
          <w:p w14:paraId="6134CA1B">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影响评价符合性分析</w:t>
            </w:r>
          </w:p>
        </w:tc>
        <w:tc>
          <w:tcPr>
            <w:tcW w:w="7215" w:type="dxa"/>
            <w:gridSpan w:val="3"/>
            <w:vAlign w:val="center"/>
          </w:tcPr>
          <w:p w14:paraId="5F75F615">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w:t>
            </w:r>
          </w:p>
        </w:tc>
      </w:tr>
      <w:tr w14:paraId="7F9D44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423" w:type="dxa"/>
            <w:vAlign w:val="center"/>
          </w:tcPr>
          <w:p w14:paraId="679EA0BD">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其他符合性分析</w:t>
            </w:r>
          </w:p>
        </w:tc>
        <w:tc>
          <w:tcPr>
            <w:tcW w:w="7215" w:type="dxa"/>
            <w:gridSpan w:val="3"/>
            <w:vAlign w:val="center"/>
          </w:tcPr>
          <w:p w14:paraId="3677073C">
            <w:pPr>
              <w:pStyle w:val="28"/>
              <w:spacing w:line="360" w:lineRule="auto"/>
              <w:jc w:val="both"/>
              <w:rPr>
                <w:rFonts w:hint="default" w:ascii="Times New Roman" w:hAnsi="Times New Roman" w:cs="Times New Roman"/>
                <w:b/>
                <w:color w:val="auto"/>
                <w:highlight w:val="none"/>
              </w:rPr>
            </w:pPr>
            <w:r>
              <w:rPr>
                <w:rFonts w:hint="default" w:ascii="Times New Roman" w:hAnsi="Times New Roman" w:cs="Times New Roman"/>
                <w:b/>
                <w:color w:val="auto"/>
                <w:highlight w:val="none"/>
              </w:rPr>
              <w:t>1、产业政策符合性分析</w:t>
            </w:r>
          </w:p>
          <w:p w14:paraId="1E6D9F2A">
            <w:pPr>
              <w:pStyle w:val="28"/>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根据《产业结构调整指导目录（</w:t>
            </w:r>
            <w:r>
              <w:rPr>
                <w:rFonts w:hint="default" w:ascii="Times New Roman" w:hAnsi="Times New Roman" w:eastAsia="宋体" w:cs="Times New Roman"/>
                <w:color w:val="auto"/>
                <w:sz w:val="24"/>
                <w:highlight w:val="none"/>
              </w:rPr>
              <w:t>20</w:t>
            </w:r>
            <w:r>
              <w:rPr>
                <w:rFonts w:hint="default" w:ascii="Times New Roman" w:hAnsi="Times New Roman" w:eastAsia="宋体" w:cs="Times New Roman"/>
                <w:color w:val="auto"/>
                <w:sz w:val="24"/>
                <w:highlight w:val="none"/>
                <w:lang w:val="en-US" w:eastAsia="zh-CN"/>
              </w:rPr>
              <w:t>24</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本</w:t>
            </w:r>
            <w:r>
              <w:rPr>
                <w:rFonts w:hint="default" w:ascii="Times New Roman" w:hAnsi="Times New Roman" w:cs="Times New Roman"/>
                <w:color w:val="auto"/>
                <w:sz w:val="24"/>
                <w:highlight w:val="none"/>
              </w:rPr>
              <w:t>）》，本项目属于</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三煤炭第一条：储煤设施建设</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属于鼓励类项目，</w:t>
            </w:r>
            <w:r>
              <w:rPr>
                <w:rFonts w:hint="default" w:ascii="Times New Roman" w:hAnsi="Times New Roman" w:eastAsia="宋体" w:cs="Times New Roman"/>
                <w:color w:val="auto"/>
                <w:sz w:val="24"/>
                <w:highlight w:val="none"/>
                <w:lang w:val="en-US" w:eastAsia="zh-CN"/>
              </w:rPr>
              <w:t>项目生产过程中</w:t>
            </w:r>
            <w:r>
              <w:rPr>
                <w:rFonts w:hint="default" w:ascii="Times New Roman" w:hAnsi="Times New Roman" w:cs="Times New Roman"/>
                <w:color w:val="auto"/>
                <w:sz w:val="24"/>
                <w:highlight w:val="none"/>
                <w:lang w:val="en-US" w:eastAsia="zh-CN"/>
              </w:rPr>
              <w:t>不使用</w:t>
            </w:r>
            <w:r>
              <w:rPr>
                <w:rFonts w:hint="default" w:ascii="Times New Roman" w:hAnsi="Times New Roman" w:eastAsia="宋体" w:cs="Times New Roman"/>
                <w:color w:val="auto"/>
                <w:sz w:val="24"/>
                <w:highlight w:val="none"/>
                <w:lang w:val="en-US" w:eastAsia="zh-CN"/>
              </w:rPr>
              <w:t>国家明令禁止的淘汰类和限制类的工艺和设备，符合国家的产业政策和环保政策</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因此本项目的建设符合国家产业政策要求。</w:t>
            </w:r>
          </w:p>
          <w:p w14:paraId="50E46AD7">
            <w:pPr>
              <w:pStyle w:val="28"/>
              <w:spacing w:line="360" w:lineRule="auto"/>
              <w:jc w:val="both"/>
              <w:rPr>
                <w:rFonts w:hint="default" w:ascii="Times New Roman" w:hAnsi="Times New Roman" w:eastAsia="宋体" w:cs="Times New Roman"/>
                <w:b/>
                <w:color w:val="auto"/>
                <w:highlight w:val="none"/>
                <w:lang w:val="en-US"/>
              </w:rPr>
            </w:pPr>
            <w:r>
              <w:rPr>
                <w:rFonts w:hint="default" w:ascii="Times New Roman" w:hAnsi="Times New Roman" w:eastAsia="宋体" w:cs="Times New Roman"/>
                <w:b/>
                <w:color w:val="auto"/>
                <w:highlight w:val="none"/>
              </w:rPr>
              <w:t>2、</w:t>
            </w:r>
            <w:r>
              <w:rPr>
                <w:rFonts w:hint="default" w:ascii="Times New Roman" w:hAnsi="Times New Roman" w:eastAsia="宋体" w:cs="Times New Roman"/>
                <w:b/>
                <w:color w:val="auto"/>
                <w:highlight w:val="none"/>
                <w:lang w:val="en-US" w:eastAsia="zh-CN"/>
              </w:rPr>
              <w:t>环境影响评价技术文件类型的符合性分析</w:t>
            </w:r>
          </w:p>
          <w:p w14:paraId="5E35B493">
            <w:pPr>
              <w:pStyle w:val="3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根据《建设项目环境影响评价分类管理名录》（2021年版）四、煤炭开采和洗选中煤炭储存、集运项目应当编制环境影响评价报告表，详见表1-</w:t>
            </w:r>
            <w:r>
              <w:rPr>
                <w:rFonts w:hint="default"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w:t>
            </w:r>
          </w:p>
          <w:p w14:paraId="40FA8454">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表1</w:t>
            </w:r>
            <w:r>
              <w:rPr>
                <w:rFonts w:hint="default" w:ascii="Times New Roman" w:hAnsi="Times New Roman"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en-US" w:eastAsia="zh-CN" w:bidi="ar-SA"/>
              </w:rPr>
              <w:t xml:space="preserve"> 建设项目环境影响评价分类管理名录</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9"/>
              <w:gridCol w:w="2265"/>
              <w:gridCol w:w="900"/>
              <w:gridCol w:w="2340"/>
              <w:gridCol w:w="1165"/>
            </w:tblGrid>
            <w:tr w14:paraId="25250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84" w:type="dxa"/>
                  <w:gridSpan w:val="2"/>
                  <w:tcBorders>
                    <w:tl2br w:val="nil"/>
                    <w:tr2bl w:val="nil"/>
                  </w:tcBorders>
                </w:tcPr>
                <w:p w14:paraId="137EF0BC">
                  <w:pPr>
                    <w:adjustRightInd w:val="0"/>
                    <w:snapToGrid w:val="0"/>
                    <w:jc w:val="right"/>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65408" behindDoc="0" locked="0" layoutInCell="1" allowOverlap="1">
                            <wp:simplePos x="0" y="0"/>
                            <wp:positionH relativeFrom="column">
                              <wp:posOffset>-56515</wp:posOffset>
                            </wp:positionH>
                            <wp:positionV relativeFrom="paragraph">
                              <wp:posOffset>-4445</wp:posOffset>
                            </wp:positionV>
                            <wp:extent cx="1609725" cy="323850"/>
                            <wp:effectExtent l="1270" t="6350" r="8255" b="12700"/>
                            <wp:wrapNone/>
                            <wp:docPr id="39" name="直接连接符 39"/>
                            <wp:cNvGraphicFramePr/>
                            <a:graphic xmlns:a="http://schemas.openxmlformats.org/drawingml/2006/main">
                              <a:graphicData uri="http://schemas.microsoft.com/office/word/2010/wordprocessingShape">
                                <wps:wsp>
                                  <wps:cNvCnPr/>
                                  <wps:spPr>
                                    <a:xfrm>
                                      <a:off x="2342515" y="6812915"/>
                                      <a:ext cx="1609725" cy="32385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45pt;margin-top:-0.35pt;height:25.5pt;width:126.75pt;z-index:251665408;mso-width-relative:page;mso-height-relative:page;" filled="f" stroked="t" coordsize="21600,21600" o:gfxdata="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vvordgAAAAHAQAADwAAAAAAAAABACAAAAAiAAAAZHJzL2Rvd25yZXYueG1s&#10;UEsBAhQAFAAAAAgAh07iQEmu3tj4AQAAxQMAAA4AAAAAAAAAAQAgAAAAJwEAAGRycy9lMm9Eb2Mu&#10;eG1sUEsFBgAAAAAGAAYAWQEAAJEFAAAAAA==&#10;">
                            <v:fill on="f" focussize="0,0"/>
                            <v:stroke weight="1pt" color="#000000 [3213]" miterlimit="8" joinstyle="miter"/>
                            <v:imagedata o:title=""/>
                            <o:lock v:ext="edit" aspectratio="f"/>
                          </v:line>
                        </w:pict>
                      </mc:Fallback>
                    </mc:AlternateContent>
                  </w:r>
                  <w:r>
                    <w:rPr>
                      <w:rFonts w:hint="default" w:ascii="Times New Roman" w:hAnsi="Times New Roman" w:eastAsia="宋体" w:cs="Times New Roman"/>
                      <w:color w:val="auto"/>
                      <w:kern w:val="21"/>
                      <w:sz w:val="21"/>
                      <w:szCs w:val="21"/>
                      <w:highlight w:val="none"/>
                      <w:lang w:val="en-US" w:eastAsia="zh-CN"/>
                    </w:rPr>
                    <w:t>环评类别</w:t>
                  </w:r>
                </w:p>
                <w:p w14:paraId="16DBCA65">
                  <w:pPr>
                    <w:adjustRightInd w:val="0"/>
                    <w:snapToGrid w:val="0"/>
                    <w:jc w:val="left"/>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项目类别</w:t>
                  </w:r>
                </w:p>
              </w:tc>
              <w:tc>
                <w:tcPr>
                  <w:tcW w:w="900" w:type="dxa"/>
                  <w:tcBorders>
                    <w:tl2br w:val="nil"/>
                    <w:tr2bl w:val="nil"/>
                  </w:tcBorders>
                  <w:vAlign w:val="center"/>
                </w:tcPr>
                <w:p w14:paraId="19642C92">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报告书</w:t>
                  </w:r>
                </w:p>
              </w:tc>
              <w:tc>
                <w:tcPr>
                  <w:tcW w:w="2340" w:type="dxa"/>
                  <w:tcBorders>
                    <w:tl2br w:val="nil"/>
                    <w:tr2bl w:val="nil"/>
                  </w:tcBorders>
                  <w:vAlign w:val="center"/>
                </w:tcPr>
                <w:p w14:paraId="4F9B2E33">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报告表</w:t>
                  </w:r>
                </w:p>
              </w:tc>
              <w:tc>
                <w:tcPr>
                  <w:tcW w:w="1165" w:type="dxa"/>
                  <w:tcBorders>
                    <w:tl2br w:val="nil"/>
                    <w:tr2bl w:val="nil"/>
                  </w:tcBorders>
                  <w:vAlign w:val="center"/>
                </w:tcPr>
                <w:p w14:paraId="2F8A0CE9">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登记表</w:t>
                  </w:r>
                </w:p>
              </w:tc>
            </w:tr>
            <w:tr w14:paraId="0848DE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6989" w:type="dxa"/>
                  <w:gridSpan w:val="5"/>
                  <w:tcBorders>
                    <w:tl2br w:val="nil"/>
                    <w:tr2bl w:val="nil"/>
                  </w:tcBorders>
                </w:tcPr>
                <w:p w14:paraId="65746FF8">
                  <w:pPr>
                    <w:adjustRightInd w:val="0"/>
                    <w:snapToGrid w:val="0"/>
                    <w:jc w:val="left"/>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四、煤炭开采和洗选</w:t>
                  </w:r>
                </w:p>
              </w:tc>
            </w:tr>
            <w:tr w14:paraId="7EE703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9" w:type="dxa"/>
                  <w:tcBorders>
                    <w:tl2br w:val="nil"/>
                    <w:tr2bl w:val="nil"/>
                  </w:tcBorders>
                  <w:vAlign w:val="center"/>
                </w:tcPr>
                <w:p w14:paraId="64293EF5">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6</w:t>
                  </w:r>
                </w:p>
              </w:tc>
              <w:tc>
                <w:tcPr>
                  <w:tcW w:w="2265" w:type="dxa"/>
                  <w:tcBorders>
                    <w:tl2br w:val="nil"/>
                    <w:tr2bl w:val="nil"/>
                  </w:tcBorders>
                  <w:vAlign w:val="center"/>
                </w:tcPr>
                <w:p w14:paraId="377418FA">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烟煤和无烟煤开采洗选061；褐煤开采洗选062；其他煤炭采选069</w:t>
                  </w:r>
                </w:p>
              </w:tc>
              <w:tc>
                <w:tcPr>
                  <w:tcW w:w="900" w:type="dxa"/>
                  <w:tcBorders>
                    <w:tl2br w:val="nil"/>
                    <w:tr2bl w:val="nil"/>
                  </w:tcBorders>
                  <w:vAlign w:val="center"/>
                </w:tcPr>
                <w:p w14:paraId="0C333964">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煤炭开采</w:t>
                  </w:r>
                </w:p>
              </w:tc>
              <w:tc>
                <w:tcPr>
                  <w:tcW w:w="2340" w:type="dxa"/>
                  <w:tcBorders>
                    <w:tl2br w:val="nil"/>
                    <w:tr2bl w:val="nil"/>
                  </w:tcBorders>
                  <w:vAlign w:val="center"/>
                </w:tcPr>
                <w:p w14:paraId="64A9D530">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bidi="ar-SA"/>
                    </w:rPr>
                    <w:t>煤炭洗选、配煤；煤炭储存、集运；风井场地、瓦斯抽放站；矿区修复治理工程</w:t>
                  </w:r>
                </w:p>
              </w:tc>
              <w:tc>
                <w:tcPr>
                  <w:tcW w:w="1165" w:type="dxa"/>
                  <w:tcBorders>
                    <w:tl2br w:val="nil"/>
                    <w:tr2bl w:val="nil"/>
                  </w:tcBorders>
                  <w:vAlign w:val="center"/>
                </w:tcPr>
                <w:p w14:paraId="1F62CE4B">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w:t>
                  </w:r>
                </w:p>
              </w:tc>
            </w:tr>
          </w:tbl>
          <w:p w14:paraId="117C6619">
            <w:pPr>
              <w:pStyle w:val="3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本项目为储煤场建设项目，属于</w:t>
            </w:r>
            <w:r>
              <w:rPr>
                <w:rFonts w:hint="default" w:ascii="Times New Roman" w:hAnsi="Times New Roman" w:eastAsia="宋体" w:cs="Times New Roman"/>
                <w:color w:val="auto"/>
                <w:highlight w:val="none"/>
                <w:lang w:val="en-US" w:eastAsia="zh-CN"/>
              </w:rPr>
              <w:t>利用固定场所进行煤炭储存和销售，根据上表可知，项目应编制环境影响评价技术文件类型为环境影响评价报告表。</w:t>
            </w:r>
          </w:p>
          <w:p w14:paraId="7CA5D012">
            <w:pPr>
              <w:pStyle w:val="30"/>
              <w:spacing w:line="360" w:lineRule="auto"/>
              <w:ind w:firstLine="0"/>
              <w:rPr>
                <w:rFonts w:hint="default" w:ascii="Times New Roman" w:hAnsi="Times New Roman" w:cs="Times New Roman"/>
                <w:b/>
                <w:color w:val="auto"/>
                <w:highlight w:val="none"/>
              </w:rPr>
            </w:pPr>
            <w:r>
              <w:rPr>
                <w:rFonts w:hint="default" w:ascii="Times New Roman" w:hAnsi="Times New Roman" w:cs="Times New Roman"/>
                <w:b/>
                <w:color w:val="auto"/>
                <w:highlight w:val="none"/>
                <w:lang w:val="en-US" w:eastAsia="zh-CN"/>
              </w:rPr>
              <w:t>3、</w:t>
            </w:r>
            <w:r>
              <w:rPr>
                <w:rFonts w:hint="default" w:ascii="Times New Roman" w:hAnsi="Times New Roman" w:cs="Times New Roman"/>
                <w:b/>
                <w:color w:val="auto"/>
                <w:highlight w:val="none"/>
              </w:rPr>
              <w:t>选址合理性分析</w:t>
            </w:r>
          </w:p>
          <w:p w14:paraId="07838FD7">
            <w:pPr>
              <w:autoSpaceDE w:val="0"/>
              <w:autoSpaceDN w:val="0"/>
              <w:adjustRightInd w:val="0"/>
              <w:snapToGrid w:val="0"/>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lang w:val="en-US" w:eastAsia="zh-CN"/>
              </w:rPr>
              <w:t>本项目国民经济属于B0610烟煤和无烟煤开采洗选，位于</w:t>
            </w:r>
            <w:r>
              <w:rPr>
                <w:rFonts w:hint="eastAsia" w:cs="Times New Roman"/>
                <w:color w:val="auto"/>
                <w:kern w:val="0"/>
                <w:sz w:val="24"/>
                <w:lang w:val="en-US" w:eastAsia="zh-CN"/>
              </w:rPr>
              <w:t>鸡西市城子河区正阳煤矿</w:t>
            </w:r>
            <w:r>
              <w:rPr>
                <w:rFonts w:hint="default" w:ascii="Times New Roman" w:hAnsi="Times New Roman" w:cs="Times New Roman"/>
                <w:color w:val="auto"/>
                <w:kern w:val="0"/>
                <w:sz w:val="24"/>
                <w:lang w:val="en-US" w:eastAsia="zh-CN"/>
              </w:rPr>
              <w:t>，南侧为</w:t>
            </w:r>
            <w:r>
              <w:rPr>
                <w:rFonts w:hint="eastAsia" w:cs="Times New Roman"/>
                <w:color w:val="auto"/>
                <w:kern w:val="0"/>
                <w:sz w:val="24"/>
                <w:lang w:val="en-US" w:eastAsia="zh-CN"/>
              </w:rPr>
              <w:t>农田</w:t>
            </w:r>
            <w:r>
              <w:rPr>
                <w:rFonts w:hint="default" w:ascii="Times New Roman" w:hAnsi="Times New Roman" w:cs="Times New Roman"/>
                <w:color w:val="auto"/>
                <w:kern w:val="0"/>
                <w:sz w:val="24"/>
                <w:lang w:val="en-US" w:eastAsia="zh-CN"/>
              </w:rPr>
              <w:t>，北侧</w:t>
            </w:r>
            <w:r>
              <w:rPr>
                <w:rFonts w:hint="eastAsia" w:cs="Times New Roman"/>
                <w:color w:val="auto"/>
                <w:kern w:val="0"/>
                <w:sz w:val="24"/>
                <w:lang w:val="en-US" w:eastAsia="zh-CN"/>
              </w:rPr>
              <w:t>为Z902道路，隔路</w:t>
            </w:r>
            <w:r>
              <w:rPr>
                <w:rFonts w:hint="default" w:ascii="Times New Roman" w:hAnsi="Times New Roman" w:cs="Times New Roman"/>
                <w:color w:val="auto"/>
                <w:kern w:val="0"/>
                <w:sz w:val="24"/>
                <w:lang w:val="en-US" w:eastAsia="zh-CN"/>
              </w:rPr>
              <w:t>为储煤企业，西侧为</w:t>
            </w:r>
            <w:r>
              <w:rPr>
                <w:rFonts w:hint="eastAsia" w:cs="Times New Roman"/>
                <w:color w:val="auto"/>
                <w:kern w:val="0"/>
                <w:sz w:val="24"/>
                <w:lang w:val="en-US" w:eastAsia="zh-CN"/>
              </w:rPr>
              <w:t>空地</w:t>
            </w:r>
            <w:r>
              <w:rPr>
                <w:rFonts w:hint="default" w:ascii="Times New Roman" w:hAnsi="Times New Roman" w:cs="Times New Roman"/>
                <w:color w:val="auto"/>
                <w:kern w:val="0"/>
                <w:sz w:val="24"/>
                <w:lang w:val="en-US" w:eastAsia="zh-CN"/>
              </w:rPr>
              <w:t>，东侧为</w:t>
            </w:r>
            <w:r>
              <w:rPr>
                <w:rFonts w:hint="eastAsia" w:cs="Times New Roman"/>
                <w:color w:val="auto"/>
                <w:kern w:val="0"/>
                <w:sz w:val="24"/>
                <w:lang w:val="en-US" w:eastAsia="zh-CN"/>
              </w:rPr>
              <w:t>废弃房屋</w:t>
            </w:r>
            <w:r>
              <w:rPr>
                <w:rFonts w:hint="default" w:ascii="Times New Roman" w:hAnsi="Times New Roman" w:cs="Times New Roman"/>
                <w:color w:val="auto"/>
                <w:kern w:val="0"/>
                <w:sz w:val="24"/>
                <w:lang w:val="en-US" w:eastAsia="zh-CN"/>
              </w:rPr>
              <w:t>，本项目用地性质为</w:t>
            </w:r>
            <w:r>
              <w:rPr>
                <w:rFonts w:hint="eastAsia" w:cs="Times New Roman"/>
                <w:color w:val="auto"/>
                <w:kern w:val="0"/>
                <w:sz w:val="24"/>
                <w:lang w:val="en-US" w:eastAsia="zh-CN"/>
              </w:rPr>
              <w:t>采矿用地</w:t>
            </w:r>
            <w:r>
              <w:rPr>
                <w:rFonts w:hint="default" w:ascii="Times New Roman" w:hAnsi="Times New Roman" w:cs="Times New Roman"/>
                <w:color w:val="auto"/>
                <w:kern w:val="0"/>
                <w:sz w:val="24"/>
                <w:lang w:val="en-US" w:eastAsia="zh-CN"/>
              </w:rPr>
              <w:t>，符合土地利用规划要求</w:t>
            </w:r>
            <w:r>
              <w:rPr>
                <w:rFonts w:hint="default" w:ascii="Times New Roman" w:hAnsi="Times New Roman" w:cs="Times New Roman"/>
                <w:color w:val="auto"/>
                <w:kern w:val="0"/>
                <w:sz w:val="24"/>
              </w:rPr>
              <w:t>。</w:t>
            </w:r>
            <w:r>
              <w:rPr>
                <w:rFonts w:hint="default" w:ascii="Times New Roman" w:hAnsi="Times New Roman" w:cs="Times New Roman"/>
                <w:color w:val="auto"/>
                <w:kern w:val="0"/>
                <w:sz w:val="24"/>
                <w:lang w:val="en-US" w:eastAsia="zh-CN"/>
              </w:rPr>
              <w:t>厂界外50米无声环境保护目标，</w:t>
            </w:r>
            <w:r>
              <w:rPr>
                <w:rFonts w:hint="default" w:ascii="Times New Roman" w:hAnsi="Times New Roman" w:cs="Times New Roman"/>
                <w:color w:val="auto"/>
                <w:kern w:val="0"/>
                <w:sz w:val="24"/>
              </w:rPr>
              <w:t>项目区及周围无自然保护区，无风景名胜区，也未发现珍稀保护动植物，属一般区域。本项目所在地地势平坦，厂区地理位置交通便利，基础设施</w:t>
            </w:r>
            <w:r>
              <w:rPr>
                <w:rFonts w:hint="default" w:ascii="Times New Roman" w:hAnsi="Times New Roman" w:cs="Times New Roman"/>
                <w:color w:val="auto"/>
                <w:kern w:val="0"/>
                <w:sz w:val="24"/>
                <w:lang w:val="en-US" w:eastAsia="zh-CN"/>
              </w:rPr>
              <w:t>齐全，</w:t>
            </w:r>
            <w:r>
              <w:rPr>
                <w:rFonts w:hint="default" w:ascii="Times New Roman" w:hAnsi="Times New Roman" w:cs="Times New Roman"/>
                <w:color w:val="auto"/>
                <w:kern w:val="0"/>
                <w:sz w:val="24"/>
              </w:rPr>
              <w:t>运输</w:t>
            </w:r>
            <w:r>
              <w:rPr>
                <w:rFonts w:hint="eastAsia" w:cs="Times New Roman"/>
                <w:color w:val="auto"/>
                <w:kern w:val="0"/>
                <w:sz w:val="24"/>
                <w:lang w:val="en-US" w:eastAsia="zh-CN"/>
              </w:rPr>
              <w:t>方便</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rPr>
              <w:t>项目不在风景名胜区、自然保护区、水源保护区及其他需要特别保护的区域内，没有明显的环境制约因素。</w:t>
            </w:r>
          </w:p>
          <w:p w14:paraId="5A296DD5">
            <w:pPr>
              <w:autoSpaceDE w:val="0"/>
              <w:autoSpaceDN w:val="0"/>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0"/>
                <w:sz w:val="24"/>
                <w:lang w:val="en-US" w:eastAsia="zh-CN"/>
              </w:rPr>
              <w:t>本项目不属于高污染高耗能项目，项目仅用于贮存和销售周边其他煤矿生产的煤炭；</w:t>
            </w:r>
            <w:r>
              <w:rPr>
                <w:rFonts w:hint="default" w:ascii="Times New Roman" w:hAnsi="Times New Roman" w:eastAsia="宋体" w:cs="Times New Roman"/>
                <w:color w:val="auto"/>
                <w:kern w:val="0"/>
                <w:sz w:val="24"/>
                <w:szCs w:val="24"/>
                <w:lang w:val="en-US" w:eastAsia="zh-CN"/>
              </w:rPr>
              <w:t>项目生产中有无组织粉尘产生，</w:t>
            </w:r>
            <w:r>
              <w:rPr>
                <w:rFonts w:hint="default" w:ascii="Times New Roman" w:hAnsi="Times New Roman" w:cs="Times New Roman"/>
                <w:color w:val="auto"/>
                <w:kern w:val="0"/>
                <w:sz w:val="24"/>
                <w:szCs w:val="24"/>
                <w:lang w:val="en-US" w:eastAsia="zh-CN"/>
              </w:rPr>
              <w:t>煤炭堆场</w:t>
            </w:r>
            <w:r>
              <w:rPr>
                <w:rFonts w:hint="default" w:ascii="Times New Roman" w:hAnsi="Times New Roman" w:eastAsia="宋体" w:cs="Times New Roman"/>
                <w:color w:val="auto"/>
                <w:kern w:val="0"/>
                <w:sz w:val="24"/>
                <w:szCs w:val="24"/>
                <w:lang w:val="en-US" w:eastAsia="zh-CN"/>
              </w:rPr>
              <w:t>采用防风抑尘网、洒水</w:t>
            </w:r>
            <w:r>
              <w:rPr>
                <w:rFonts w:hint="default" w:ascii="Times New Roman" w:hAnsi="Times New Roman" w:cs="Times New Roman"/>
                <w:color w:val="auto"/>
                <w:kern w:val="0"/>
                <w:sz w:val="24"/>
                <w:szCs w:val="24"/>
                <w:lang w:val="en-US" w:eastAsia="zh-CN"/>
              </w:rPr>
              <w:t>降尘</w:t>
            </w:r>
            <w:r>
              <w:rPr>
                <w:rFonts w:hint="default" w:ascii="Times New Roman" w:hAnsi="Times New Roman" w:eastAsia="宋体" w:cs="Times New Roman"/>
                <w:color w:val="auto"/>
                <w:kern w:val="0"/>
                <w:sz w:val="24"/>
                <w:szCs w:val="24"/>
                <w:lang w:val="en-US" w:eastAsia="zh-CN"/>
              </w:rPr>
              <w:t>、苫盖等措施</w:t>
            </w:r>
            <w:r>
              <w:rPr>
                <w:rFonts w:hint="default" w:ascii="Times New Roman" w:hAnsi="Times New Roman" w:cs="Times New Roman"/>
                <w:color w:val="auto"/>
                <w:kern w:val="0"/>
                <w:sz w:val="24"/>
                <w:szCs w:val="24"/>
                <w:lang w:val="en-US" w:eastAsia="zh-CN"/>
              </w:rPr>
              <w:t>，运输过程中要加强厂区内道路养护，保障路面平整，控制汽车行驶速度，运输车辆采用苫布苫盖，同时采取洒水抑尘的措施后，煤炭堆场及运输产生的</w:t>
            </w:r>
            <w:r>
              <w:rPr>
                <w:rFonts w:hint="default" w:ascii="Times New Roman" w:hAnsi="Times New Roman" w:eastAsia="宋体" w:cs="Times New Roman"/>
                <w:color w:val="auto"/>
                <w:kern w:val="0"/>
                <w:sz w:val="24"/>
                <w:szCs w:val="24"/>
                <w:lang w:val="en-US" w:eastAsia="zh-CN"/>
              </w:rPr>
              <w:t>粉尘能够满足</w:t>
            </w:r>
            <w:r>
              <w:rPr>
                <w:rFonts w:hint="default" w:ascii="Times New Roman" w:hAnsi="Times New Roman" w:cs="Times New Roman"/>
                <w:color w:val="auto"/>
                <w:kern w:val="0"/>
                <w:sz w:val="24"/>
                <w:highlight w:val="none"/>
                <w:lang w:eastAsia="zh-CN"/>
              </w:rPr>
              <w:t>《煤炭工业污染物排放标准》（GB20426-2006）中表5无组织限制排放标准</w:t>
            </w:r>
            <w:r>
              <w:rPr>
                <w:rFonts w:hint="default" w:ascii="Times New Roman" w:hAnsi="Times New Roman" w:eastAsia="宋体" w:cs="Times New Roman"/>
                <w:color w:val="auto"/>
                <w:kern w:val="0"/>
                <w:sz w:val="24"/>
                <w:szCs w:val="24"/>
                <w:lang w:val="en-US" w:eastAsia="zh-CN"/>
              </w:rPr>
              <w:t>；项目无生产废水产生，生活废水排入防渗旱厕，定期外运堆肥；</w:t>
            </w:r>
            <w:r>
              <w:rPr>
                <w:rFonts w:hint="default" w:ascii="Times New Roman" w:hAnsi="Times New Roman" w:cs="Times New Roman"/>
                <w:color w:val="auto"/>
                <w:sz w:val="24"/>
                <w:highlight w:val="none"/>
              </w:rPr>
              <w:t>生产设备选用低噪声设备，采取隔声、降噪等措施，厂界噪声满足《工业企业厂界环境噪声排放标准》（GB12348-2008）表1中2类标准要求；生活垃圾由市政部门统一处理；</w:t>
            </w:r>
            <w:r>
              <w:rPr>
                <w:rFonts w:hint="default" w:ascii="Times New Roman" w:hAnsi="Times New Roman" w:cs="Times New Roman"/>
                <w:color w:val="auto"/>
                <w:sz w:val="24"/>
                <w:highlight w:val="none"/>
                <w:lang w:eastAsia="zh-CN"/>
              </w:rPr>
              <w:t>初期</w:t>
            </w:r>
            <w:r>
              <w:rPr>
                <w:rFonts w:hint="default" w:ascii="Times New Roman" w:hAnsi="Times New Roman" w:cs="Times New Roman"/>
                <w:color w:val="auto"/>
                <w:sz w:val="24"/>
                <w:highlight w:val="none"/>
                <w:lang w:val="en-US" w:eastAsia="zh-CN"/>
              </w:rPr>
              <w:t>雨水收集池沉渣</w:t>
            </w:r>
            <w:r>
              <w:rPr>
                <w:rFonts w:hint="default" w:ascii="Times New Roman" w:hAnsi="Times New Roman" w:cs="Times New Roman"/>
                <w:color w:val="auto"/>
                <w:sz w:val="24"/>
                <w:highlight w:val="none"/>
              </w:rPr>
              <w:t>进行资源化利用，定期清运</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szCs w:val="24"/>
                <w:highlight w:val="none"/>
              </w:rPr>
              <w:t>一</w:t>
            </w:r>
            <w:r>
              <w:rPr>
                <w:rFonts w:hint="default" w:ascii="Times New Roman" w:hAnsi="Times New Roman" w:cs="Times New Roman"/>
                <w:color w:val="auto"/>
                <w:sz w:val="24"/>
                <w:highlight w:val="none"/>
                <w:lang w:eastAsia="zh-CN"/>
              </w:rPr>
              <w:t>般固废执行《一般工业固体废物贮存和填埋污染控制标准》（GB18599-2020）、《固体废物分类与代码目录》（公告2024年第4号）标准要求</w:t>
            </w:r>
            <w:r>
              <w:rPr>
                <w:rFonts w:hint="default" w:ascii="Times New Roman" w:hAnsi="Times New Roman" w:cs="Times New Roman"/>
                <w:color w:val="auto"/>
                <w:sz w:val="24"/>
                <w:highlight w:val="none"/>
              </w:rPr>
              <w:t>。</w:t>
            </w:r>
          </w:p>
          <w:p w14:paraId="3D081AF5">
            <w:pPr>
              <w:autoSpaceDE w:val="0"/>
              <w:autoSpaceDN w:val="0"/>
              <w:adjustRightInd w:val="0"/>
              <w:snapToGrid w:val="0"/>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lang w:val="en-US" w:eastAsia="zh-CN"/>
              </w:rPr>
              <w:t>综上所述，</w:t>
            </w:r>
            <w:r>
              <w:rPr>
                <w:rFonts w:hint="default" w:ascii="Times New Roman" w:hAnsi="Times New Roman" w:cs="Times New Roman"/>
                <w:color w:val="auto"/>
                <w:sz w:val="24"/>
                <w:highlight w:val="none"/>
              </w:rPr>
              <w:t>本项目各项污染物经过有效的污染治理措施后对环境影响较小</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从环保的角度分析本项目的选址是合理的</w:t>
            </w:r>
            <w:r>
              <w:rPr>
                <w:rFonts w:hint="default" w:ascii="Times New Roman" w:hAnsi="Times New Roman" w:cs="Times New Roman"/>
                <w:color w:val="auto"/>
                <w:kern w:val="0"/>
                <w:sz w:val="24"/>
                <w:highlight w:val="none"/>
              </w:rPr>
              <w:t>。</w:t>
            </w:r>
          </w:p>
          <w:p w14:paraId="092198DB">
            <w:pPr>
              <w:spacing w:line="360" w:lineRule="auto"/>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rPr>
              <w:t>、</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生态环境分区管控分析报告</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符合性</w:t>
            </w:r>
          </w:p>
          <w:p w14:paraId="2A908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kern w:val="0"/>
                <w:sz w:val="24"/>
                <w:szCs w:val="24"/>
                <w:highlight w:val="none"/>
                <w:lang w:eastAsia="zh-CN" w:bidi="ar"/>
              </w:rPr>
            </w:pPr>
            <w:r>
              <w:rPr>
                <w:rFonts w:hint="default" w:ascii="Times New Roman" w:hAnsi="Times New Roman" w:cs="Times New Roman"/>
                <w:color w:val="auto"/>
                <w:kern w:val="0"/>
                <w:sz w:val="24"/>
                <w:szCs w:val="24"/>
                <w:highlight w:val="none"/>
                <w:lang w:bidi="ar"/>
              </w:rPr>
              <w:t>本项目位于</w:t>
            </w:r>
            <w:r>
              <w:rPr>
                <w:rFonts w:hint="default" w:ascii="Times New Roman" w:hAnsi="Times New Roman" w:cs="Times New Roman"/>
                <w:color w:val="auto"/>
                <w:sz w:val="24"/>
                <w:szCs w:val="24"/>
                <w:highlight w:val="none"/>
                <w:lang w:val="en-US" w:eastAsia="zh-CN"/>
              </w:rPr>
              <w:t>黑龙江省</w:t>
            </w:r>
            <w:r>
              <w:rPr>
                <w:rFonts w:hint="eastAsia" w:cs="Times New Roman"/>
                <w:color w:val="auto"/>
                <w:sz w:val="24"/>
                <w:szCs w:val="24"/>
                <w:highlight w:val="none"/>
                <w:lang w:val="en-US" w:eastAsia="zh-CN"/>
              </w:rPr>
              <w:t>鸡西市城子河区正阳煤矿</w:t>
            </w:r>
            <w:r>
              <w:rPr>
                <w:rFonts w:hint="default" w:ascii="Times New Roman" w:hAnsi="Times New Roman" w:cs="Times New Roman"/>
                <w:color w:val="auto"/>
                <w:sz w:val="24"/>
                <w:szCs w:val="24"/>
                <w:highlight w:val="none"/>
              </w:rPr>
              <w:t>，根据</w:t>
            </w:r>
            <w:r>
              <w:rPr>
                <w:rFonts w:hint="default" w:ascii="Times New Roman" w:hAnsi="Times New Roman" w:cs="Times New Roman"/>
                <w:color w:val="auto"/>
                <w:kern w:val="0"/>
                <w:sz w:val="24"/>
                <w:szCs w:val="24"/>
                <w:highlight w:val="none"/>
                <w:lang w:bidi="ar"/>
              </w:rPr>
              <w:t>《黑龙江省人民政府关于实施</w:t>
            </w:r>
            <w:r>
              <w:rPr>
                <w:rFonts w:hint="default" w:ascii="Times New Roman" w:hAnsi="Times New Roman" w:eastAsia="宋体" w:cs="Times New Roman"/>
                <w:color w:val="auto"/>
                <w:kern w:val="0"/>
                <w:sz w:val="24"/>
                <w:szCs w:val="24"/>
                <w:highlight w:val="none"/>
                <w:lang w:bidi="ar"/>
              </w:rPr>
              <w:t>“三线一单”生</w:t>
            </w:r>
            <w:r>
              <w:rPr>
                <w:rFonts w:hint="default" w:ascii="Times New Roman" w:hAnsi="Times New Roman" w:cs="Times New Roman"/>
                <w:color w:val="auto"/>
                <w:kern w:val="0"/>
                <w:sz w:val="24"/>
                <w:szCs w:val="24"/>
                <w:highlight w:val="none"/>
                <w:lang w:bidi="ar"/>
              </w:rPr>
              <w:t>态环境分区管控的意见》（黑政发〔2020〕14号）、《</w:t>
            </w:r>
            <w:r>
              <w:rPr>
                <w:rFonts w:hint="default" w:ascii="Times New Roman" w:hAnsi="Times New Roman" w:cs="Times New Roman"/>
                <w:color w:val="auto"/>
                <w:kern w:val="0"/>
                <w:sz w:val="24"/>
                <w:szCs w:val="24"/>
                <w:highlight w:val="none"/>
                <w:lang w:eastAsia="zh-CN" w:bidi="ar"/>
              </w:rPr>
              <w:t>鸡西</w:t>
            </w:r>
            <w:r>
              <w:rPr>
                <w:rFonts w:hint="default" w:ascii="Times New Roman" w:hAnsi="Times New Roman" w:cs="Times New Roman"/>
                <w:color w:val="auto"/>
                <w:kern w:val="0"/>
                <w:sz w:val="24"/>
                <w:szCs w:val="24"/>
                <w:highlight w:val="none"/>
                <w:lang w:bidi="ar"/>
              </w:rPr>
              <w:t>市人民政府关于实施</w:t>
            </w:r>
            <w:r>
              <w:rPr>
                <w:rFonts w:hint="eastAsia" w:cs="Times New Roman"/>
                <w:color w:val="auto"/>
                <w:kern w:val="0"/>
                <w:sz w:val="24"/>
                <w:szCs w:val="24"/>
                <w:highlight w:val="none"/>
                <w:lang w:eastAsia="zh-CN" w:bidi="ar"/>
              </w:rPr>
              <w:t>“</w:t>
            </w:r>
            <w:r>
              <w:rPr>
                <w:rFonts w:hint="default" w:ascii="Times New Roman" w:hAnsi="Times New Roman" w:eastAsia="宋体" w:cs="Times New Roman"/>
                <w:color w:val="auto"/>
                <w:kern w:val="0"/>
                <w:sz w:val="24"/>
                <w:szCs w:val="24"/>
                <w:highlight w:val="none"/>
                <w:lang w:bidi="ar"/>
              </w:rPr>
              <w:t>三线一单</w:t>
            </w:r>
            <w:r>
              <w:rPr>
                <w:rFonts w:hint="eastAsia" w:cs="Times New Roman"/>
                <w:color w:val="auto"/>
                <w:kern w:val="0"/>
                <w:sz w:val="24"/>
                <w:szCs w:val="24"/>
                <w:highlight w:val="none"/>
                <w:lang w:eastAsia="zh-CN" w:bidi="ar"/>
              </w:rPr>
              <w:t>”</w:t>
            </w:r>
            <w:r>
              <w:rPr>
                <w:rFonts w:hint="default" w:ascii="Times New Roman" w:hAnsi="Times New Roman" w:cs="Times New Roman"/>
                <w:color w:val="auto"/>
                <w:kern w:val="0"/>
                <w:sz w:val="24"/>
                <w:szCs w:val="24"/>
                <w:highlight w:val="none"/>
                <w:lang w:bidi="ar"/>
              </w:rPr>
              <w:t>生态环境分区管控的意见》（</w:t>
            </w:r>
            <w:r>
              <w:rPr>
                <w:rFonts w:hint="default" w:ascii="Times New Roman" w:hAnsi="Times New Roman" w:cs="Times New Roman"/>
                <w:color w:val="auto"/>
                <w:kern w:val="0"/>
                <w:sz w:val="24"/>
                <w:szCs w:val="24"/>
                <w:highlight w:val="none"/>
                <w:lang w:eastAsia="zh-CN" w:bidi="ar"/>
              </w:rPr>
              <w:t>鸡</w:t>
            </w:r>
            <w:r>
              <w:rPr>
                <w:rFonts w:hint="default" w:ascii="Times New Roman" w:hAnsi="Times New Roman" w:cs="Times New Roman"/>
                <w:color w:val="auto"/>
                <w:kern w:val="0"/>
                <w:sz w:val="24"/>
                <w:szCs w:val="24"/>
                <w:highlight w:val="none"/>
                <w:lang w:bidi="ar"/>
              </w:rPr>
              <w:t>政发〔2021〕</w:t>
            </w:r>
            <w:r>
              <w:rPr>
                <w:rFonts w:hint="default" w:ascii="Times New Roman" w:hAnsi="Times New Roman" w:cs="Times New Roman"/>
                <w:color w:val="auto"/>
                <w:kern w:val="0"/>
                <w:sz w:val="24"/>
                <w:szCs w:val="24"/>
                <w:highlight w:val="none"/>
                <w:lang w:val="en-US" w:eastAsia="zh-CN" w:bidi="ar"/>
              </w:rPr>
              <w:t>7</w:t>
            </w:r>
            <w:r>
              <w:rPr>
                <w:rFonts w:hint="default" w:ascii="Times New Roman" w:hAnsi="Times New Roman" w:cs="Times New Roman"/>
                <w:color w:val="auto"/>
                <w:kern w:val="0"/>
                <w:sz w:val="24"/>
                <w:szCs w:val="24"/>
                <w:highlight w:val="none"/>
                <w:lang w:bidi="ar"/>
              </w:rPr>
              <w:t>号）</w:t>
            </w: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cs="Times New Roman"/>
                <w:color w:val="auto"/>
                <w:sz w:val="24"/>
              </w:rPr>
              <w:t>《鸡西市生态环境准入清单》（2023年版）</w:t>
            </w:r>
            <w:r>
              <w:rPr>
                <w:rFonts w:hint="default" w:ascii="Times New Roman" w:hAnsi="Times New Roman" w:cs="Times New Roman"/>
                <w:color w:val="auto"/>
                <w:kern w:val="0"/>
                <w:sz w:val="24"/>
                <w:szCs w:val="24"/>
                <w:highlight w:val="none"/>
                <w:lang w:eastAsia="zh-CN" w:bidi="ar"/>
              </w:rPr>
              <w:t>和《</w:t>
            </w:r>
            <w:r>
              <w:rPr>
                <w:rFonts w:hint="eastAsia" w:cs="Times New Roman"/>
                <w:color w:val="auto"/>
                <w:kern w:val="0"/>
                <w:sz w:val="24"/>
                <w:szCs w:val="24"/>
                <w:highlight w:val="none"/>
                <w:lang w:eastAsia="zh-CN" w:bidi="ar"/>
              </w:rPr>
              <w:t>鸡西市富金煤炭销售有限公司</w:t>
            </w:r>
            <w:r>
              <w:rPr>
                <w:rFonts w:hint="default" w:ascii="Times New Roman" w:hAnsi="Times New Roman" w:cs="Times New Roman"/>
                <w:color w:val="auto"/>
                <w:kern w:val="0"/>
                <w:sz w:val="24"/>
                <w:szCs w:val="24"/>
                <w:highlight w:val="none"/>
                <w:lang w:eastAsia="zh-CN" w:bidi="ar"/>
              </w:rPr>
              <w:t>建设项目生态环境分区管控分析报告》（见附件）</w:t>
            </w:r>
            <w:r>
              <w:rPr>
                <w:rFonts w:hint="default" w:ascii="Times New Roman" w:hAnsi="Times New Roman" w:cs="Times New Roman"/>
                <w:color w:val="auto"/>
                <w:kern w:val="0"/>
                <w:sz w:val="24"/>
                <w:szCs w:val="24"/>
                <w:highlight w:val="none"/>
                <w:lang w:bidi="ar"/>
              </w:rPr>
              <w:t>，</w:t>
            </w:r>
            <w:r>
              <w:rPr>
                <w:rFonts w:hint="default" w:ascii="Times New Roman" w:hAnsi="Times New Roman" w:cs="Times New Roman"/>
                <w:color w:val="auto"/>
                <w:kern w:val="0"/>
                <w:sz w:val="24"/>
                <w:szCs w:val="24"/>
                <w:highlight w:val="none"/>
                <w:lang w:eastAsia="zh-CN" w:bidi="ar"/>
              </w:rPr>
              <w:t>本项目与“生态环境分区管控”符合性如下：</w:t>
            </w:r>
          </w:p>
          <w:p w14:paraId="45BA23DF">
            <w:pPr>
              <w:pStyle w:val="16"/>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z w:val="24"/>
                <w:szCs w:val="24"/>
                <w:lang w:eastAsia="zh-CN"/>
              </w:rPr>
            </w:pPr>
            <w:r>
              <w:rPr>
                <w:rFonts w:hint="default" w:ascii="Times New Roman" w:hAnsi="Times New Roman" w:eastAsia="宋体" w:cs="Times New Roman"/>
                <w:color w:val="auto"/>
                <w:kern w:val="2"/>
                <w:sz w:val="24"/>
                <w:szCs w:val="24"/>
                <w:lang w:val="en-US" w:eastAsia="zh-CN" w:bidi="ar-SA"/>
              </w:rPr>
              <w:t>（1）</w:t>
            </w:r>
            <w:r>
              <w:rPr>
                <w:rFonts w:hint="eastAsia" w:cs="Times New Roman"/>
                <w:color w:val="auto"/>
                <w:sz w:val="24"/>
                <w:szCs w:val="24"/>
                <w:lang w:eastAsia="zh-CN"/>
              </w:rPr>
              <w:t>“</w:t>
            </w:r>
            <w:r>
              <w:rPr>
                <w:rFonts w:hint="default" w:ascii="Times New Roman" w:hAnsi="Times New Roman" w:cs="Times New Roman"/>
                <w:color w:val="auto"/>
                <w:sz w:val="24"/>
                <w:szCs w:val="24"/>
                <w:lang w:eastAsia="zh-CN"/>
              </w:rPr>
              <w:t>一图</w:t>
            </w:r>
            <w:r>
              <w:rPr>
                <w:rFonts w:hint="eastAsia" w:cs="Times New Roman"/>
                <w:color w:val="auto"/>
                <w:sz w:val="24"/>
                <w:szCs w:val="24"/>
                <w:lang w:eastAsia="zh-CN"/>
              </w:rPr>
              <w:t>”</w:t>
            </w:r>
          </w:p>
          <w:p w14:paraId="0E17FB87">
            <w:pPr>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sz w:val="24"/>
                <w:szCs w:val="24"/>
                <w:lang w:eastAsia="zh-CN"/>
              </w:rPr>
              <w:t>根据</w:t>
            </w:r>
            <w:r>
              <w:rPr>
                <w:rFonts w:hint="default" w:ascii="Times New Roman" w:hAnsi="Times New Roman" w:cs="Times New Roman"/>
                <w:color w:val="auto"/>
                <w:kern w:val="0"/>
                <w:sz w:val="24"/>
                <w:szCs w:val="24"/>
                <w:highlight w:val="none"/>
                <w:lang w:eastAsia="zh-CN" w:bidi="ar"/>
              </w:rPr>
              <w:t>《</w:t>
            </w:r>
            <w:r>
              <w:rPr>
                <w:rFonts w:hint="eastAsia" w:cs="Times New Roman"/>
                <w:color w:val="auto"/>
                <w:kern w:val="0"/>
                <w:sz w:val="24"/>
                <w:szCs w:val="24"/>
                <w:highlight w:val="none"/>
                <w:lang w:eastAsia="zh-CN" w:bidi="ar"/>
              </w:rPr>
              <w:t>鸡西市富金煤炭销售有限公司</w:t>
            </w:r>
            <w:r>
              <w:rPr>
                <w:rFonts w:hint="default" w:ascii="Times New Roman" w:hAnsi="Times New Roman" w:cs="Times New Roman"/>
                <w:color w:val="auto"/>
                <w:kern w:val="0"/>
                <w:sz w:val="24"/>
                <w:szCs w:val="24"/>
                <w:highlight w:val="none"/>
                <w:lang w:eastAsia="zh-CN" w:bidi="ar"/>
              </w:rPr>
              <w:t>建设项目生态环境分区管控分析报告》，项目与环境管控单元叠加图见图</w:t>
            </w:r>
            <w:r>
              <w:rPr>
                <w:rFonts w:hint="default" w:ascii="Times New Roman" w:hAnsi="Times New Roman" w:cs="Times New Roman"/>
                <w:color w:val="auto"/>
                <w:kern w:val="0"/>
                <w:sz w:val="24"/>
                <w:szCs w:val="24"/>
                <w:highlight w:val="none"/>
                <w:lang w:val="en-US" w:eastAsia="zh-CN" w:bidi="ar"/>
              </w:rPr>
              <w:t>1-1。</w:t>
            </w:r>
          </w:p>
          <w:p w14:paraId="569142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kern w:val="0"/>
                <w:sz w:val="24"/>
                <w:szCs w:val="24"/>
                <w:highlight w:val="none"/>
              </w:rPr>
            </w:pPr>
            <w:r>
              <w:rPr>
                <w:color w:val="auto"/>
              </w:rPr>
              <w:drawing>
                <wp:inline distT="0" distB="0" distL="114300" distR="114300">
                  <wp:extent cx="4435475" cy="2212975"/>
                  <wp:effectExtent l="0" t="0" r="9525" b="9525"/>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13"/>
                          <a:stretch>
                            <a:fillRect/>
                          </a:stretch>
                        </pic:blipFill>
                        <pic:spPr>
                          <a:xfrm>
                            <a:off x="0" y="0"/>
                            <a:ext cx="4435475" cy="2212975"/>
                          </a:xfrm>
                          <a:prstGeom prst="rect">
                            <a:avLst/>
                          </a:prstGeom>
                          <a:noFill/>
                          <a:ln>
                            <a:noFill/>
                          </a:ln>
                        </pic:spPr>
                      </pic:pic>
                    </a:graphicData>
                  </a:graphic>
                </wp:inline>
              </w:drawing>
            </w:r>
          </w:p>
          <w:p w14:paraId="1E05D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eastAsia="zh-CN"/>
              </w:rPr>
              <w:t>图</w:t>
            </w:r>
            <w:r>
              <w:rPr>
                <w:rFonts w:hint="default" w:ascii="Times New Roman" w:hAnsi="Times New Roman" w:eastAsia="宋体" w:cs="Times New Roman"/>
                <w:b/>
                <w:bCs/>
                <w:color w:val="auto"/>
                <w:kern w:val="0"/>
                <w:sz w:val="24"/>
                <w:szCs w:val="24"/>
                <w:highlight w:val="none"/>
                <w:lang w:val="en-US" w:eastAsia="zh-CN"/>
              </w:rPr>
              <w:t>1-1与生态环境分区管控叠加图</w:t>
            </w:r>
          </w:p>
          <w:p w14:paraId="07F4930B">
            <w:pPr>
              <w:pStyle w:val="50"/>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val="en-US" w:eastAsia="zh-CN"/>
              </w:rPr>
              <w:t>一表</w:t>
            </w:r>
            <w:r>
              <w:rPr>
                <w:rFonts w:hint="eastAsia" w:cs="Times New Roman"/>
                <w:color w:val="auto"/>
                <w:sz w:val="24"/>
                <w:szCs w:val="24"/>
                <w:lang w:val="en-US" w:eastAsia="zh-CN"/>
              </w:rPr>
              <w:t>”</w:t>
            </w:r>
          </w:p>
          <w:p w14:paraId="346552CF">
            <w:pPr>
              <w:pStyle w:val="50"/>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本项目与生态环境准入清单符合性情况见表1-</w:t>
            </w:r>
            <w:r>
              <w:rPr>
                <w:rFonts w:hint="default" w:ascii="Times New Roman" w:hAnsi="Times New Roman"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w:t>
            </w:r>
          </w:p>
          <w:p w14:paraId="30B4B2A4">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表1-</w:t>
            </w:r>
            <w:r>
              <w:rPr>
                <w:rFonts w:hint="default" w:ascii="Times New Roman" w:hAnsi="Times New Roman" w:cs="Times New Roman"/>
                <w:b/>
                <w:bCs/>
                <w:color w:val="auto"/>
                <w:sz w:val="24"/>
                <w:szCs w:val="24"/>
                <w:highlight w:val="none"/>
                <w:lang w:val="en-US" w:eastAsia="zh-CN"/>
              </w:rPr>
              <w:t xml:space="preserve">3 </w:t>
            </w:r>
            <w:r>
              <w:rPr>
                <w:rFonts w:hint="default" w:ascii="Times New Roman" w:hAnsi="Times New Roman" w:cs="Times New Roman"/>
                <w:b/>
                <w:bCs/>
                <w:color w:val="auto"/>
                <w:sz w:val="24"/>
                <w:szCs w:val="24"/>
                <w:highlight w:val="none"/>
              </w:rPr>
              <w:t>生态环境准入清单符合性分析</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9"/>
              <w:gridCol w:w="4291"/>
              <w:gridCol w:w="1539"/>
            </w:tblGrid>
            <w:tr w14:paraId="1D97E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bottom w:val="single" w:color="auto" w:sz="4" w:space="0"/>
                  </w:tcBorders>
                  <w:noWrap w:val="0"/>
                  <w:vAlign w:val="center"/>
                </w:tcPr>
                <w:p w14:paraId="00BD186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一、生态保护红线</w:t>
                  </w:r>
                </w:p>
              </w:tc>
            </w:tr>
            <w:tr w14:paraId="1CAD5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132C3D2D">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lang w:val="en-US" w:eastAsia="zh-CN"/>
                    </w:rPr>
                    <w:t>根据《</w:t>
                  </w:r>
                  <w:r>
                    <w:rPr>
                      <w:rFonts w:hint="eastAsia" w:cs="Times New Roman"/>
                      <w:color w:val="auto"/>
                      <w:kern w:val="0"/>
                      <w:sz w:val="21"/>
                      <w:szCs w:val="21"/>
                      <w:highlight w:val="none"/>
                      <w:lang w:eastAsia="zh-CN" w:bidi="ar"/>
                    </w:rPr>
                    <w:t>鸡西市富金煤炭销售有限公司</w:t>
                  </w:r>
                  <w:r>
                    <w:rPr>
                      <w:rFonts w:hint="default" w:ascii="Times New Roman" w:hAnsi="Times New Roman" w:cs="Times New Roman"/>
                      <w:color w:val="auto"/>
                      <w:kern w:val="0"/>
                      <w:sz w:val="21"/>
                      <w:szCs w:val="21"/>
                      <w:highlight w:val="none"/>
                      <w:lang w:eastAsia="zh-CN" w:bidi="ar"/>
                    </w:rPr>
                    <w:t>建设项目生态环境分区管控分析报告</w:t>
                  </w:r>
                  <w:r>
                    <w:rPr>
                      <w:rFonts w:hint="default" w:ascii="Times New Roman" w:hAnsi="Times New Roman" w:cs="Times New Roman"/>
                      <w:color w:val="auto"/>
                      <w:sz w:val="21"/>
                      <w:szCs w:val="21"/>
                      <w:lang w:val="en-US" w:eastAsia="zh-CN"/>
                    </w:rPr>
                    <w:t>》，本项目不涉及生态保护红线。</w:t>
                  </w:r>
                </w:p>
              </w:tc>
            </w:tr>
            <w:tr w14:paraId="095A4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6F5BC94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二、环境质量底线</w:t>
                  </w:r>
                </w:p>
              </w:tc>
            </w:tr>
            <w:tr w14:paraId="09AF0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30A370CA">
                  <w:pPr>
                    <w:pStyle w:val="53"/>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环境质量底线是国家和地方设置的大气、水和土壤环境质量目标，也是改善环境质量的基准线。项目环境影响评价应对照区域环境质量目标，深入分析预测项目建设对环境质量的影响，强化污染防治措施和污染物排放控制要求。</w:t>
                  </w:r>
                </w:p>
                <w:p w14:paraId="5F59A4C8">
                  <w:pPr>
                    <w:pStyle w:val="53"/>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1、大气环境</w:t>
                  </w:r>
                </w:p>
                <w:p w14:paraId="5A69AAD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根据《202</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年黑龙江省生态环境</w:t>
                  </w:r>
                  <w:r>
                    <w:rPr>
                      <w:rFonts w:hint="default" w:ascii="Times New Roman" w:hAnsi="Times New Roman" w:cs="Times New Roman"/>
                      <w:color w:val="auto"/>
                      <w:sz w:val="21"/>
                      <w:szCs w:val="21"/>
                      <w:highlight w:val="none"/>
                      <w:lang w:val="en-US" w:eastAsia="zh-CN"/>
                    </w:rPr>
                    <w:t>质量</w:t>
                  </w:r>
                  <w:r>
                    <w:rPr>
                      <w:rFonts w:hint="default" w:ascii="Times New Roman" w:hAnsi="Times New Roman" w:cs="Times New Roman"/>
                      <w:color w:val="auto"/>
                      <w:sz w:val="21"/>
                      <w:szCs w:val="21"/>
                      <w:highlight w:val="none"/>
                    </w:rPr>
                    <w:t>状况》（202</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月），</w:t>
                  </w:r>
                  <w:r>
                    <w:rPr>
                      <w:rFonts w:hint="default" w:ascii="Times New Roman" w:hAnsi="Times New Roman" w:cs="Times New Roman"/>
                      <w:color w:val="auto"/>
                      <w:sz w:val="21"/>
                      <w:szCs w:val="21"/>
                      <w:highlight w:val="none"/>
                      <w:lang w:val="en-US" w:eastAsia="zh-CN"/>
                    </w:rPr>
                    <w:t>鸡西市空气质量级别达二级标准，PM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10</w:t>
                  </w:r>
                  <w:r>
                    <w:rPr>
                      <w:rFonts w:hint="default" w:ascii="Times New Roman" w:hAnsi="Times New Roman" w:cs="Times New Roman"/>
                      <w:color w:val="auto"/>
                      <w:sz w:val="21"/>
                      <w:szCs w:val="21"/>
                      <w:highlight w:val="none"/>
                      <w:lang w:val="en-US" w:eastAsia="zh-CN"/>
                    </w:rPr>
                    <w:t>、SO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、NO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、CO-95per、O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-8h-90per年均浓度分别为27</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lang w:val="en-US" w:eastAsia="zh-CN"/>
                    </w:rPr>
                    <w:t>46</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、8</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、1.0</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、和90</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kern w:val="21"/>
                      <w:sz w:val="21"/>
                      <w:szCs w:val="21"/>
                      <w:highlight w:val="none"/>
                      <w:lang w:val="en-US" w:eastAsia="zh-CN"/>
                    </w:rPr>
                    <w:t>均满足</w:t>
                  </w:r>
                  <w:r>
                    <w:rPr>
                      <w:rFonts w:hint="default" w:ascii="Times New Roman" w:hAnsi="Times New Roman" w:eastAsia="宋体" w:cs="Times New Roman"/>
                      <w:color w:val="auto"/>
                      <w:kern w:val="21"/>
                      <w:sz w:val="21"/>
                      <w:szCs w:val="21"/>
                      <w:highlight w:val="none"/>
                    </w:rPr>
                    <w:t>《环境空气质量标准》（GB3095-2012）中的二级标准</w:t>
                  </w:r>
                  <w:r>
                    <w:rPr>
                      <w:rFonts w:hint="default" w:ascii="Times New Roman" w:hAnsi="Times New Roman" w:eastAsia="宋体" w:cs="Times New Roman"/>
                      <w:color w:val="auto"/>
                      <w:kern w:val="21"/>
                      <w:sz w:val="21"/>
                      <w:szCs w:val="21"/>
                      <w:highlight w:val="none"/>
                      <w:lang w:eastAsia="zh-CN"/>
                    </w:rPr>
                    <w:t>，</w:t>
                  </w:r>
                  <w:r>
                    <w:rPr>
                      <w:rFonts w:hint="default" w:ascii="Times New Roman" w:hAnsi="Times New Roman" w:eastAsia="宋体" w:cs="Times New Roman"/>
                      <w:color w:val="auto"/>
                      <w:kern w:val="21"/>
                      <w:sz w:val="21"/>
                      <w:szCs w:val="21"/>
                      <w:highlight w:val="none"/>
                    </w:rPr>
                    <w:t>项目所在区域为达标区。</w:t>
                  </w:r>
                </w:p>
                <w:p w14:paraId="14A3FDF4">
                  <w:pPr>
                    <w:keepNext w:val="0"/>
                    <w:keepLines w:val="0"/>
                    <w:widowControl/>
                    <w:suppressLineNumbers w:val="0"/>
                    <w:spacing w:before="0" w:beforeAutospacing="0" w:after="0" w:afterAutospacing="0" w:line="360" w:lineRule="auto"/>
                    <w:ind w:left="0" w:right="0" w:firstLine="420" w:firstLineChars="200"/>
                    <w:jc w:val="left"/>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本项目为储煤场项目，日常生产中有无组织颗粒物产生，在采用防风抑尘网、堆场及道路洒水、苫盖等措施后，颗粒物产生能够满足</w:t>
                  </w:r>
                  <w:r>
                    <w:rPr>
                      <w:rFonts w:hint="default" w:ascii="Times New Roman" w:hAnsi="Times New Roman" w:cs="Times New Roman"/>
                      <w:color w:val="auto"/>
                      <w:kern w:val="0"/>
                      <w:sz w:val="21"/>
                      <w:szCs w:val="21"/>
                      <w:highlight w:val="none"/>
                      <w:lang w:eastAsia="zh-CN"/>
                    </w:rPr>
                    <w:t>《煤炭工业污染物排放标准》（GB20426-2006）中表5无组织限制排放标准</w:t>
                  </w:r>
                  <w:r>
                    <w:rPr>
                      <w:rFonts w:hint="default" w:ascii="Times New Roman" w:hAnsi="Times New Roman" w:cs="Times New Roman"/>
                      <w:color w:val="auto"/>
                      <w:kern w:val="0"/>
                      <w:sz w:val="21"/>
                      <w:szCs w:val="21"/>
                      <w:highlight w:val="none"/>
                      <w:lang w:val="en-US" w:eastAsia="zh-CN"/>
                    </w:rPr>
                    <w:t>。</w:t>
                  </w:r>
                </w:p>
                <w:p w14:paraId="41732AC3">
                  <w:pPr>
                    <w:pStyle w:val="53"/>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2、水环境</w:t>
                  </w:r>
                </w:p>
                <w:p w14:paraId="325C684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kern w:val="0"/>
                      <w:sz w:val="21"/>
                      <w:szCs w:val="21"/>
                      <w:highlight w:val="none"/>
                    </w:rPr>
                    <w:t>本项目</w:t>
                  </w:r>
                  <w:r>
                    <w:rPr>
                      <w:rFonts w:hint="default" w:ascii="Times New Roman" w:hAnsi="Times New Roman" w:cs="Times New Roman"/>
                      <w:color w:val="auto"/>
                      <w:kern w:val="0"/>
                      <w:sz w:val="21"/>
                      <w:szCs w:val="21"/>
                      <w:highlight w:val="none"/>
                      <w:lang w:val="en-US" w:eastAsia="zh-CN"/>
                    </w:rPr>
                    <w:t>最近</w:t>
                  </w:r>
                  <w:r>
                    <w:rPr>
                      <w:rFonts w:hint="default" w:ascii="Times New Roman" w:hAnsi="Times New Roman" w:cs="Times New Roman"/>
                      <w:color w:val="auto"/>
                      <w:kern w:val="0"/>
                      <w:sz w:val="21"/>
                      <w:szCs w:val="21"/>
                      <w:highlight w:val="none"/>
                    </w:rPr>
                    <w:t>水体为</w:t>
                  </w:r>
                  <w:r>
                    <w:rPr>
                      <w:rFonts w:hint="default" w:ascii="Times New Roman" w:hAnsi="Times New Roman" w:cs="Times New Roman"/>
                      <w:color w:val="auto"/>
                      <w:kern w:val="0"/>
                      <w:sz w:val="21"/>
                      <w:szCs w:val="21"/>
                      <w:highlight w:val="none"/>
                      <w:lang w:val="en-US" w:eastAsia="zh-CN"/>
                    </w:rPr>
                    <w:t>穆棱河</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根据《全国重要江河湖泊水功能区划（2011-2030）》（黑龙江省）可知，本项目涉及地表水体为穆棱河（碱场煤矿铁路大桥至206省道公路桥），属穆棱河饮用区，水质目标为Ⅱ~Ⅲ类。根据鸡西市人民政府发布的《2024年1-12月地表水国控考核断面水质信息公开》，穆棱河达到</w:t>
                  </w:r>
                  <w:r>
                    <w:rPr>
                      <w:rFonts w:hint="default" w:ascii="Times New Roman" w:hAnsi="Times New Roman" w:cs="Times New Roman"/>
                      <w:color w:val="auto"/>
                      <w:sz w:val="21"/>
                      <w:szCs w:val="21"/>
                      <w:highlight w:val="none"/>
                      <w:lang w:val="en-US" w:eastAsia="zh-CN"/>
                    </w:rPr>
                    <w:t>Ⅲ</w:t>
                  </w:r>
                  <w:r>
                    <w:rPr>
                      <w:rFonts w:hint="default" w:ascii="Times New Roman" w:hAnsi="Times New Roman" w:eastAsia="宋体" w:cs="Times New Roman"/>
                      <w:color w:val="auto"/>
                      <w:sz w:val="21"/>
                      <w:szCs w:val="21"/>
                      <w:highlight w:val="none"/>
                      <w:lang w:val="en-US" w:eastAsia="zh-CN"/>
                    </w:rPr>
                    <w:t>类水质类别标准，因此，本项目所在河段符合《地表水环境质量标准》（GB3838-2002）Ⅲ类标准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项目生活污水排入防渗旱厕，</w:t>
                  </w:r>
                  <w:r>
                    <w:rPr>
                      <w:rFonts w:hint="default" w:ascii="Times New Roman" w:hAnsi="Times New Roman" w:cs="Times New Roman"/>
                      <w:color w:val="auto"/>
                      <w:sz w:val="21"/>
                      <w:szCs w:val="21"/>
                      <w:highlight w:val="none"/>
                      <w:lang w:val="en-US" w:eastAsia="zh-CN"/>
                    </w:rPr>
                    <w:t>初期</w:t>
                  </w:r>
                  <w:r>
                    <w:rPr>
                      <w:rFonts w:hint="default" w:ascii="Times New Roman" w:hAnsi="Times New Roman" w:eastAsia="宋体" w:cs="Times New Roman"/>
                      <w:color w:val="auto"/>
                      <w:sz w:val="21"/>
                      <w:szCs w:val="21"/>
                      <w:highlight w:val="none"/>
                      <w:lang w:val="en-US" w:eastAsia="zh-CN"/>
                    </w:rPr>
                    <w:t>雨水进入</w:t>
                  </w:r>
                  <w:r>
                    <w:rPr>
                      <w:rFonts w:hint="default" w:ascii="Times New Roman" w:hAnsi="Times New Roman" w:cs="Times New Roman"/>
                      <w:color w:val="auto"/>
                      <w:sz w:val="21"/>
                      <w:szCs w:val="21"/>
                      <w:highlight w:val="none"/>
                      <w:lang w:val="en-US" w:eastAsia="zh-CN"/>
                    </w:rPr>
                    <w:t>初期</w:t>
                  </w:r>
                  <w:r>
                    <w:rPr>
                      <w:rFonts w:hint="default" w:ascii="Times New Roman" w:hAnsi="Times New Roman" w:eastAsia="宋体" w:cs="Times New Roman"/>
                      <w:color w:val="auto"/>
                      <w:sz w:val="21"/>
                      <w:szCs w:val="21"/>
                      <w:highlight w:val="none"/>
                      <w:lang w:val="en-US" w:eastAsia="zh-CN"/>
                    </w:rPr>
                    <w:t>雨水收集池沉淀后回用，项目无废水排放。</w:t>
                  </w:r>
                </w:p>
                <w:p w14:paraId="43B2AA5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3、声环境</w:t>
                  </w:r>
                </w:p>
                <w:p w14:paraId="77547ED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lang w:val="en-US" w:eastAsia="zh-CN"/>
                    </w:rPr>
                    <w:t>根据《</w:t>
                  </w:r>
                  <w:r>
                    <w:rPr>
                      <w:rFonts w:hint="default" w:ascii="Times New Roman" w:hAnsi="Times New Roman" w:cs="Times New Roman"/>
                      <w:color w:val="auto"/>
                      <w:sz w:val="21"/>
                      <w:szCs w:val="21"/>
                      <w:highlight w:val="none"/>
                    </w:rPr>
                    <w:t>202</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年黑龙江省生态环境</w:t>
                  </w:r>
                  <w:r>
                    <w:rPr>
                      <w:rFonts w:hint="default" w:ascii="Times New Roman" w:hAnsi="Times New Roman" w:cs="Times New Roman"/>
                      <w:color w:val="auto"/>
                      <w:sz w:val="21"/>
                      <w:szCs w:val="21"/>
                      <w:highlight w:val="none"/>
                      <w:lang w:val="en-US" w:eastAsia="zh-CN"/>
                    </w:rPr>
                    <w:t>质量</w:t>
                  </w:r>
                  <w:r>
                    <w:rPr>
                      <w:rFonts w:hint="default" w:ascii="Times New Roman" w:hAnsi="Times New Roman" w:cs="Times New Roman"/>
                      <w:color w:val="auto"/>
                      <w:sz w:val="21"/>
                      <w:szCs w:val="21"/>
                      <w:highlight w:val="none"/>
                    </w:rPr>
                    <w:t>状况》（202</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月）</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鸡西市区域昼间声环境质量为二级，等效声级为53.6dB（A），道路交通昼间声环境质量为一级，等效声级为65.8dB（A），功能区昼间达标率100%，功能区夜间达标率100%。</w:t>
                  </w:r>
                  <w:r>
                    <w:rPr>
                      <w:rFonts w:hint="default" w:ascii="Times New Roman" w:hAnsi="Times New Roman" w:eastAsia="宋体" w:cs="Times New Roman"/>
                      <w:color w:val="auto"/>
                      <w:sz w:val="21"/>
                      <w:szCs w:val="21"/>
                      <w:highlight w:val="none"/>
                      <w:lang w:val="en-US" w:eastAsia="zh-CN"/>
                    </w:rPr>
                    <w:t>区域声环境</w:t>
                  </w:r>
                  <w:r>
                    <w:rPr>
                      <w:rFonts w:hint="default" w:ascii="Times New Roman" w:hAnsi="Times New Roman" w:cs="Times New Roman"/>
                      <w:color w:val="auto"/>
                      <w:sz w:val="21"/>
                      <w:szCs w:val="21"/>
                      <w:highlight w:val="none"/>
                      <w:lang w:val="en-US" w:eastAsia="zh-CN"/>
                    </w:rPr>
                    <w:t>满足</w:t>
                  </w:r>
                  <w:r>
                    <w:rPr>
                      <w:rFonts w:hint="default" w:ascii="Times New Roman" w:hAnsi="Times New Roman" w:eastAsia="宋体" w:cs="Times New Roman"/>
                      <w:color w:val="auto"/>
                      <w:sz w:val="21"/>
                      <w:szCs w:val="21"/>
                      <w:highlight w:val="none"/>
                      <w:lang w:val="en-US" w:eastAsia="zh-CN"/>
                    </w:rPr>
                    <w:t>《声环境质量标准》（GB3096-2008）2类标准</w:t>
                  </w:r>
                  <w:r>
                    <w:rPr>
                      <w:rFonts w:hint="default" w:ascii="Times New Roman" w:hAnsi="Times New Roman" w:eastAsia="宋体" w:cs="Times New Roman"/>
                      <w:color w:val="auto"/>
                      <w:kern w:val="0"/>
                      <w:sz w:val="21"/>
                      <w:szCs w:val="21"/>
                      <w:highlight w:val="none"/>
                    </w:rPr>
                    <w:t>。</w:t>
                  </w:r>
                  <w:r>
                    <w:rPr>
                      <w:rFonts w:hint="default" w:ascii="Times New Roman" w:hAnsi="Times New Roman"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选取低噪声设备，采取减振、隔声等措施</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厂界噪声满足</w:t>
                  </w:r>
                  <w:r>
                    <w:rPr>
                      <w:rFonts w:hint="default" w:ascii="Times New Roman" w:hAnsi="Times New Roman" w:cs="Times New Roman"/>
                      <w:color w:val="auto"/>
                      <w:kern w:val="0"/>
                      <w:sz w:val="21"/>
                      <w:szCs w:val="21"/>
                      <w:highlight w:val="none"/>
                      <w:lang w:eastAsia="zh-CN"/>
                    </w:rPr>
                    <w:t>《工业企业厂界环境噪声排放标准》</w:t>
                  </w:r>
                  <w:r>
                    <w:rPr>
                      <w:rFonts w:hint="eastAsia"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eastAsia="zh-CN"/>
                    </w:rPr>
                    <w:t>GB12348-2008）表1中</w:t>
                  </w:r>
                  <w:r>
                    <w:rPr>
                      <w:rFonts w:hint="default" w:ascii="Times New Roman" w:hAnsi="Times New Roman" w:cs="Times New Roman"/>
                      <w:color w:val="auto"/>
                      <w:kern w:val="0"/>
                      <w:sz w:val="21"/>
                      <w:szCs w:val="21"/>
                      <w:highlight w:val="none"/>
                      <w:lang w:val="en-US" w:eastAsia="zh-CN"/>
                    </w:rPr>
                    <w:t>2</w:t>
                  </w:r>
                  <w:r>
                    <w:rPr>
                      <w:rFonts w:hint="default" w:ascii="Times New Roman" w:hAnsi="Times New Roman" w:cs="Times New Roman"/>
                      <w:color w:val="auto"/>
                      <w:kern w:val="0"/>
                      <w:sz w:val="21"/>
                      <w:szCs w:val="21"/>
                      <w:highlight w:val="none"/>
                      <w:lang w:eastAsia="zh-CN"/>
                    </w:rPr>
                    <w:t>类标准。</w:t>
                  </w:r>
                </w:p>
                <w:p w14:paraId="121E2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本项目运营期各类污染物经环境保护措施治理后均可达标排放，对区域环境造成的不利影响较小，不会改变区域环境质量现状，因此，</w:t>
                  </w:r>
                  <w:r>
                    <w:rPr>
                      <w:rFonts w:hint="default" w:ascii="Times New Roman" w:hAnsi="Times New Roman" w:cs="Times New Roman"/>
                      <w:color w:val="auto"/>
                      <w:kern w:val="0"/>
                      <w:sz w:val="21"/>
                      <w:szCs w:val="21"/>
                      <w:highlight w:val="none"/>
                      <w:lang w:val="en-US" w:eastAsia="zh-CN"/>
                    </w:rPr>
                    <w:t>本项目</w:t>
                  </w:r>
                  <w:r>
                    <w:rPr>
                      <w:rFonts w:hint="default" w:ascii="Times New Roman" w:hAnsi="Times New Roman" w:cs="Times New Roman"/>
                      <w:color w:val="auto"/>
                      <w:kern w:val="0"/>
                      <w:sz w:val="21"/>
                      <w:szCs w:val="21"/>
                      <w:highlight w:val="none"/>
                    </w:rPr>
                    <w:t>符合环境质量底线要求。</w:t>
                  </w:r>
                </w:p>
              </w:tc>
            </w:tr>
            <w:tr w14:paraId="203BF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09074620">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三、资源利用上线</w:t>
                  </w:r>
                </w:p>
              </w:tc>
            </w:tr>
            <w:tr w14:paraId="35804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26A8FAAB">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lang w:val="en-US" w:eastAsia="zh-CN" w:bidi="ar-SA"/>
                    </w:rPr>
                    <w:t>本项目生活用水外购桶装水，生产用水由厂区内雨水收集和外购水源提供；本项目用地性质为</w:t>
                  </w:r>
                  <w:r>
                    <w:rPr>
                      <w:rFonts w:hint="eastAsia" w:cs="Times New Roman"/>
                      <w:color w:val="auto"/>
                      <w:kern w:val="0"/>
                      <w:sz w:val="21"/>
                      <w:szCs w:val="21"/>
                      <w:lang w:val="en-US" w:eastAsia="zh-CN" w:bidi="ar-SA"/>
                    </w:rPr>
                    <w:t>采矿用地</w:t>
                  </w:r>
                  <w:r>
                    <w:rPr>
                      <w:rFonts w:hint="default" w:ascii="Times New Roman" w:hAnsi="Times New Roman" w:eastAsia="宋体" w:cs="Times New Roman"/>
                      <w:color w:val="auto"/>
                      <w:kern w:val="0"/>
                      <w:sz w:val="21"/>
                      <w:szCs w:val="21"/>
                      <w:lang w:val="en-US" w:eastAsia="zh-CN" w:bidi="ar-SA"/>
                    </w:rPr>
                    <w:t>，不占用基本农田；电源依托市政设施。综上，本项目不会突破资源利用上线。</w:t>
                  </w:r>
                </w:p>
              </w:tc>
            </w:tr>
            <w:tr w14:paraId="71B05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2D732A3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四、环境准入清单</w:t>
                  </w:r>
                </w:p>
              </w:tc>
            </w:tr>
            <w:tr w14:paraId="2AD1E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42D5783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环境管控单元名称</w:t>
                  </w:r>
                </w:p>
              </w:tc>
              <w:tc>
                <w:tcPr>
                  <w:tcW w:w="4164" w:type="pct"/>
                  <w:gridSpan w:val="2"/>
                  <w:tcBorders>
                    <w:top w:val="single" w:color="auto" w:sz="4" w:space="0"/>
                    <w:left w:val="single" w:color="auto" w:sz="4" w:space="0"/>
                    <w:bottom w:val="single" w:color="auto" w:sz="4" w:space="0"/>
                  </w:tcBorders>
                  <w:noWrap w:val="0"/>
                  <w:vAlign w:val="center"/>
                </w:tcPr>
                <w:p w14:paraId="376FA482">
                  <w:pPr>
                    <w:keepNext w:val="0"/>
                    <w:keepLines w:val="0"/>
                    <w:widowControl/>
                    <w:suppressLineNumbers w:val="0"/>
                    <w:jc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城子河区水环境农业污染重点管控区</w:t>
                  </w:r>
                </w:p>
              </w:tc>
            </w:tr>
            <w:tr w14:paraId="5CC80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3F1AA66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环境管控单元编码</w:t>
                  </w:r>
                </w:p>
              </w:tc>
              <w:tc>
                <w:tcPr>
                  <w:tcW w:w="4164" w:type="pct"/>
                  <w:gridSpan w:val="2"/>
                  <w:tcBorders>
                    <w:top w:val="single" w:color="auto" w:sz="4" w:space="0"/>
                    <w:left w:val="single" w:color="auto" w:sz="4" w:space="0"/>
                    <w:bottom w:val="single" w:color="auto" w:sz="4" w:space="0"/>
                  </w:tcBorders>
                  <w:noWrap w:val="0"/>
                  <w:vAlign w:val="center"/>
                </w:tcPr>
                <w:p w14:paraId="59DB8232">
                  <w:pPr>
                    <w:keepNext w:val="0"/>
                    <w:keepLines w:val="0"/>
                    <w:widowControl/>
                    <w:suppressLineNumbers w:val="0"/>
                    <w:jc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ZH23030620003</w:t>
                  </w:r>
                </w:p>
              </w:tc>
            </w:tr>
            <w:tr w14:paraId="39D429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0CCF947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管控单元类别</w:t>
                  </w:r>
                </w:p>
              </w:tc>
              <w:tc>
                <w:tcPr>
                  <w:tcW w:w="4164" w:type="pct"/>
                  <w:gridSpan w:val="2"/>
                  <w:tcBorders>
                    <w:top w:val="single" w:color="auto" w:sz="4" w:space="0"/>
                    <w:left w:val="single" w:color="auto" w:sz="4" w:space="0"/>
                    <w:bottom w:val="single" w:color="auto" w:sz="4" w:space="0"/>
                  </w:tcBorders>
                  <w:noWrap w:val="0"/>
                  <w:vAlign w:val="center"/>
                </w:tcPr>
                <w:p w14:paraId="17AB862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重点管控</w:t>
                  </w:r>
                  <w:r>
                    <w:rPr>
                      <w:rFonts w:hint="default" w:ascii="Times New Roman" w:hAnsi="Times New Roman" w:cs="Times New Roman"/>
                      <w:color w:val="auto"/>
                      <w:sz w:val="21"/>
                      <w:szCs w:val="21"/>
                      <w:highlight w:val="none"/>
                    </w:rPr>
                    <w:t>单元</w:t>
                  </w:r>
                </w:p>
              </w:tc>
            </w:tr>
            <w:tr w14:paraId="21530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noWrap w:val="0"/>
                  <w:vAlign w:val="center"/>
                </w:tcPr>
                <w:p w14:paraId="4822EF9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管控要求</w:t>
                  </w:r>
                </w:p>
              </w:tc>
              <w:tc>
                <w:tcPr>
                  <w:tcW w:w="1099" w:type="pct"/>
                  <w:tcBorders>
                    <w:top w:val="single" w:color="auto" w:sz="4" w:space="0"/>
                    <w:left w:val="single" w:color="auto" w:sz="4" w:space="0"/>
                    <w:bottom w:val="single" w:color="auto" w:sz="4" w:space="0"/>
                  </w:tcBorders>
                  <w:noWrap w:val="0"/>
                  <w:vAlign w:val="center"/>
                </w:tcPr>
                <w:p w14:paraId="4F240D2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项目符合性分析</w:t>
                  </w:r>
                </w:p>
              </w:tc>
            </w:tr>
            <w:tr w14:paraId="16E9F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396E3E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空间布局约束</w:t>
                  </w:r>
                </w:p>
              </w:tc>
              <w:tc>
                <w:tcPr>
                  <w:tcW w:w="30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8AFF4CB">
                  <w:pPr>
                    <w:keepNext w:val="0"/>
                    <w:keepLines w:val="0"/>
                    <w:widowControl/>
                    <w:suppressLineNumbers w:val="0"/>
                    <w:jc w:val="left"/>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1.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2.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099" w:type="pct"/>
                  <w:tcBorders>
                    <w:top w:val="single" w:color="auto" w:sz="4" w:space="0"/>
                    <w:left w:val="single" w:color="auto" w:sz="4" w:space="0"/>
                    <w:bottom w:val="single" w:color="auto" w:sz="4" w:space="0"/>
                  </w:tcBorders>
                  <w:noWrap w:val="0"/>
                  <w:vAlign w:val="center"/>
                </w:tcPr>
                <w:p w14:paraId="18313D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1</w:t>
                  </w:r>
                  <w:r>
                    <w:rPr>
                      <w:rFonts w:hint="default" w:ascii="Times New Roman" w:hAnsi="Times New Roman" w:eastAsia="宋体" w:cs="Times New Roman"/>
                      <w:snapToGrid w:val="0"/>
                      <w:color w:val="auto"/>
                      <w:kern w:val="0"/>
                      <w:sz w:val="21"/>
                      <w:szCs w:val="21"/>
                      <w:highlight w:val="none"/>
                    </w:rPr>
                    <w:t>本</w:t>
                  </w:r>
                  <w:r>
                    <w:rPr>
                      <w:rFonts w:hint="default" w:ascii="Times New Roman" w:hAnsi="Times New Roman" w:eastAsia="宋体" w:cs="Times New Roman"/>
                      <w:snapToGrid w:val="0"/>
                      <w:color w:val="auto"/>
                      <w:kern w:val="0"/>
                      <w:sz w:val="21"/>
                      <w:szCs w:val="21"/>
                      <w:highlight w:val="none"/>
                      <w:lang w:val="en-US" w:eastAsia="zh-CN"/>
                    </w:rPr>
                    <w:t>项目为储煤场项目，仅用于煤炭储存</w:t>
                  </w:r>
                  <w:r>
                    <w:rPr>
                      <w:rFonts w:hint="default" w:ascii="Times New Roman" w:hAnsi="Times New Roman" w:cs="Times New Roman"/>
                      <w:snapToGrid w:val="0"/>
                      <w:color w:val="auto"/>
                      <w:kern w:val="0"/>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eastAsia="zh-CN"/>
                    </w:rPr>
                    <w:t>不属于</w:t>
                  </w:r>
                  <w:r>
                    <w:rPr>
                      <w:rFonts w:hint="eastAsia" w:ascii="宋体" w:hAnsi="宋体" w:eastAsia="宋体" w:cs="宋体"/>
                      <w:color w:val="auto"/>
                      <w:kern w:val="0"/>
                      <w:sz w:val="21"/>
                      <w:szCs w:val="21"/>
                      <w:lang w:val="en-US" w:eastAsia="zh-CN" w:bidi="ar"/>
                    </w:rPr>
                    <w:t>畜禽养殖和农业行业。</w:t>
                  </w:r>
                </w:p>
                <w:p w14:paraId="277E6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val="0"/>
                      <w:color w:val="auto"/>
                      <w:sz w:val="21"/>
                      <w:szCs w:val="21"/>
                      <w:highlight w:val="none"/>
                      <w:lang w:val="en-US" w:eastAsia="zh-CN"/>
                    </w:rPr>
                    <w:t>2</w:t>
                  </w:r>
                  <w:r>
                    <w:rPr>
                      <w:rFonts w:hint="default" w:ascii="Times New Roman" w:hAnsi="Times New Roman" w:eastAsia="宋体" w:cs="Times New Roman"/>
                      <w:snapToGrid w:val="0"/>
                      <w:color w:val="auto"/>
                      <w:kern w:val="0"/>
                      <w:sz w:val="21"/>
                      <w:szCs w:val="21"/>
                      <w:highlight w:val="none"/>
                    </w:rPr>
                    <w:t>本</w:t>
                  </w:r>
                  <w:r>
                    <w:rPr>
                      <w:rFonts w:hint="default" w:ascii="Times New Roman" w:hAnsi="Times New Roman" w:eastAsia="宋体" w:cs="Times New Roman"/>
                      <w:snapToGrid w:val="0"/>
                      <w:color w:val="auto"/>
                      <w:kern w:val="0"/>
                      <w:sz w:val="21"/>
                      <w:szCs w:val="21"/>
                      <w:highlight w:val="none"/>
                      <w:lang w:val="en-US" w:eastAsia="zh-CN"/>
                    </w:rPr>
                    <w:t>项目</w:t>
                  </w:r>
                  <w:r>
                    <w:rPr>
                      <w:rFonts w:hint="default" w:ascii="Times New Roman" w:hAnsi="Times New Roman" w:eastAsia="宋体" w:cs="Times New Roman"/>
                      <w:b w:val="0"/>
                      <w:bCs w:val="0"/>
                      <w:color w:val="auto"/>
                      <w:sz w:val="21"/>
                      <w:szCs w:val="21"/>
                      <w:highlight w:val="none"/>
                      <w:lang w:eastAsia="zh-CN"/>
                    </w:rPr>
                    <w:t>不属于</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lang w:val="en-US" w:eastAsia="zh-CN"/>
                    </w:rPr>
                    <w:t>两高</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lang w:val="en-US" w:eastAsia="zh-CN"/>
                    </w:rPr>
                    <w:t>行业。</w:t>
                  </w:r>
                </w:p>
              </w:tc>
            </w:tr>
            <w:tr w14:paraId="4E873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529A4DE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污染物排放管控</w:t>
                  </w:r>
                </w:p>
              </w:tc>
              <w:tc>
                <w:tcPr>
                  <w:tcW w:w="3065" w:type="pct"/>
                  <w:tcBorders>
                    <w:top w:val="single" w:color="auto" w:sz="4" w:space="0"/>
                    <w:left w:val="single" w:color="auto" w:sz="4" w:space="0"/>
                    <w:bottom w:val="single" w:color="auto" w:sz="4" w:space="0"/>
                    <w:right w:val="single" w:color="auto" w:sz="4" w:space="0"/>
                  </w:tcBorders>
                  <w:noWrap w:val="0"/>
                  <w:vAlign w:val="center"/>
                </w:tcPr>
                <w:p w14:paraId="523FC59D">
                  <w:pPr>
                    <w:keepNext w:val="0"/>
                    <w:keepLines w:val="0"/>
                    <w:widowControl/>
                    <w:suppressLineNumbers w:val="0"/>
                    <w:jc w:val="left"/>
                    <w:rPr>
                      <w:color w:val="auto"/>
                    </w:rPr>
                  </w:pPr>
                  <w:r>
                    <w:rPr>
                      <w:rFonts w:hint="eastAsia" w:ascii="宋体" w:hAnsi="宋体" w:eastAsia="宋体" w:cs="宋体"/>
                      <w:color w:val="auto"/>
                      <w:kern w:val="0"/>
                      <w:sz w:val="21"/>
                      <w:szCs w:val="21"/>
                      <w:lang w:val="en-US" w:eastAsia="zh-CN" w:bidi="ar"/>
                    </w:rPr>
                    <w:t>1.执行本清单（1）支持规模化畜禽养殖场（小区）开展标准化改造和建设，提高畜禽粪污收集和处理机械化水平，实施雨污分流、粪污资源化利用，控制畜禽养殖</w:t>
                  </w:r>
                </w:p>
                <w:p w14:paraId="5A0DE061">
                  <w:pPr>
                    <w:keepNext w:val="0"/>
                    <w:keepLines w:val="0"/>
                    <w:widowControl/>
                    <w:suppressLineNumbers w:val="0"/>
                    <w:jc w:val="left"/>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kern w:val="0"/>
                      <w:sz w:val="21"/>
                      <w:szCs w:val="21"/>
                      <w:lang w:val="en-US" w:eastAsia="zh-CN" w:bidi="ar"/>
                    </w:rPr>
                    <w:t>污染排放。（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2.大气环境布局敏感重点管控区同时执行（1）对以煤、石焦油、渣油、重油等为燃料的锅炉和工业炉窑，加快使用清洁低碳能源以及工厂余热、电力热力等进行替代。（2）到2025年，在用65蒸吨/小时以上的燃煤锅炉（含电力）实现超低排放，钢铁企业基本实现超低排放。</w:t>
                  </w:r>
                </w:p>
              </w:tc>
              <w:tc>
                <w:tcPr>
                  <w:tcW w:w="1099" w:type="pct"/>
                  <w:tcBorders>
                    <w:top w:val="single" w:color="auto" w:sz="4" w:space="0"/>
                    <w:left w:val="single" w:color="auto" w:sz="4" w:space="0"/>
                    <w:bottom w:val="single" w:color="auto" w:sz="4" w:space="0"/>
                  </w:tcBorders>
                  <w:noWrap w:val="0"/>
                  <w:vAlign w:val="center"/>
                </w:tcPr>
                <w:p w14:paraId="4109BD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rPr>
                    <w:t>本项目为储煤场项目，冬季供暖采用电取暖</w:t>
                  </w:r>
                  <w:r>
                    <w:rPr>
                      <w:rFonts w:hint="default" w:ascii="Times New Roman" w:hAnsi="Times New Roman" w:cs="Times New Roman"/>
                      <w:snapToGrid w:val="0"/>
                      <w:color w:val="auto"/>
                      <w:kern w:val="0"/>
                      <w:sz w:val="21"/>
                      <w:szCs w:val="21"/>
                      <w:highlight w:val="none"/>
                      <w:lang w:eastAsia="zh-CN"/>
                    </w:rPr>
                    <w:t>；不涉及燃料使用</w:t>
                  </w:r>
                  <w:r>
                    <w:rPr>
                      <w:rFonts w:hint="default" w:ascii="Times New Roman" w:hAnsi="Times New Roman" w:cs="Times New Roman"/>
                      <w:snapToGrid w:val="0"/>
                      <w:color w:val="auto"/>
                      <w:kern w:val="0"/>
                      <w:sz w:val="21"/>
                      <w:szCs w:val="21"/>
                      <w:highlight w:val="none"/>
                      <w:lang w:val="en-US" w:eastAsia="zh-CN"/>
                    </w:rPr>
                    <w:t>。</w:t>
                  </w:r>
                </w:p>
              </w:tc>
            </w:tr>
            <w:tr w14:paraId="64BEAC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26242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环境风险 </w:t>
                  </w:r>
                </w:p>
                <w:p w14:paraId="0E741C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kern w:val="0"/>
                      <w:sz w:val="21"/>
                      <w:szCs w:val="21"/>
                      <w:lang w:val="en-US" w:eastAsia="zh-CN" w:bidi="ar"/>
                    </w:rPr>
                    <w:t>防控</w:t>
                  </w:r>
                </w:p>
              </w:tc>
              <w:tc>
                <w:tcPr>
                  <w:tcW w:w="30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C898AA8">
                  <w:pPr>
                    <w:keepNext w:val="0"/>
                    <w:keepLines w:val="0"/>
                    <w:widowControl/>
                    <w:suppressLineNumbers w:val="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lang w:val="en-US" w:eastAsia="zh-CN" w:bidi="ar"/>
                    </w:rPr>
                    <w:t>大气环境布局敏感重点管控区同时执行禁止在居民区、学校、医疗和养老机构等周边新建有色金属冶炼、焦化等行业企业。</w:t>
                  </w:r>
                </w:p>
              </w:tc>
              <w:tc>
                <w:tcPr>
                  <w:tcW w:w="1099" w:type="pct"/>
                  <w:tcBorders>
                    <w:top w:val="single" w:color="auto" w:sz="4" w:space="0"/>
                    <w:left w:val="single" w:color="auto" w:sz="4" w:space="0"/>
                    <w:bottom w:val="single" w:color="auto" w:sz="4" w:space="0"/>
                  </w:tcBorders>
                  <w:noWrap w:val="0"/>
                  <w:vAlign w:val="center"/>
                </w:tcPr>
                <w:p w14:paraId="5E9D48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snapToGrid w:val="0"/>
                      <w:color w:val="auto"/>
                      <w:kern w:val="0"/>
                      <w:sz w:val="21"/>
                      <w:szCs w:val="21"/>
                      <w:highlight w:val="none"/>
                    </w:rPr>
                    <w:t>本项目</w:t>
                  </w:r>
                  <w:r>
                    <w:rPr>
                      <w:rFonts w:hint="default" w:ascii="Times New Roman" w:hAnsi="Times New Roman" w:eastAsia="宋体" w:cs="Times New Roman"/>
                      <w:b w:val="0"/>
                      <w:bCs w:val="0"/>
                      <w:snapToGrid w:val="0"/>
                      <w:color w:val="auto"/>
                      <w:kern w:val="0"/>
                      <w:sz w:val="21"/>
                      <w:szCs w:val="21"/>
                      <w:highlight w:val="none"/>
                      <w:lang w:val="en-US" w:eastAsia="zh-CN"/>
                    </w:rPr>
                    <w:t>为储煤场项目，仅用于煤场储存。</w:t>
                  </w:r>
                  <w:r>
                    <w:rPr>
                      <w:rFonts w:hint="default" w:ascii="Times New Roman" w:hAnsi="Times New Roman" w:cs="Times New Roman"/>
                      <w:b w:val="0"/>
                      <w:bCs w:val="0"/>
                      <w:snapToGrid w:val="0"/>
                      <w:color w:val="auto"/>
                      <w:kern w:val="0"/>
                      <w:sz w:val="21"/>
                      <w:szCs w:val="21"/>
                      <w:highlight w:val="none"/>
                      <w:lang w:val="en-US" w:eastAsia="zh-CN"/>
                    </w:rPr>
                    <w:t>不属于有色金属冶炼、焦化等行业企业</w:t>
                  </w:r>
                </w:p>
              </w:tc>
            </w:tr>
            <w:tr w14:paraId="4D9C8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shd w:val="clear" w:color="auto" w:fill="auto"/>
                  <w:noWrap w:val="0"/>
                  <w:vAlign w:val="center"/>
                </w:tcPr>
                <w:p w14:paraId="389D830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环境管控区名称</w:t>
                  </w:r>
                </w:p>
              </w:tc>
              <w:tc>
                <w:tcPr>
                  <w:tcW w:w="4164" w:type="pct"/>
                  <w:gridSpan w:val="2"/>
                  <w:tcBorders>
                    <w:top w:val="single" w:color="auto" w:sz="4" w:space="0"/>
                    <w:bottom w:val="single" w:color="auto" w:sz="4" w:space="0"/>
                  </w:tcBorders>
                  <w:shd w:val="clear" w:color="auto" w:fill="auto"/>
                  <w:noWrap w:val="0"/>
                  <w:vAlign w:val="center"/>
                </w:tcPr>
                <w:p w14:paraId="778EF899">
                  <w:pPr>
                    <w:keepNext w:val="0"/>
                    <w:keepLines w:val="0"/>
                    <w:widowControl/>
                    <w:suppressLineNumbers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kern w:val="0"/>
                      <w:sz w:val="21"/>
                      <w:szCs w:val="21"/>
                      <w:lang w:val="en-US" w:eastAsia="zh-CN" w:bidi="ar"/>
                    </w:rPr>
                    <w:t>城子河区地下水环境一般管控区</w:t>
                  </w:r>
                </w:p>
              </w:tc>
            </w:tr>
            <w:tr w14:paraId="4CB3C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shd w:val="clear" w:color="auto" w:fill="auto"/>
                  <w:noWrap w:val="0"/>
                  <w:vAlign w:val="center"/>
                </w:tcPr>
                <w:p w14:paraId="1EA8888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环境管控区编码</w:t>
                  </w:r>
                </w:p>
              </w:tc>
              <w:tc>
                <w:tcPr>
                  <w:tcW w:w="4164" w:type="pct"/>
                  <w:gridSpan w:val="2"/>
                  <w:tcBorders>
                    <w:top w:val="single" w:color="auto" w:sz="4" w:space="0"/>
                    <w:bottom w:val="single" w:color="auto" w:sz="4" w:space="0"/>
                  </w:tcBorders>
                  <w:shd w:val="clear" w:color="auto" w:fill="auto"/>
                  <w:noWrap w:val="0"/>
                  <w:vAlign w:val="center"/>
                </w:tcPr>
                <w:p w14:paraId="7C5B576D">
                  <w:pPr>
                    <w:keepNext w:val="0"/>
                    <w:keepLines w:val="0"/>
                    <w:widowControl/>
                    <w:suppressLineNumbers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kern w:val="0"/>
                      <w:sz w:val="21"/>
                      <w:szCs w:val="21"/>
                      <w:lang w:val="en-US" w:eastAsia="zh-CN" w:bidi="ar"/>
                    </w:rPr>
                    <w:t>YS2303066310001</w:t>
                  </w:r>
                </w:p>
              </w:tc>
            </w:tr>
            <w:tr w14:paraId="23CBC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shd w:val="clear" w:color="auto" w:fill="auto"/>
                  <w:noWrap w:val="0"/>
                  <w:vAlign w:val="center"/>
                </w:tcPr>
                <w:p w14:paraId="2014170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管控区类型</w:t>
                  </w:r>
                </w:p>
              </w:tc>
              <w:tc>
                <w:tcPr>
                  <w:tcW w:w="4164" w:type="pct"/>
                  <w:gridSpan w:val="2"/>
                  <w:tcBorders>
                    <w:top w:val="single" w:color="auto" w:sz="4" w:space="0"/>
                    <w:bottom w:val="single" w:color="auto" w:sz="4" w:space="0"/>
                  </w:tcBorders>
                  <w:shd w:val="clear" w:color="auto" w:fill="auto"/>
                  <w:noWrap w:val="0"/>
                  <w:vAlign w:val="center"/>
                </w:tcPr>
                <w:p w14:paraId="3A6E5EF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一般管控区</w:t>
                  </w:r>
                </w:p>
              </w:tc>
            </w:tr>
            <w:tr w14:paraId="49558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shd w:val="clear" w:color="auto" w:fill="auto"/>
                  <w:noWrap w:val="0"/>
                  <w:vAlign w:val="center"/>
                </w:tcPr>
                <w:p w14:paraId="63478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管控要求</w:t>
                  </w:r>
                </w:p>
              </w:tc>
              <w:tc>
                <w:tcPr>
                  <w:tcW w:w="1099" w:type="pct"/>
                  <w:tcBorders>
                    <w:top w:val="single" w:color="auto" w:sz="4" w:space="0"/>
                    <w:left w:val="single" w:color="auto" w:sz="4" w:space="0"/>
                    <w:bottom w:val="single" w:color="auto" w:sz="4" w:space="0"/>
                  </w:tcBorders>
                  <w:shd w:val="clear" w:color="auto" w:fill="auto"/>
                  <w:noWrap w:val="0"/>
                  <w:vAlign w:val="center"/>
                </w:tcPr>
                <w:p w14:paraId="4EE7E0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符合性分析</w:t>
                  </w:r>
                </w:p>
              </w:tc>
            </w:tr>
            <w:tr w14:paraId="51B0E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shd w:val="clear" w:color="auto" w:fill="auto"/>
                  <w:noWrap w:val="0"/>
                  <w:vAlign w:val="center"/>
                </w:tcPr>
                <w:p w14:paraId="1C13019E">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环境风险管控</w:t>
                  </w:r>
                </w:p>
                <w:p w14:paraId="65DB03B8">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2.重点单位新、改、扩建项目地下储罐储存有毒有害物质的，应当在项目投入生产或者使用之前，将地下储罐的信息报所在地设区的市级生态环境主管部门备案。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099" w:type="pct"/>
                  <w:tcBorders>
                    <w:top w:val="single" w:color="auto" w:sz="4" w:space="0"/>
                    <w:left w:val="single" w:color="auto" w:sz="4" w:space="0"/>
                    <w:bottom w:val="single" w:color="auto" w:sz="4" w:space="0"/>
                  </w:tcBorders>
                  <w:shd w:val="clear" w:color="auto" w:fill="auto"/>
                  <w:noWrap w:val="0"/>
                  <w:vAlign w:val="center"/>
                </w:tcPr>
                <w:p w14:paraId="3907C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本项目不属于土壤污染重点监管单位。</w:t>
                  </w:r>
                </w:p>
              </w:tc>
            </w:tr>
          </w:tbl>
          <w:p w14:paraId="4F7FF270">
            <w:pPr>
              <w:pStyle w:val="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3）</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一说明</w:t>
            </w:r>
            <w:r>
              <w:rPr>
                <w:rFonts w:hint="eastAsia" w:cs="Times New Roman"/>
                <w:color w:val="auto"/>
                <w:kern w:val="2"/>
                <w:sz w:val="24"/>
                <w:szCs w:val="24"/>
                <w:highlight w:val="none"/>
                <w:lang w:val="en-US" w:eastAsia="zh-CN" w:bidi="ar-SA"/>
              </w:rPr>
              <w:t>”</w:t>
            </w:r>
          </w:p>
          <w:p w14:paraId="15E403DE">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由上述分析可知，本项目的建设符合</w:t>
            </w:r>
            <w:r>
              <w:rPr>
                <w:rFonts w:hint="default" w:ascii="Times New Roman" w:hAnsi="Times New Roman" w:cs="Times New Roman"/>
                <w:color w:val="auto"/>
                <w:sz w:val="24"/>
              </w:rPr>
              <w:t>《鸡西市生态环境准入清单》（2023年版）</w:t>
            </w:r>
            <w:r>
              <w:rPr>
                <w:rFonts w:hint="default" w:ascii="Times New Roman" w:hAnsi="Times New Roman" w:cs="Times New Roman"/>
                <w:color w:val="auto"/>
                <w:sz w:val="24"/>
                <w:lang w:eastAsia="zh-CN"/>
              </w:rPr>
              <w:t>和</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鸡西市富金煤炭销售有限公司</w:t>
            </w:r>
            <w:r>
              <w:rPr>
                <w:rFonts w:hint="default" w:ascii="Times New Roman" w:hAnsi="Times New Roman" w:cs="Times New Roman"/>
                <w:color w:val="auto"/>
                <w:kern w:val="2"/>
                <w:sz w:val="24"/>
                <w:szCs w:val="24"/>
                <w:highlight w:val="none"/>
                <w:lang w:val="en-US" w:eastAsia="zh-CN" w:bidi="ar-SA"/>
              </w:rPr>
              <w:t>建设项目</w:t>
            </w:r>
            <w:r>
              <w:rPr>
                <w:rFonts w:hint="default" w:ascii="Times New Roman" w:hAnsi="Times New Roman" w:eastAsia="宋体" w:cs="Times New Roman"/>
                <w:color w:val="auto"/>
                <w:kern w:val="2"/>
                <w:sz w:val="24"/>
                <w:szCs w:val="24"/>
                <w:highlight w:val="none"/>
                <w:lang w:val="en-US" w:eastAsia="zh-CN" w:bidi="ar-SA"/>
              </w:rPr>
              <w:t>生态环境分区管控分析报告》中的要求。</w:t>
            </w:r>
          </w:p>
          <w:p w14:paraId="7921DFF0">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根据黑龙江省生态环境分区管控数据应用平台查询的《生态环境分区管控分析报告》（分析报告见附件）：</w:t>
            </w:r>
          </w:p>
          <w:p w14:paraId="6E55E07A">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本项目与生态保护红线交集面积为0.00平方公里，占项目占地面积的0.00%。</w:t>
            </w:r>
          </w:p>
          <w:p w14:paraId="44C6DA80">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与自然保护地整合优化方案数据交集面积为0.00平方公里，占项目占地面积的0.00%。保护地涉及等类型。与自然保护地</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现状管理数据</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交集面积为0.00平方公里，占项目占地面积的0.00%。保护地涉及等类型。</w:t>
            </w:r>
          </w:p>
          <w:p w14:paraId="31366073">
            <w:pPr>
              <w:pStyle w:val="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与饮用水水源保护区交集面积为0.00平方公里，占项目占地面积的0.00%。与国家级水产种质资源保护区交集面积为0.00平方公里，占项目占地面积的0.00%。</w:t>
            </w:r>
          </w:p>
          <w:p w14:paraId="6EE3A27A">
            <w:pPr>
              <w:pStyle w:val="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与环境管控单元优先保护单元交集面积为0.00平方公里，占项目占地面积的0.00%；与重点管控单元交集面积为</w:t>
            </w:r>
            <w:r>
              <w:rPr>
                <w:rFonts w:hint="eastAsia" w:cs="Times New Roman"/>
                <w:color w:val="auto"/>
                <w:kern w:val="2"/>
                <w:sz w:val="24"/>
                <w:szCs w:val="24"/>
                <w:highlight w:val="none"/>
                <w:lang w:val="en-US" w:eastAsia="zh-CN" w:bidi="ar-SA"/>
              </w:rPr>
              <w:t>小于</w:t>
            </w:r>
            <w:r>
              <w:rPr>
                <w:rFonts w:hint="default" w:ascii="Times New Roman" w:hAnsi="Times New Roman" w:eastAsia="宋体" w:cs="Times New Roman"/>
                <w:color w:val="auto"/>
                <w:kern w:val="2"/>
                <w:sz w:val="24"/>
                <w:szCs w:val="24"/>
                <w:highlight w:val="none"/>
                <w:lang w:val="en-US" w:eastAsia="zh-CN" w:bidi="ar-SA"/>
              </w:rPr>
              <w:t>0.</w:t>
            </w:r>
            <w:r>
              <w:rPr>
                <w:rFonts w:hint="default" w:ascii="Times New Roman" w:hAnsi="Times New Roman" w:cs="Times New Roman"/>
                <w:color w:val="auto"/>
                <w:kern w:val="2"/>
                <w:sz w:val="24"/>
                <w:szCs w:val="24"/>
                <w:highlight w:val="none"/>
                <w:lang w:val="en-US" w:eastAsia="zh-CN" w:bidi="ar-SA"/>
              </w:rPr>
              <w:t>0</w:t>
            </w:r>
            <w:r>
              <w:rPr>
                <w:rFonts w:hint="eastAsia"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平方公里，占项目占地面积的100.00%；一般管控单元交集面积为0.00平方公里，占项目占地面积的0.00%。</w:t>
            </w:r>
          </w:p>
          <w:p w14:paraId="30BB1DE7">
            <w:pPr>
              <w:pStyle w:val="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与地下水环境优先保护区交集面积为0.00平方公里，占项目占地面积的0.00%；与地下水环境重点管控区交集面积为0.00平方公里，占项目占地面积的0.00%，与地下水环境一般管控区交集面积为0.</w:t>
            </w:r>
            <w:r>
              <w:rPr>
                <w:rFonts w:hint="default" w:ascii="Times New Roman" w:hAnsi="Times New Roman" w:cs="Times New Roman"/>
                <w:color w:val="auto"/>
                <w:kern w:val="2"/>
                <w:sz w:val="24"/>
                <w:szCs w:val="24"/>
                <w:highlight w:val="none"/>
                <w:lang w:val="en-US" w:eastAsia="zh-CN" w:bidi="ar-SA"/>
              </w:rPr>
              <w:t>02</w:t>
            </w:r>
            <w:r>
              <w:rPr>
                <w:rFonts w:hint="default" w:ascii="Times New Roman" w:hAnsi="Times New Roman" w:eastAsia="宋体" w:cs="Times New Roman"/>
                <w:color w:val="auto"/>
                <w:kern w:val="2"/>
                <w:sz w:val="24"/>
                <w:szCs w:val="24"/>
                <w:highlight w:val="none"/>
                <w:lang w:val="en-US" w:eastAsia="zh-CN" w:bidi="ar-SA"/>
              </w:rPr>
              <w:t>平方公里，占项目占地面积的100.00%。</w:t>
            </w:r>
          </w:p>
          <w:p w14:paraId="5C155522">
            <w:pPr>
              <w:spacing w:line="360" w:lineRule="auto"/>
              <w:jc w:val="left"/>
              <w:rPr>
                <w:rFonts w:hint="default" w:ascii="Times New Roman" w:hAnsi="Times New Roman" w:cs="Times New Roman"/>
                <w:b/>
                <w:color w:val="auto"/>
                <w:sz w:val="24"/>
                <w:highlight w:val="none"/>
                <w:lang w:val="en-US"/>
              </w:rPr>
            </w:pPr>
            <w:r>
              <w:rPr>
                <w:rFonts w:hint="default" w:ascii="Times New Roman" w:hAnsi="Times New Roman" w:cs="Times New Roman"/>
                <w:b/>
                <w:color w:val="auto"/>
                <w:sz w:val="24"/>
                <w:highlight w:val="none"/>
                <w:lang w:val="en-US" w:eastAsia="zh-CN"/>
              </w:rPr>
              <w:t>5</w:t>
            </w:r>
            <w:r>
              <w:rPr>
                <w:rFonts w:hint="default" w:ascii="Times New Roman" w:hAnsi="Times New Roman" w:cs="Times New Roman"/>
                <w:b/>
                <w:color w:val="auto"/>
                <w:sz w:val="24"/>
                <w:highlight w:val="none"/>
              </w:rPr>
              <w:t>、</w:t>
            </w:r>
            <w:r>
              <w:rPr>
                <w:rFonts w:hint="default" w:ascii="Times New Roman" w:hAnsi="Times New Roman" w:cs="Times New Roman"/>
                <w:b/>
                <w:color w:val="auto"/>
                <w:sz w:val="24"/>
                <w:highlight w:val="none"/>
                <w:lang w:val="en-US" w:eastAsia="zh-CN"/>
              </w:rPr>
              <w:t>与</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鸡西市洗煤厂、储煤厂排查整治工作方案</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lang w:val="en-US" w:eastAsia="zh-CN"/>
              </w:rPr>
              <w:t>鸡西市洗煤厂、储煤场环境综合整治验收标准</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lang w:val="en-US" w:eastAsia="zh-CN"/>
              </w:rPr>
              <w:t>的符合性分析</w:t>
            </w:r>
          </w:p>
          <w:p w14:paraId="3DDB03D1">
            <w:pPr>
              <w:pStyle w:val="31"/>
              <w:spacing w:before="0" w:beforeLines="0" w:after="0" w:afterLines="0" w:line="360" w:lineRule="auto"/>
              <w:ind w:firstLine="480"/>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2023年6月，鸡西市生态环境保护综合执法局发布了《鸡西市洗煤厂、储煤厂排查整治工作方案》及鸡西市生态环境保护委员会办公室发布了《鸡西市洗煤厂、储煤场环境综合整治验收标准》，本项目与《鸡西市洗煤厂、储煤厂排查整治工作方案》及《鸡西市洗煤厂、储煤场环境综合整治验收标准》符合性分析详见下表。</w:t>
            </w:r>
          </w:p>
          <w:p w14:paraId="0DBE3B09">
            <w:pPr>
              <w:pStyle w:val="31"/>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480"/>
              <w:textAlignment w:val="baseline"/>
              <w:rPr>
                <w:rFonts w:hint="default" w:ascii="Times New Roman" w:hAnsi="Times New Roman" w:cs="Times New Roman"/>
                <w:color w:val="auto"/>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表1-</w:t>
            </w:r>
            <w:r>
              <w:rPr>
                <w:rFonts w:hint="default" w:ascii="Times New Roman" w:hAnsi="Times New Roman" w:cs="Times New Roman"/>
                <w:b/>
                <w:bCs/>
                <w:color w:val="auto"/>
                <w:kern w:val="2"/>
                <w:sz w:val="24"/>
                <w:szCs w:val="24"/>
                <w:highlight w:val="none"/>
                <w:lang w:val="en-US" w:eastAsia="zh-CN" w:bidi="ar-SA"/>
              </w:rPr>
              <w:t>4</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鸡西市洗煤厂、储煤厂排查整治工作方案</w:t>
            </w:r>
            <w:r>
              <w:rPr>
                <w:rFonts w:hint="default" w:ascii="Times New Roman" w:hAnsi="Times New Roman" w:cs="Times New Roman"/>
                <w:b/>
                <w:color w:val="auto"/>
                <w:sz w:val="24"/>
                <w:highlight w:val="none"/>
                <w:lang w:eastAsia="zh-CN"/>
              </w:rPr>
              <w:t>》《</w:t>
            </w:r>
            <w:r>
              <w:rPr>
                <w:rFonts w:hint="default" w:ascii="Times New Roman" w:hAnsi="Times New Roman" w:eastAsia="宋体" w:cs="Times New Roman"/>
                <w:b/>
                <w:bCs/>
                <w:color w:val="auto"/>
                <w:kern w:val="2"/>
                <w:sz w:val="24"/>
                <w:szCs w:val="24"/>
                <w:highlight w:val="none"/>
                <w:lang w:val="en-US" w:eastAsia="zh-CN" w:bidi="ar-SA"/>
              </w:rPr>
              <w:t>鸡西市洗煤厂、储煤场环境综合整治</w:t>
            </w:r>
            <w:r>
              <w:rPr>
                <w:rFonts w:hint="default" w:ascii="Times New Roman" w:hAnsi="Times New Roman" w:cs="Times New Roman"/>
                <w:b/>
                <w:bCs/>
                <w:color w:val="auto"/>
                <w:kern w:val="2"/>
                <w:sz w:val="24"/>
                <w:szCs w:val="24"/>
                <w:highlight w:val="none"/>
                <w:lang w:val="en-US" w:eastAsia="zh-CN" w:bidi="ar-SA"/>
              </w:rPr>
              <w:t>验收</w:t>
            </w:r>
            <w:r>
              <w:rPr>
                <w:rFonts w:hint="default" w:ascii="Times New Roman" w:hAnsi="Times New Roman" w:eastAsia="宋体" w:cs="Times New Roman"/>
                <w:b/>
                <w:bCs/>
                <w:color w:val="auto"/>
                <w:kern w:val="2"/>
                <w:sz w:val="24"/>
                <w:szCs w:val="24"/>
                <w:highlight w:val="none"/>
                <w:lang w:val="en-US" w:eastAsia="zh-CN" w:bidi="ar-SA"/>
              </w:rPr>
              <w:t>标准</w:t>
            </w:r>
            <w:r>
              <w:rPr>
                <w:rFonts w:hint="default" w:ascii="Times New Roman" w:hAnsi="Times New Roman" w:cs="Times New Roman"/>
                <w:b/>
                <w:bCs/>
                <w:color w:val="auto"/>
                <w:kern w:val="2"/>
                <w:sz w:val="24"/>
                <w:szCs w:val="24"/>
                <w:highlight w:val="none"/>
                <w:lang w:val="en-US" w:eastAsia="zh-CN" w:bidi="ar-SA"/>
              </w:rPr>
              <w:t>》</w:t>
            </w:r>
            <w:r>
              <w:rPr>
                <w:rFonts w:hint="default" w:ascii="Times New Roman" w:hAnsi="Times New Roman" w:eastAsia="宋体" w:cs="Times New Roman"/>
                <w:b/>
                <w:bCs/>
                <w:color w:val="auto"/>
                <w:kern w:val="2"/>
                <w:sz w:val="24"/>
                <w:szCs w:val="24"/>
                <w:highlight w:val="none"/>
                <w:lang w:val="en-US" w:eastAsia="zh-CN" w:bidi="ar-SA"/>
              </w:rPr>
              <w:t>符合性分析</w:t>
            </w:r>
          </w:p>
          <w:tbl>
            <w:tblPr>
              <w:tblStyle w:val="2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3"/>
              <w:gridCol w:w="850"/>
              <w:gridCol w:w="2917"/>
              <w:gridCol w:w="1747"/>
              <w:gridCol w:w="427"/>
            </w:tblGrid>
            <w:tr w14:paraId="042A8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noWrap w:val="0"/>
                  <w:vAlign w:val="center"/>
                </w:tcPr>
                <w:p w14:paraId="28D1E8B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文号</w:t>
                  </w:r>
                </w:p>
              </w:tc>
              <w:tc>
                <w:tcPr>
                  <w:tcW w:w="2691" w:type="pct"/>
                  <w:gridSpan w:val="2"/>
                  <w:noWrap w:val="0"/>
                  <w:vAlign w:val="center"/>
                </w:tcPr>
                <w:p w14:paraId="7A50B8B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文件要求</w:t>
                  </w:r>
                </w:p>
              </w:tc>
              <w:tc>
                <w:tcPr>
                  <w:tcW w:w="1248" w:type="pct"/>
                  <w:noWrap w:val="0"/>
                  <w:vAlign w:val="center"/>
                </w:tcPr>
                <w:p w14:paraId="4804D42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本项目情况</w:t>
                  </w:r>
                </w:p>
              </w:tc>
              <w:tc>
                <w:tcPr>
                  <w:tcW w:w="305" w:type="pct"/>
                  <w:noWrap w:val="0"/>
                  <w:vAlign w:val="center"/>
                </w:tcPr>
                <w:p w14:paraId="3CF0CEE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符合性</w:t>
                  </w:r>
                </w:p>
              </w:tc>
            </w:tr>
            <w:tr w14:paraId="6AD27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restart"/>
                  <w:noWrap w:val="0"/>
                  <w:vAlign w:val="center"/>
                </w:tcPr>
                <w:p w14:paraId="2122DB5E">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鸡西市洗煤厂、储煤厂排查整治工作方案（</w:t>
                  </w:r>
                  <w:r>
                    <w:rPr>
                      <w:rFonts w:hint="default" w:ascii="Times New Roman" w:hAnsi="Times New Roman" w:cs="Times New Roman"/>
                      <w:color w:val="auto"/>
                      <w:szCs w:val="21"/>
                      <w:highlight w:val="none"/>
                      <w:lang w:val="en-US" w:eastAsia="zh-CN"/>
                    </w:rPr>
                    <w:t>鸡环执法</w:t>
                  </w:r>
                  <w:r>
                    <w:rPr>
                      <w:rFonts w:hint="default" w:ascii="Times New Roman" w:hAnsi="Times New Roman" w:cs="Times New Roman"/>
                      <w:color w:val="auto"/>
                      <w:szCs w:val="21"/>
                      <w:highlight w:val="none"/>
                    </w:rPr>
                    <w:t>〔20</w:t>
                  </w:r>
                  <w:r>
                    <w:rPr>
                      <w:rFonts w:hint="default" w:ascii="Times New Roman" w:hAnsi="Times New Roman" w:cs="Times New Roman"/>
                      <w:color w:val="auto"/>
                      <w:szCs w:val="21"/>
                      <w:highlight w:val="none"/>
                      <w:lang w:val="en-US" w:eastAsia="zh-CN"/>
                    </w:rPr>
                    <w:t>23</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7</w:t>
                  </w:r>
                  <w:r>
                    <w:rPr>
                      <w:rFonts w:hint="default" w:ascii="Times New Roman" w:hAnsi="Times New Roman" w:cs="Times New Roman"/>
                      <w:color w:val="auto"/>
                      <w:szCs w:val="21"/>
                      <w:highlight w:val="none"/>
                    </w:rPr>
                    <w:t>号）</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鸡西市洗煤厂、储煤场环境综合整治</w:t>
                  </w:r>
                  <w:r>
                    <w:rPr>
                      <w:rFonts w:hint="default" w:ascii="Times New Roman" w:hAnsi="Times New Roman" w:cs="Times New Roman"/>
                      <w:color w:val="auto"/>
                      <w:szCs w:val="21"/>
                      <w:highlight w:val="none"/>
                      <w:lang w:val="en-US" w:eastAsia="zh-CN"/>
                    </w:rPr>
                    <w:t>验收</w:t>
                  </w:r>
                  <w:r>
                    <w:rPr>
                      <w:rFonts w:hint="default" w:ascii="Times New Roman" w:hAnsi="Times New Roman" w:cs="Times New Roman"/>
                      <w:color w:val="auto"/>
                      <w:szCs w:val="21"/>
                      <w:highlight w:val="none"/>
                    </w:rPr>
                    <w:t>标准（</w:t>
                  </w:r>
                  <w:r>
                    <w:rPr>
                      <w:rFonts w:hint="default" w:ascii="Times New Roman" w:hAnsi="Times New Roman" w:cs="Times New Roman"/>
                      <w:color w:val="auto"/>
                      <w:szCs w:val="21"/>
                      <w:highlight w:val="none"/>
                      <w:lang w:val="en-US" w:eastAsia="zh-CN"/>
                    </w:rPr>
                    <w:t>鸡环保委办发</w:t>
                  </w:r>
                  <w:r>
                    <w:rPr>
                      <w:rFonts w:hint="default" w:ascii="Times New Roman" w:hAnsi="Times New Roman" w:cs="Times New Roman"/>
                      <w:color w:val="auto"/>
                      <w:szCs w:val="21"/>
                      <w:highlight w:val="none"/>
                    </w:rPr>
                    <w:t>〔20</w:t>
                  </w:r>
                  <w:r>
                    <w:rPr>
                      <w:rFonts w:hint="default" w:ascii="Times New Roman" w:hAnsi="Times New Roman" w:cs="Times New Roman"/>
                      <w:color w:val="auto"/>
                      <w:szCs w:val="21"/>
                      <w:highlight w:val="none"/>
                      <w:lang w:val="en-US" w:eastAsia="zh-CN"/>
                    </w:rPr>
                    <w:t>23</w:t>
                  </w:r>
                  <w:r>
                    <w:rPr>
                      <w:rFonts w:hint="default" w:ascii="Times New Roman" w:hAnsi="Times New Roman" w:cs="Times New Roman"/>
                      <w:color w:val="auto"/>
                      <w:szCs w:val="21"/>
                      <w:highlight w:val="none"/>
                    </w:rPr>
                    <w:t>〕1</w:t>
                  </w:r>
                  <w:r>
                    <w:rPr>
                      <w:rFonts w:hint="default" w:ascii="Times New Roman" w:hAnsi="Times New Roman" w:cs="Times New Roman"/>
                      <w:color w:val="auto"/>
                      <w:szCs w:val="21"/>
                      <w:highlight w:val="none"/>
                      <w:lang w:val="en-US" w:eastAsia="zh-CN"/>
                    </w:rPr>
                    <w:t>6</w:t>
                  </w:r>
                  <w:r>
                    <w:rPr>
                      <w:rFonts w:hint="default" w:ascii="Times New Roman" w:hAnsi="Times New Roman" w:cs="Times New Roman"/>
                      <w:color w:val="auto"/>
                      <w:szCs w:val="21"/>
                      <w:highlight w:val="none"/>
                    </w:rPr>
                    <w:t>号）</w:t>
                  </w:r>
                </w:p>
              </w:tc>
              <w:tc>
                <w:tcPr>
                  <w:tcW w:w="607" w:type="pct"/>
                  <w:vMerge w:val="restart"/>
                  <w:noWrap w:val="0"/>
                  <w:vAlign w:val="center"/>
                </w:tcPr>
                <w:p w14:paraId="185D91DC">
                  <w:pP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大气污染防治措施</w:t>
                  </w:r>
                </w:p>
              </w:tc>
              <w:tc>
                <w:tcPr>
                  <w:tcW w:w="2083" w:type="pct"/>
                  <w:noWrap w:val="0"/>
                  <w:vAlign w:val="center"/>
                </w:tcPr>
                <w:p w14:paraId="2BB6BF9B">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w:t>
                  </w:r>
                  <w:r>
                    <w:rPr>
                      <w:rFonts w:hint="eastAsia" w:cs="Times New Roman"/>
                      <w:color w:val="auto"/>
                      <w:szCs w:val="21"/>
                      <w:highlight w:val="none"/>
                      <w:lang w:eastAsia="zh-CN"/>
                    </w:rPr>
                    <w:t>煤场</w:t>
                  </w:r>
                  <w:r>
                    <w:rPr>
                      <w:rFonts w:hint="default" w:ascii="Times New Roman" w:hAnsi="Times New Roman" w:cs="Times New Roman"/>
                      <w:color w:val="auto"/>
                      <w:szCs w:val="21"/>
                      <w:highlight w:val="none"/>
                    </w:rPr>
                    <w:t>四周应当建设闭合的防风抑尘网。防风抑尘网高度不得低于物料堆高度，遇到高压线等高空障碍物可适当调整高度。储</w:t>
                  </w:r>
                  <w:r>
                    <w:rPr>
                      <w:rFonts w:hint="eastAsia" w:cs="Times New Roman"/>
                      <w:color w:val="auto"/>
                      <w:szCs w:val="21"/>
                      <w:highlight w:val="none"/>
                      <w:lang w:eastAsia="zh-CN"/>
                    </w:rPr>
                    <w:t>煤场</w:t>
                  </w:r>
                  <w:r>
                    <w:rPr>
                      <w:rFonts w:hint="default" w:ascii="Times New Roman" w:hAnsi="Times New Roman" w:cs="Times New Roman"/>
                      <w:color w:val="auto"/>
                      <w:szCs w:val="21"/>
                      <w:highlight w:val="none"/>
                    </w:rPr>
                    <w:t>堆存物应当使用绿网进行苫盖。</w:t>
                  </w:r>
                </w:p>
              </w:tc>
              <w:tc>
                <w:tcPr>
                  <w:tcW w:w="1248" w:type="pct"/>
                  <w:noWrap w:val="0"/>
                  <w:vAlign w:val="center"/>
                </w:tcPr>
                <w:p w14:paraId="4D31A03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要求储煤场四周建设闭环防风抑尘网，储煤场内储存煤炭使用绿网苫盖</w:t>
                  </w:r>
                </w:p>
              </w:tc>
              <w:tc>
                <w:tcPr>
                  <w:tcW w:w="305" w:type="pct"/>
                  <w:noWrap w:val="0"/>
                  <w:vAlign w:val="center"/>
                </w:tcPr>
                <w:p w14:paraId="3D758AD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36BC76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0323FDFE">
                  <w:pPr>
                    <w:jc w:val="center"/>
                    <w:rPr>
                      <w:rFonts w:hint="default" w:ascii="Times New Roman" w:hAnsi="Times New Roman" w:cs="Times New Roman"/>
                      <w:color w:val="auto"/>
                      <w:szCs w:val="21"/>
                      <w:highlight w:val="none"/>
                    </w:rPr>
                  </w:pPr>
                </w:p>
              </w:tc>
              <w:tc>
                <w:tcPr>
                  <w:tcW w:w="607" w:type="pct"/>
                  <w:vMerge w:val="continue"/>
                  <w:noWrap w:val="0"/>
                  <w:vAlign w:val="center"/>
                </w:tcPr>
                <w:p w14:paraId="143066B1">
                  <w:pPr>
                    <w:rPr>
                      <w:rFonts w:hint="default" w:ascii="Times New Roman" w:hAnsi="Times New Roman" w:cs="Times New Roman"/>
                      <w:color w:val="auto"/>
                      <w:szCs w:val="21"/>
                      <w:highlight w:val="none"/>
                    </w:rPr>
                  </w:pPr>
                </w:p>
              </w:tc>
              <w:tc>
                <w:tcPr>
                  <w:tcW w:w="2083" w:type="pct"/>
                  <w:noWrap w:val="0"/>
                  <w:vAlign w:val="center"/>
                </w:tcPr>
                <w:p w14:paraId="495C8606">
                  <w:pPr>
                    <w:rPr>
                      <w:rFonts w:hint="default" w:ascii="Times New Roman" w:hAnsi="Times New Roman" w:cs="Times New Roman"/>
                      <w:color w:val="auto"/>
                      <w:szCs w:val="21"/>
                      <w:highlight w:val="none"/>
                    </w:rPr>
                  </w:pPr>
                  <w:r>
                    <w:rPr>
                      <w:rFonts w:hint="eastAsia" w:cs="Times New Roman"/>
                      <w:color w:val="auto"/>
                      <w:szCs w:val="21"/>
                      <w:highlight w:val="none"/>
                      <w:lang w:eastAsia="zh-CN"/>
                    </w:rPr>
                    <w:t>储煤场</w:t>
                  </w:r>
                  <w:r>
                    <w:rPr>
                      <w:rFonts w:hint="default" w:ascii="Times New Roman" w:hAnsi="Times New Roman" w:cs="Times New Roman"/>
                      <w:color w:val="auto"/>
                      <w:szCs w:val="21"/>
                      <w:highlight w:val="none"/>
                    </w:rPr>
                    <w:t>在日常作业中应当采取喷淋、洒水等方式进行降尘，并且严禁在重污染天气期间、大风天气时生产作业，以避免造成扬尘污染</w:t>
                  </w:r>
                </w:p>
              </w:tc>
              <w:tc>
                <w:tcPr>
                  <w:tcW w:w="1248" w:type="pct"/>
                  <w:noWrap w:val="0"/>
                  <w:vAlign w:val="center"/>
                </w:tcPr>
                <w:p w14:paraId="2DD9B04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要求储煤场日常进行洒水降尘，禁止在</w:t>
                  </w:r>
                  <w:r>
                    <w:rPr>
                      <w:rFonts w:hint="default" w:ascii="Times New Roman" w:hAnsi="Times New Roman" w:cs="Times New Roman"/>
                      <w:color w:val="auto"/>
                      <w:szCs w:val="21"/>
                      <w:highlight w:val="none"/>
                    </w:rPr>
                    <w:t>重污染天气期间、大风天气</w:t>
                  </w:r>
                  <w:r>
                    <w:rPr>
                      <w:rFonts w:hint="default" w:ascii="Times New Roman" w:hAnsi="Times New Roman" w:cs="Times New Roman"/>
                      <w:color w:val="auto"/>
                      <w:szCs w:val="21"/>
                      <w:highlight w:val="none"/>
                      <w:lang w:eastAsia="zh-CN"/>
                    </w:rPr>
                    <w:t>时</w:t>
                  </w:r>
                  <w:r>
                    <w:rPr>
                      <w:rFonts w:hint="default" w:ascii="Times New Roman" w:hAnsi="Times New Roman" w:cs="Times New Roman"/>
                      <w:color w:val="auto"/>
                      <w:szCs w:val="21"/>
                      <w:highlight w:val="none"/>
                      <w:lang w:val="en-US" w:eastAsia="zh-CN"/>
                    </w:rPr>
                    <w:t>生产</w:t>
                  </w:r>
                </w:p>
              </w:tc>
              <w:tc>
                <w:tcPr>
                  <w:tcW w:w="305" w:type="pct"/>
                  <w:noWrap w:val="0"/>
                  <w:vAlign w:val="center"/>
                </w:tcPr>
                <w:p w14:paraId="21E1591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14A3C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5361A21A">
                  <w:pPr>
                    <w:jc w:val="center"/>
                    <w:rPr>
                      <w:rFonts w:hint="default" w:ascii="Times New Roman" w:hAnsi="Times New Roman" w:cs="Times New Roman"/>
                      <w:color w:val="auto"/>
                      <w:szCs w:val="21"/>
                      <w:highlight w:val="none"/>
                    </w:rPr>
                  </w:pPr>
                </w:p>
              </w:tc>
              <w:tc>
                <w:tcPr>
                  <w:tcW w:w="607" w:type="pct"/>
                  <w:vMerge w:val="continue"/>
                  <w:noWrap w:val="0"/>
                  <w:vAlign w:val="center"/>
                </w:tcPr>
                <w:p w14:paraId="589392B3">
                  <w:pPr>
                    <w:rPr>
                      <w:rFonts w:hint="default" w:ascii="Times New Roman" w:hAnsi="Times New Roman" w:cs="Times New Roman"/>
                      <w:color w:val="auto"/>
                      <w:szCs w:val="21"/>
                      <w:highlight w:val="none"/>
                    </w:rPr>
                  </w:pPr>
                </w:p>
              </w:tc>
              <w:tc>
                <w:tcPr>
                  <w:tcW w:w="2083" w:type="pct"/>
                  <w:noWrap w:val="0"/>
                  <w:vAlign w:val="center"/>
                </w:tcPr>
                <w:p w14:paraId="4D3C257C">
                  <w:pPr>
                    <w:rPr>
                      <w:rFonts w:hint="default" w:ascii="Times New Roman" w:hAnsi="Times New Roman" w:cs="Times New Roman"/>
                      <w:color w:val="auto"/>
                      <w:szCs w:val="21"/>
                      <w:highlight w:val="none"/>
                    </w:rPr>
                  </w:pPr>
                  <w:r>
                    <w:rPr>
                      <w:rFonts w:hint="eastAsia" w:cs="Times New Roman"/>
                      <w:color w:val="auto"/>
                      <w:szCs w:val="21"/>
                      <w:highlight w:val="none"/>
                      <w:lang w:eastAsia="zh-CN"/>
                    </w:rPr>
                    <w:t>储煤场</w:t>
                  </w:r>
                  <w:r>
                    <w:rPr>
                      <w:rFonts w:hint="default" w:ascii="Times New Roman" w:hAnsi="Times New Roman" w:cs="Times New Roman"/>
                      <w:color w:val="auto"/>
                      <w:szCs w:val="21"/>
                      <w:highlight w:val="none"/>
                    </w:rPr>
                    <w:t>使用的运输车辆应当按照当地城市执法部门的要求进行全面苫盖，并确保车辆清洁</w:t>
                  </w:r>
                </w:p>
              </w:tc>
              <w:tc>
                <w:tcPr>
                  <w:tcW w:w="1248" w:type="pct"/>
                  <w:noWrap w:val="0"/>
                  <w:vAlign w:val="center"/>
                </w:tcPr>
                <w:p w14:paraId="10ED283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进入储煤场运输车辆要求苫盖，定期去外部指定洗车点清洗车辆</w:t>
                  </w:r>
                </w:p>
              </w:tc>
              <w:tc>
                <w:tcPr>
                  <w:tcW w:w="305" w:type="pct"/>
                  <w:noWrap w:val="0"/>
                  <w:vAlign w:val="center"/>
                </w:tcPr>
                <w:p w14:paraId="28E778B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7C51A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059D1A25">
                  <w:pPr>
                    <w:jc w:val="center"/>
                    <w:rPr>
                      <w:rFonts w:hint="default" w:ascii="Times New Roman" w:hAnsi="Times New Roman" w:cs="Times New Roman"/>
                      <w:color w:val="auto"/>
                      <w:szCs w:val="21"/>
                      <w:highlight w:val="none"/>
                    </w:rPr>
                  </w:pPr>
                </w:p>
              </w:tc>
              <w:tc>
                <w:tcPr>
                  <w:tcW w:w="607" w:type="pct"/>
                  <w:vMerge w:val="continue"/>
                  <w:noWrap w:val="0"/>
                  <w:vAlign w:val="center"/>
                </w:tcPr>
                <w:p w14:paraId="7F2D5C1C">
                  <w:pPr>
                    <w:rPr>
                      <w:rFonts w:hint="default" w:ascii="Times New Roman" w:hAnsi="Times New Roman" w:cs="Times New Roman"/>
                      <w:color w:val="auto"/>
                      <w:szCs w:val="21"/>
                      <w:highlight w:val="none"/>
                    </w:rPr>
                  </w:pPr>
                </w:p>
              </w:tc>
              <w:tc>
                <w:tcPr>
                  <w:tcW w:w="2083" w:type="pct"/>
                  <w:noWrap w:val="0"/>
                  <w:vAlign w:val="center"/>
                </w:tcPr>
                <w:p w14:paraId="0D649F96">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储煤厂原则上不得使用燃煤锅炉，应当使用电、天然气等清洁能源取暖。若因条件限制使用燃煤、生物质锅炉的应当配套建设高效除尘设施，并定期检测</w:t>
                  </w:r>
                </w:p>
              </w:tc>
              <w:tc>
                <w:tcPr>
                  <w:tcW w:w="1248" w:type="pct"/>
                  <w:noWrap w:val="0"/>
                  <w:vAlign w:val="center"/>
                </w:tcPr>
                <w:p w14:paraId="4B22BA1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冬季取暖采用电采暖</w:t>
                  </w:r>
                </w:p>
              </w:tc>
              <w:tc>
                <w:tcPr>
                  <w:tcW w:w="305" w:type="pct"/>
                  <w:noWrap w:val="0"/>
                  <w:vAlign w:val="center"/>
                </w:tcPr>
                <w:p w14:paraId="76F3A57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35F497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3E50715A">
                  <w:pPr>
                    <w:jc w:val="center"/>
                    <w:rPr>
                      <w:rFonts w:hint="default" w:ascii="Times New Roman" w:hAnsi="Times New Roman" w:cs="Times New Roman"/>
                      <w:color w:val="auto"/>
                      <w:szCs w:val="21"/>
                      <w:highlight w:val="none"/>
                    </w:rPr>
                  </w:pPr>
                </w:p>
              </w:tc>
              <w:tc>
                <w:tcPr>
                  <w:tcW w:w="607" w:type="pct"/>
                  <w:vMerge w:val="continue"/>
                  <w:noWrap w:val="0"/>
                  <w:vAlign w:val="center"/>
                </w:tcPr>
                <w:p w14:paraId="5F5F15C4">
                  <w:pPr>
                    <w:rPr>
                      <w:rFonts w:hint="default" w:ascii="Times New Roman" w:hAnsi="Times New Roman" w:cs="Times New Roman"/>
                      <w:color w:val="auto"/>
                      <w:szCs w:val="21"/>
                      <w:highlight w:val="none"/>
                    </w:rPr>
                  </w:pPr>
                </w:p>
              </w:tc>
              <w:tc>
                <w:tcPr>
                  <w:tcW w:w="2083" w:type="pct"/>
                  <w:noWrap w:val="0"/>
                  <w:vAlign w:val="center"/>
                </w:tcPr>
                <w:p w14:paraId="4B42BFEF">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如有破碎工序或皮带输送作业环节的,须在封闭空间内作业，防止扬尘污染</w:t>
                  </w:r>
                </w:p>
              </w:tc>
              <w:tc>
                <w:tcPr>
                  <w:tcW w:w="1248" w:type="pct"/>
                  <w:noWrap w:val="0"/>
                  <w:vAlign w:val="center"/>
                </w:tcPr>
                <w:p w14:paraId="301A89C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项目无</w:t>
                  </w:r>
                  <w:r>
                    <w:rPr>
                      <w:rFonts w:hint="default" w:ascii="Times New Roman" w:hAnsi="Times New Roman" w:cs="Times New Roman"/>
                      <w:color w:val="auto"/>
                      <w:szCs w:val="21"/>
                      <w:highlight w:val="none"/>
                    </w:rPr>
                    <w:t>破碎工序</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皮带输送作业环节</w:t>
                  </w:r>
                </w:p>
              </w:tc>
              <w:tc>
                <w:tcPr>
                  <w:tcW w:w="305" w:type="pct"/>
                  <w:noWrap w:val="0"/>
                  <w:vAlign w:val="center"/>
                </w:tcPr>
                <w:p w14:paraId="33C0C73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1CC4F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516FF623">
                  <w:pPr>
                    <w:jc w:val="center"/>
                    <w:rPr>
                      <w:rFonts w:hint="default" w:ascii="Times New Roman" w:hAnsi="Times New Roman" w:cs="Times New Roman"/>
                      <w:color w:val="auto"/>
                      <w:szCs w:val="21"/>
                      <w:highlight w:val="none"/>
                    </w:rPr>
                  </w:pPr>
                </w:p>
              </w:tc>
              <w:tc>
                <w:tcPr>
                  <w:tcW w:w="607" w:type="pct"/>
                  <w:vMerge w:val="restart"/>
                  <w:noWrap w:val="0"/>
                  <w:vAlign w:val="center"/>
                </w:tcPr>
                <w:p w14:paraId="052231AB">
                  <w:pP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水污染防治措施</w:t>
                  </w:r>
                </w:p>
              </w:tc>
              <w:tc>
                <w:tcPr>
                  <w:tcW w:w="2083" w:type="pct"/>
                  <w:noWrap w:val="0"/>
                  <w:vAlign w:val="center"/>
                </w:tcPr>
                <w:p w14:paraId="49F001FF">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储煤</w:t>
                  </w:r>
                  <w:r>
                    <w:rPr>
                      <w:rFonts w:hint="eastAsia" w:cs="Times New Roman"/>
                      <w:color w:val="auto"/>
                      <w:szCs w:val="21"/>
                      <w:highlight w:val="none"/>
                      <w:lang w:eastAsia="zh-CN"/>
                    </w:rPr>
                    <w:t>场所</w:t>
                  </w:r>
                  <w:r>
                    <w:rPr>
                      <w:rFonts w:hint="default" w:ascii="Times New Roman" w:hAnsi="Times New Roman" w:cs="Times New Roman"/>
                      <w:color w:val="auto"/>
                      <w:szCs w:val="21"/>
                      <w:highlight w:val="none"/>
                    </w:rPr>
                    <w:t>应当配套建设雨水导流槽、雨水收集池（雨水收集池应建在厂区地势最低处），收集的雨水沉淀后用于场区洒水降尘和绿化</w:t>
                  </w:r>
                </w:p>
              </w:tc>
              <w:tc>
                <w:tcPr>
                  <w:tcW w:w="1248" w:type="pct"/>
                  <w:noWrap w:val="0"/>
                  <w:vAlign w:val="center"/>
                </w:tcPr>
                <w:p w14:paraId="78B46CC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储煤场建设初期雨水收集池（厂区地势最低处）及导流沟，雨水沉淀后用于厂区洒水降尘</w:t>
                  </w:r>
                </w:p>
              </w:tc>
              <w:tc>
                <w:tcPr>
                  <w:tcW w:w="305" w:type="pct"/>
                  <w:noWrap w:val="0"/>
                  <w:vAlign w:val="center"/>
                </w:tcPr>
                <w:p w14:paraId="210D871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2C0AF1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3D2FC528">
                  <w:pPr>
                    <w:jc w:val="center"/>
                    <w:rPr>
                      <w:rFonts w:hint="default" w:ascii="Times New Roman" w:hAnsi="Times New Roman" w:cs="Times New Roman"/>
                      <w:color w:val="auto"/>
                      <w:szCs w:val="21"/>
                      <w:highlight w:val="none"/>
                    </w:rPr>
                  </w:pPr>
                </w:p>
              </w:tc>
              <w:tc>
                <w:tcPr>
                  <w:tcW w:w="607" w:type="pct"/>
                  <w:vMerge w:val="continue"/>
                  <w:noWrap w:val="0"/>
                  <w:vAlign w:val="center"/>
                </w:tcPr>
                <w:p w14:paraId="11735AC2">
                  <w:pPr>
                    <w:rPr>
                      <w:rFonts w:hint="default" w:ascii="Times New Roman" w:hAnsi="Times New Roman" w:cs="Times New Roman"/>
                      <w:color w:val="auto"/>
                      <w:szCs w:val="21"/>
                      <w:highlight w:val="none"/>
                    </w:rPr>
                  </w:pPr>
                </w:p>
              </w:tc>
              <w:tc>
                <w:tcPr>
                  <w:tcW w:w="2083" w:type="pct"/>
                  <w:noWrap w:val="0"/>
                  <w:vAlign w:val="center"/>
                </w:tcPr>
                <w:p w14:paraId="7697800B">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无法接入污水管网的储煤厂应当建设防渗旱厕或防渗化粪池，定期转运至当地生活污水处理厂进行处理或作为肥料进行综合利用，并建立管理台账</w:t>
                  </w:r>
                </w:p>
              </w:tc>
              <w:tc>
                <w:tcPr>
                  <w:tcW w:w="1248" w:type="pct"/>
                  <w:noWrap w:val="0"/>
                  <w:vAlign w:val="center"/>
                </w:tcPr>
                <w:p w14:paraId="7058DC9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储煤场设有防渗旱厕，定期外运堆肥</w:t>
                  </w:r>
                </w:p>
              </w:tc>
              <w:tc>
                <w:tcPr>
                  <w:tcW w:w="305" w:type="pct"/>
                  <w:noWrap w:val="0"/>
                  <w:vAlign w:val="center"/>
                </w:tcPr>
                <w:p w14:paraId="732247A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0035AC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460A9794">
                  <w:pPr>
                    <w:jc w:val="center"/>
                    <w:rPr>
                      <w:rFonts w:hint="default" w:ascii="Times New Roman" w:hAnsi="Times New Roman" w:cs="Times New Roman"/>
                      <w:color w:val="auto"/>
                      <w:szCs w:val="21"/>
                      <w:highlight w:val="none"/>
                    </w:rPr>
                  </w:pPr>
                </w:p>
              </w:tc>
              <w:tc>
                <w:tcPr>
                  <w:tcW w:w="607" w:type="pct"/>
                  <w:noWrap w:val="0"/>
                  <w:vAlign w:val="center"/>
                </w:tcPr>
                <w:p w14:paraId="6C0D1AAF">
                  <w:pP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土壤污染防治措施</w:t>
                  </w:r>
                </w:p>
              </w:tc>
              <w:tc>
                <w:tcPr>
                  <w:tcW w:w="2083" w:type="pct"/>
                  <w:noWrap w:val="0"/>
                  <w:vAlign w:val="center"/>
                </w:tcPr>
                <w:p w14:paraId="12FE318A">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储煤厂场区地面必须全部硬化，其中车辆进出口及主要运输通道必须使用水泥或柏油进行硬化</w:t>
                  </w:r>
                </w:p>
              </w:tc>
              <w:tc>
                <w:tcPr>
                  <w:tcW w:w="1248" w:type="pct"/>
                  <w:noWrap w:val="0"/>
                  <w:vAlign w:val="center"/>
                </w:tcPr>
                <w:p w14:paraId="5275944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储煤场厂区地面硬化，车辆进出口及主要运输通道使用水泥硬化</w:t>
                  </w:r>
                </w:p>
              </w:tc>
              <w:tc>
                <w:tcPr>
                  <w:tcW w:w="305" w:type="pct"/>
                  <w:noWrap w:val="0"/>
                  <w:vAlign w:val="center"/>
                </w:tcPr>
                <w:p w14:paraId="25EB37C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5AD0B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2B542181">
                  <w:pPr>
                    <w:jc w:val="center"/>
                    <w:rPr>
                      <w:rFonts w:hint="default" w:ascii="Times New Roman" w:hAnsi="Times New Roman" w:cs="Times New Roman"/>
                      <w:color w:val="auto"/>
                      <w:szCs w:val="21"/>
                      <w:highlight w:val="none"/>
                    </w:rPr>
                  </w:pPr>
                </w:p>
              </w:tc>
              <w:tc>
                <w:tcPr>
                  <w:tcW w:w="607" w:type="pct"/>
                  <w:noWrap w:val="0"/>
                  <w:vAlign w:val="center"/>
                </w:tcPr>
                <w:p w14:paraId="0B45C763">
                  <w:pP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噪声污染防治措施</w:t>
                  </w:r>
                </w:p>
              </w:tc>
              <w:tc>
                <w:tcPr>
                  <w:tcW w:w="2083" w:type="pct"/>
                  <w:noWrap w:val="0"/>
                  <w:vAlign w:val="center"/>
                </w:tcPr>
                <w:p w14:paraId="2F755B0C">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储煤厂应当选取低噪声的设备、设施，并严格遵守《中华人民共和国噪声污染防治法》的相关规定，合理规划生产作业时限</w:t>
                  </w:r>
                </w:p>
              </w:tc>
              <w:tc>
                <w:tcPr>
                  <w:tcW w:w="1248" w:type="pct"/>
                  <w:noWrap w:val="0"/>
                  <w:vAlign w:val="center"/>
                </w:tcPr>
                <w:p w14:paraId="65B126A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项目选取低噪声设备，夜间不进行生产</w:t>
                  </w:r>
                  <w:r>
                    <w:rPr>
                      <w:rFonts w:hint="eastAsia" w:cs="Times New Roman"/>
                      <w:color w:val="auto"/>
                      <w:szCs w:val="21"/>
                      <w:highlight w:val="none"/>
                      <w:lang w:val="en-US" w:eastAsia="zh-CN"/>
                    </w:rPr>
                    <w:t>。</w:t>
                  </w:r>
                </w:p>
              </w:tc>
              <w:tc>
                <w:tcPr>
                  <w:tcW w:w="305" w:type="pct"/>
                  <w:noWrap w:val="0"/>
                  <w:vAlign w:val="center"/>
                </w:tcPr>
                <w:p w14:paraId="4E161E9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197000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vMerge w:val="continue"/>
                  <w:noWrap w:val="0"/>
                  <w:vAlign w:val="center"/>
                </w:tcPr>
                <w:p w14:paraId="41F69CB4">
                  <w:pPr>
                    <w:jc w:val="center"/>
                    <w:rPr>
                      <w:rFonts w:hint="default" w:ascii="Times New Roman" w:hAnsi="Times New Roman" w:cs="Times New Roman"/>
                      <w:color w:val="auto"/>
                      <w:szCs w:val="21"/>
                      <w:highlight w:val="none"/>
                    </w:rPr>
                  </w:pPr>
                </w:p>
              </w:tc>
              <w:tc>
                <w:tcPr>
                  <w:tcW w:w="607" w:type="pct"/>
                  <w:noWrap w:val="0"/>
                  <w:vAlign w:val="center"/>
                </w:tcPr>
                <w:p w14:paraId="7B90AB7C">
                  <w:pP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危险废物污染防治措施</w:t>
                  </w:r>
                </w:p>
              </w:tc>
              <w:tc>
                <w:tcPr>
                  <w:tcW w:w="2083" w:type="pct"/>
                  <w:noWrap w:val="0"/>
                  <w:vAlign w:val="center"/>
                </w:tcPr>
                <w:p w14:paraId="3881DA5D">
                  <w:pPr>
                    <w:rPr>
                      <w:rFonts w:hint="default" w:ascii="Times New Roman" w:hAnsi="Times New Roman" w:cs="Times New Roman"/>
                      <w:color w:val="auto"/>
                      <w:szCs w:val="21"/>
                      <w:highlight w:val="none"/>
                    </w:rPr>
                  </w:pPr>
                  <w:r>
                    <w:rPr>
                      <w:rFonts w:hint="eastAsia" w:cs="Times New Roman"/>
                      <w:color w:val="auto"/>
                      <w:szCs w:val="21"/>
                      <w:highlight w:val="none"/>
                      <w:lang w:eastAsia="zh-CN"/>
                    </w:rPr>
                    <w:t>储煤场</w:t>
                  </w:r>
                  <w:r>
                    <w:rPr>
                      <w:rFonts w:hint="default" w:ascii="Times New Roman" w:hAnsi="Times New Roman" w:cs="Times New Roman"/>
                      <w:color w:val="auto"/>
                      <w:szCs w:val="21"/>
                      <w:highlight w:val="none"/>
                    </w:rPr>
                    <w:t>应当建设危险废物贮存间，并按照《危险废物识别标志设置技术规范》设置危险废物标识，将产生的废机油等危险废物进行收集贮存，定期由有资质的处置单位转移、处置，执行危险废物转移联单管理制度并做好台账记录</w:t>
                  </w:r>
                </w:p>
              </w:tc>
              <w:tc>
                <w:tcPr>
                  <w:tcW w:w="1248" w:type="pct"/>
                  <w:noWrap w:val="0"/>
                  <w:vAlign w:val="center"/>
                </w:tcPr>
                <w:p w14:paraId="73E6A23A">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本项目车辆不在场内维修，无废机油产生。</w:t>
                  </w:r>
                </w:p>
              </w:tc>
              <w:tc>
                <w:tcPr>
                  <w:tcW w:w="305" w:type="pct"/>
                  <w:noWrap w:val="0"/>
                  <w:vAlign w:val="center"/>
                </w:tcPr>
                <w:p w14:paraId="234C5CB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r w14:paraId="1A79C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4" w:type="pct"/>
                  <w:noWrap w:val="0"/>
                  <w:vAlign w:val="center"/>
                </w:tcPr>
                <w:p w14:paraId="5F26943E">
                  <w:pPr>
                    <w:jc w:val="center"/>
                    <w:rPr>
                      <w:rFonts w:hint="default" w:ascii="Times New Roman" w:hAnsi="Times New Roman" w:cs="Times New Roman"/>
                      <w:color w:val="auto"/>
                      <w:szCs w:val="21"/>
                      <w:highlight w:val="none"/>
                    </w:rPr>
                  </w:pPr>
                </w:p>
              </w:tc>
              <w:tc>
                <w:tcPr>
                  <w:tcW w:w="607" w:type="pct"/>
                  <w:noWrap w:val="0"/>
                  <w:vAlign w:val="center"/>
                </w:tcPr>
                <w:p w14:paraId="71A0AAC5">
                  <w:pP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其他污染防治措施</w:t>
                  </w:r>
                </w:p>
              </w:tc>
              <w:tc>
                <w:tcPr>
                  <w:tcW w:w="2083" w:type="pct"/>
                  <w:noWrap w:val="0"/>
                  <w:vAlign w:val="center"/>
                </w:tcPr>
                <w:p w14:paraId="00F74841">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储煤厂应当定期对厂区及周边进行清理保洁，保持良好的环境卫生面貌，防止出现</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脏、乱、差</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现象。并设置生活垃圾收集箱，定期转运</w:t>
                  </w:r>
                </w:p>
              </w:tc>
              <w:tc>
                <w:tcPr>
                  <w:tcW w:w="1248" w:type="pct"/>
                  <w:noWrap w:val="0"/>
                  <w:vAlign w:val="center"/>
                </w:tcPr>
                <w:p w14:paraId="717DCA0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项目设置生活垃圾箱，定期转运，定期对厂区进行清理，</w:t>
                  </w:r>
                </w:p>
              </w:tc>
              <w:tc>
                <w:tcPr>
                  <w:tcW w:w="305" w:type="pct"/>
                  <w:noWrap w:val="0"/>
                  <w:vAlign w:val="center"/>
                </w:tcPr>
                <w:p w14:paraId="1B9692A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符合</w:t>
                  </w:r>
                </w:p>
              </w:tc>
            </w:tr>
          </w:tbl>
          <w:p w14:paraId="4215F098">
            <w:pPr>
              <w:pStyle w:val="31"/>
              <w:spacing w:before="0" w:beforeLines="0" w:after="0" w:afterLines="0" w:line="360" w:lineRule="auto"/>
              <w:ind w:firstLine="480"/>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综上，本项目符合《鸡西市洗煤厂、储煤厂排查整治工作方案》《鸡西市洗煤厂、储煤场环境综合整治验收标准》要求。</w:t>
            </w:r>
          </w:p>
          <w:p w14:paraId="53DC640E">
            <w:pPr>
              <w:spacing w:line="360" w:lineRule="auto"/>
              <w:jc w:val="left"/>
              <w:rPr>
                <w:rFonts w:hint="default" w:ascii="Times New Roman" w:hAnsi="Times New Roman"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6、与《黑龙江省人民政府关于印发黑龙江省大气污染防治行动计划实施细则的通知》（黑政发〔2014〕1号）“高污染燃料禁燃区”符合性分析</w:t>
            </w:r>
          </w:p>
          <w:p w14:paraId="69E91BC2">
            <w:pPr>
              <w:pStyle w:val="31"/>
              <w:spacing w:before="0" w:beforeLines="0" w:after="0" w:afterLines="0" w:line="360" w:lineRule="auto"/>
              <w:ind w:firstLine="480"/>
              <w:textAlignment w:val="baseline"/>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为进一步改善城市空气环境质量，保障人民群众身体健康，根据《中华人民共和国大气污染防治法》《黑龙江省人民政府关于印发黑龙江省大气污染防治行动计划实施细则的通知》（黑政发〔2014〕1号）要求，鸡</w:t>
            </w:r>
            <w:r>
              <w:rPr>
                <w:rFonts w:hint="default" w:ascii="Times New Roman" w:hAnsi="Times New Roman" w:eastAsia="宋体" w:cs="Times New Roman"/>
                <w:color w:val="auto"/>
                <w:highlight w:val="none"/>
                <w:lang w:val="en-US" w:eastAsia="zh-CN"/>
              </w:rPr>
              <w:t>西市在重点区域划定了高污染燃料禁燃区。燃区内也禁止销售、燃用高污染燃料；禁止新建、扩建燃用高污染燃料设施，已建成的应在政府规定期限内改用天然气、页岩气、液化石油气、电或者其他清洁能源。</w:t>
            </w:r>
          </w:p>
          <w:p w14:paraId="7A88B474">
            <w:pPr>
              <w:pStyle w:val="31"/>
              <w:spacing w:before="0" w:beforeLines="0" w:after="0" w:afterLines="0" w:line="360" w:lineRule="auto"/>
              <w:ind w:firstLine="480"/>
              <w:textAlignment w:val="baseline"/>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禁燃区的范围涉及北环中路（西）---东山街---兴国东路（蔬菜公司）---电工路---红星路---和平南大街---201国道（体育馆）---兴国西路头---北环中路（休闲广场东），形成的围合区域。</w:t>
            </w:r>
          </w:p>
          <w:p w14:paraId="10F1E570">
            <w:pPr>
              <w:pStyle w:val="31"/>
              <w:spacing w:before="0" w:beforeLines="0" w:after="0" w:afterLines="0" w:line="360" w:lineRule="auto"/>
              <w:ind w:firstLine="480"/>
              <w:textAlignment w:val="baseline"/>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本项目位于</w:t>
            </w:r>
            <w:r>
              <w:rPr>
                <w:rFonts w:hint="eastAsia" w:cs="Times New Roman"/>
                <w:color w:val="auto"/>
                <w:highlight w:val="none"/>
                <w:lang w:val="en-US" w:eastAsia="zh-CN"/>
              </w:rPr>
              <w:t>鸡西市城子河区正阳煤矿</w:t>
            </w:r>
            <w:r>
              <w:rPr>
                <w:rFonts w:hint="default" w:ascii="Times New Roman" w:hAnsi="Times New Roman" w:eastAsia="宋体" w:cs="Times New Roman"/>
                <w:color w:val="auto"/>
                <w:highlight w:val="none"/>
                <w:lang w:val="en-US" w:eastAsia="zh-CN"/>
              </w:rPr>
              <w:t>，不在鸡西市高污染燃料禁燃区范围划定范围内，项目不违背鸡西市高污染燃料禁燃区要求。</w:t>
            </w:r>
          </w:p>
          <w:p w14:paraId="5D9CCAB5">
            <w:pPr>
              <w:rPr>
                <w:rFonts w:hint="default" w:ascii="Times New Roman" w:hAnsi="Times New Roman" w:cs="Times New Roman"/>
                <w:color w:val="auto"/>
                <w:highlight w:val="none"/>
              </w:rPr>
            </w:pPr>
            <w:r>
              <w:rPr>
                <w:rFonts w:hint="default" w:ascii="Times New Roman" w:hAnsi="Times New Roman" w:cs="Times New Roman"/>
                <w:color w:val="auto"/>
              </w:rPr>
              <mc:AlternateContent>
                <mc:Choice Requires="wps">
                  <w:drawing>
                    <wp:anchor distT="0" distB="0" distL="114300" distR="114300" simplePos="0" relativeHeight="251672576" behindDoc="0" locked="0" layoutInCell="1" allowOverlap="1">
                      <wp:simplePos x="0" y="0"/>
                      <wp:positionH relativeFrom="column">
                        <wp:posOffset>2948940</wp:posOffset>
                      </wp:positionH>
                      <wp:positionV relativeFrom="paragraph">
                        <wp:posOffset>261620</wp:posOffset>
                      </wp:positionV>
                      <wp:extent cx="1102995" cy="386715"/>
                      <wp:effectExtent l="0" t="0" r="0" b="0"/>
                      <wp:wrapNone/>
                      <wp:docPr id="9" name="文本框 9"/>
                      <wp:cNvGraphicFramePr/>
                      <a:graphic xmlns:a="http://schemas.openxmlformats.org/drawingml/2006/main">
                        <a:graphicData uri="http://schemas.microsoft.com/office/word/2010/wordprocessingShape">
                          <wps:wsp>
                            <wps:cNvSpPr txBox="1"/>
                            <wps:spPr>
                              <a:xfrm>
                                <a:off x="0" y="0"/>
                                <a:ext cx="1102995" cy="386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9E8232">
                                  <w:pP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2.2pt;margin-top:20.6pt;height:30.45pt;width:86.85pt;z-index:251672576;mso-width-relative:page;mso-height-relative:page;" filled="f" stroked="f" coordsize="21600,21600" o:gfxdata="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qGPAv2wAAAAoBAAAPAAAAAAAAAAEAIAAAACIAAABk&#10;cnMvZG93bnJldi54bWxQSwECFAAUAAAACACHTuJATxOrDDwCAABmBAAADgAAAAAAAAABACAAAAAq&#10;AQAAZHJzL2Uyb0RvYy54bWxQSwUGAAAAAAYABgBZAQAA2AUAAAAA&#10;">
                      <v:fill on="f" focussize="0,0"/>
                      <v:stroke on="f" weight="0.5pt"/>
                      <v:imagedata o:title=""/>
                      <o:lock v:ext="edit" aspectratio="f"/>
                      <v:textbox>
                        <w:txbxContent>
                          <w:p w14:paraId="7D9E8232">
                            <w:pPr>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0768" behindDoc="0" locked="0" layoutInCell="1" allowOverlap="1">
                      <wp:simplePos x="0" y="0"/>
                      <wp:positionH relativeFrom="column">
                        <wp:posOffset>3131185</wp:posOffset>
                      </wp:positionH>
                      <wp:positionV relativeFrom="paragraph">
                        <wp:posOffset>443230</wp:posOffset>
                      </wp:positionV>
                      <wp:extent cx="102870" cy="231775"/>
                      <wp:effectExtent l="10795" t="2540" r="19685" b="13335"/>
                      <wp:wrapNone/>
                      <wp:docPr id="96" name="直接箭头连接符 96"/>
                      <wp:cNvGraphicFramePr/>
                      <a:graphic xmlns:a="http://schemas.openxmlformats.org/drawingml/2006/main">
                        <a:graphicData uri="http://schemas.microsoft.com/office/word/2010/wordprocessingShape">
                          <wps:wsp>
                            <wps:cNvCnPr/>
                            <wps:spPr>
                              <a:xfrm flipH="1">
                                <a:off x="0" y="0"/>
                                <a:ext cx="102870" cy="23177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46.55pt;margin-top:34.9pt;height:18.25pt;width:8.1pt;z-index:251680768;mso-width-relative:page;mso-height-relative:page;" filled="f" stroked="t" coordsize="21600,21600" o:gfxdata="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XDfgG2wAAAAoBAAAPAAAAAAAA&#10;AAEAIAAAACIAAABkcnMvZG93bnJldi54bWxQSwECFAAUAAAACACHTuJAQVN1dw8CAADvAwAADgAA&#10;AAAAAAABACAAAAAqAQAAZHJzL2Uyb0RvYy54bWxQSwUGAAAAAAYABgBZAQAAqwUAAAAA&#10;">
                      <v:fill on="f" focussize="0,0"/>
                      <v:stroke weight="1pt" color="#000000 [3213]" miterlimit="8" joinstyle="miter" endarrow="open"/>
                      <v:imagedata o:title=""/>
                      <o:lock v:ext="edit" aspectratio="f"/>
                    </v:shape>
                  </w:pict>
                </mc:Fallback>
              </mc:AlternateContent>
            </w:r>
            <w:r>
              <w:rPr>
                <w:rFonts w:hint="default" w:ascii="Times New Roman" w:hAnsi="Times New Roman" w:eastAsia="宋体" w:cs="Times New Roman"/>
                <w:b/>
                <w:bCs/>
                <w:color w:val="auto"/>
                <w:sz w:val="24"/>
                <w:highlight w:val="none"/>
                <w:lang w:eastAsia="zh-CN"/>
              </w:rPr>
              <w:drawing>
                <wp:anchor distT="0" distB="0" distL="114300" distR="114300" simplePos="0" relativeHeight="251673600" behindDoc="0" locked="0" layoutInCell="1" allowOverlap="1">
                  <wp:simplePos x="0" y="0"/>
                  <wp:positionH relativeFrom="column">
                    <wp:posOffset>3974465</wp:posOffset>
                  </wp:positionH>
                  <wp:positionV relativeFrom="paragraph">
                    <wp:posOffset>12065</wp:posOffset>
                  </wp:positionV>
                  <wp:extent cx="457200" cy="450850"/>
                  <wp:effectExtent l="0" t="0" r="0" b="6350"/>
                  <wp:wrapNone/>
                  <wp:docPr id="16" name="图片 16" descr="1719279096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719279096590(1)"/>
                          <pic:cNvPicPr>
                            <a:picLocks noChangeAspect="1"/>
                          </pic:cNvPicPr>
                        </pic:nvPicPr>
                        <pic:blipFill>
                          <a:blip r:embed="rId14"/>
                          <a:stretch>
                            <a:fillRect/>
                          </a:stretch>
                        </pic:blipFill>
                        <pic:spPr>
                          <a:xfrm>
                            <a:off x="0" y="0"/>
                            <a:ext cx="457200" cy="450850"/>
                          </a:xfrm>
                          <a:prstGeom prst="rect">
                            <a:avLst/>
                          </a:prstGeom>
                        </pic:spPr>
                      </pic:pic>
                    </a:graphicData>
                  </a:graphic>
                </wp:anchor>
              </w:drawing>
            </w:r>
            <w:r>
              <w:rPr>
                <w:color w:val="auto"/>
              </w:rPr>
              <w:drawing>
                <wp:inline distT="0" distB="0" distL="114300" distR="114300">
                  <wp:extent cx="4411980" cy="2271395"/>
                  <wp:effectExtent l="0" t="0" r="7620" b="1905"/>
                  <wp:docPr id="1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
                          <pic:cNvPicPr>
                            <a:picLocks noChangeAspect="1"/>
                          </pic:cNvPicPr>
                        </pic:nvPicPr>
                        <pic:blipFill>
                          <a:blip r:embed="rId15"/>
                          <a:stretch>
                            <a:fillRect/>
                          </a:stretch>
                        </pic:blipFill>
                        <pic:spPr>
                          <a:xfrm>
                            <a:off x="0" y="0"/>
                            <a:ext cx="4411980" cy="2271395"/>
                          </a:xfrm>
                          <a:prstGeom prst="rect">
                            <a:avLst/>
                          </a:prstGeom>
                          <a:noFill/>
                          <a:ln>
                            <a:noFill/>
                          </a:ln>
                        </pic:spPr>
                      </pic:pic>
                    </a:graphicData>
                  </a:graphic>
                </wp:inline>
              </w:drawing>
            </w:r>
          </w:p>
          <w:p w14:paraId="0AF7810E">
            <w:pPr>
              <w:adjustRightInd w:val="0"/>
              <w:snapToGrid w:val="0"/>
              <w:jc w:val="center"/>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4"/>
                <w:szCs w:val="24"/>
                <w:highlight w:val="none"/>
                <w:lang w:val="en-US" w:eastAsia="zh-CN" w:bidi="ar-SA"/>
              </w:rPr>
              <w:t>图1-</w:t>
            </w:r>
            <w:r>
              <w:rPr>
                <w:rFonts w:hint="default" w:ascii="Times New Roman" w:hAnsi="Times New Roman"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en-US" w:eastAsia="zh-CN" w:bidi="ar-SA"/>
              </w:rPr>
              <w:t xml:space="preserve"> 鸡西市高污染燃料禁燃区位置图</w:t>
            </w:r>
          </w:p>
          <w:p w14:paraId="149B1315">
            <w:pPr>
              <w:pStyle w:val="39"/>
              <w:spacing w:line="500" w:lineRule="exact"/>
              <w:ind w:firstLine="0" w:firstLineChars="0"/>
              <w:rPr>
                <w:rFonts w:hint="default" w:ascii="Times New Roman" w:hAnsi="Times New Roman" w:eastAsia="宋体" w:cs="Times New Roman"/>
                <w:b/>
                <w:bCs/>
                <w:color w:val="auto"/>
                <w:sz w:val="24"/>
                <w:highlight w:val="none"/>
                <w:lang w:eastAsia="zh-CN"/>
              </w:rPr>
            </w:pPr>
            <w:r>
              <w:rPr>
                <w:rFonts w:hint="default" w:ascii="Times New Roman" w:hAnsi="Times New Roman" w:cs="Times New Roman"/>
                <w:b/>
                <w:bCs/>
                <w:color w:val="auto"/>
                <w:sz w:val="24"/>
                <w:highlight w:val="none"/>
                <w:lang w:val="en-US" w:eastAsia="zh-CN"/>
              </w:rPr>
              <w:t>7、</w:t>
            </w:r>
            <w:r>
              <w:rPr>
                <w:rFonts w:hint="default" w:ascii="Times New Roman" w:hAnsi="Times New Roman" w:cs="Times New Roman"/>
                <w:b/>
                <w:bCs/>
                <w:color w:val="auto"/>
                <w:sz w:val="24"/>
                <w:highlight w:val="none"/>
              </w:rPr>
              <w:t>本项目与《黑龙江省大气污染防治条例》符合性</w:t>
            </w:r>
          </w:p>
          <w:p w14:paraId="5E82D453">
            <w:pPr>
              <w:pStyle w:val="39"/>
              <w:autoSpaceDE w:val="0"/>
              <w:autoSpaceDN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黑龙江省大气污染防治条例提出：</w:t>
            </w:r>
            <w:r>
              <w:rPr>
                <w:rFonts w:hint="default" w:ascii="Times New Roman" w:hAnsi="Times New Roman" w:cs="Times New Roman"/>
                <w:color w:val="auto"/>
                <w:sz w:val="24"/>
                <w:highlight w:val="none"/>
                <w:lang w:val="en-US" w:eastAsia="zh-CN"/>
              </w:rPr>
              <w:t>第五十六条</w:t>
            </w:r>
            <w:r>
              <w:rPr>
                <w:rFonts w:hint="default" w:ascii="Times New Roman" w:hAnsi="Times New Roman" w:cs="Times New Roman"/>
                <w:color w:val="auto"/>
                <w:sz w:val="24"/>
                <w:highlight w:val="none"/>
              </w:rPr>
              <w:t>运输煤炭、垃圾、渣土、砂石、土方、灰浆等散装、流体物料的车辆，应当采取密闭或者其他措施防止物料遗撒、泄漏，并按照规定的路线和时间行驶</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第</w:t>
            </w:r>
            <w:r>
              <w:rPr>
                <w:rFonts w:hint="default" w:ascii="Times New Roman" w:hAnsi="Times New Roman" w:cs="Times New Roman"/>
                <w:color w:val="auto"/>
                <w:sz w:val="24"/>
                <w:highlight w:val="none"/>
              </w:rPr>
              <w:t>五十八条企业应当按照设计和开发利用方案作业，设置废石、废渣、泥土等专门存放地，并采取围挡、硬化施工道路、洒水降尘、设置防风抑尘网或者防尘布等防尘、降尘措施。开采后应当及时进行生态修复，防治扬尘污染。</w:t>
            </w:r>
          </w:p>
          <w:p w14:paraId="6A532559">
            <w:pPr>
              <w:pStyle w:val="39"/>
              <w:autoSpaceDE w:val="0"/>
              <w:autoSpaceDN w:val="0"/>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为储煤场项目</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储煤场四周设有闭合防风抑尘网，储煤场内堆存煤炭使用绿网进行苫盖；定期对储煤区域进行洒水降尘，禁止在重污染天气、大风天气进行作业；煤场运输车辆进行全面苫盖</w:t>
            </w:r>
            <w:r>
              <w:rPr>
                <w:rFonts w:hint="default" w:ascii="Times New Roman" w:hAnsi="Times New Roman" w:cs="Times New Roman"/>
                <w:color w:val="auto"/>
                <w:sz w:val="24"/>
                <w:highlight w:val="none"/>
              </w:rPr>
              <w:t>。综上，本项目与《黑龙江省大气污染防治条例》是相符合的。</w:t>
            </w:r>
          </w:p>
          <w:p w14:paraId="743C8527">
            <w:pPr>
              <w:pStyle w:val="39"/>
              <w:keepNext w:val="0"/>
              <w:keepLines w:val="0"/>
              <w:pageBreakBefore w:val="0"/>
              <w:widowControl w:val="0"/>
              <w:kinsoku/>
              <w:wordWrap/>
              <w:overflowPunct/>
              <w:topLinePunct w:val="0"/>
              <w:autoSpaceDE w:val="0"/>
              <w:autoSpaceDN w:val="0"/>
              <w:bidi w:val="0"/>
              <w:adjustRightInd/>
              <w:snapToGrid/>
              <w:spacing w:line="360" w:lineRule="auto"/>
              <w:ind w:firstLine="0" w:firstLineChars="0"/>
              <w:textAlignment w:val="auto"/>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lang w:val="en-US" w:eastAsia="zh-CN"/>
              </w:rPr>
              <w:t>8</w:t>
            </w:r>
            <w:r>
              <w:rPr>
                <w:rFonts w:hint="default" w:ascii="Times New Roman" w:hAnsi="Times New Roman" w:cs="Times New Roman"/>
                <w:b/>
                <w:bCs/>
                <w:color w:val="auto"/>
                <w:sz w:val="24"/>
                <w:highlight w:val="none"/>
              </w:rPr>
              <w:t>、本项目与《鸡西市</w:t>
            </w:r>
            <w:r>
              <w:rPr>
                <w:rFonts w:hint="default"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rPr>
              <w:t>十四五</w:t>
            </w:r>
            <w:r>
              <w:rPr>
                <w:rFonts w:hint="default"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rPr>
              <w:t>生态环境保护规划》的符合性</w:t>
            </w:r>
          </w:p>
          <w:p w14:paraId="18C1EC44">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《鸡西市</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十四五</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生态环境保护规划》提出：推进扬尘精细化管控。全面推行绿色施工，严格落实施工工地扬尘管控责任，加强施工扬尘监管执法。推进低尘机械化湿式清扫作业，加大城市出入口、</w:t>
            </w:r>
            <w:r>
              <w:rPr>
                <w:rFonts w:hint="eastAsia" w:cs="Times New Roman"/>
                <w:color w:val="auto"/>
                <w:sz w:val="24"/>
                <w:highlight w:val="none"/>
                <w:lang w:eastAsia="zh-CN"/>
              </w:rPr>
              <w:t>城乡接合部</w:t>
            </w:r>
            <w:r>
              <w:rPr>
                <w:rFonts w:hint="default" w:ascii="Times New Roman" w:hAnsi="Times New Roman" w:cs="Times New Roman"/>
                <w:color w:val="auto"/>
                <w:sz w:val="24"/>
                <w:highlight w:val="none"/>
              </w:rPr>
              <w:t>等重要路段冲洗保洁力度，渣土车实施全密闭运输，强化绿化用地扬尘治理。城市裸露地面、粉粒类物料堆放以及大型煤炭物料堆场，全面完成抑尘设施建设和物料输送系统封闭改造，鼓励有条件的堆场实施全封闭改造。</w:t>
            </w:r>
          </w:p>
          <w:p w14:paraId="00AD0028">
            <w:pPr>
              <w:pStyle w:val="39"/>
              <w:keepNext w:val="0"/>
              <w:keepLines w:val="0"/>
              <w:pageBreakBefore w:val="0"/>
              <w:widowControl w:val="0"/>
              <w:kinsoku/>
              <w:wordWrap/>
              <w:overflowPunct/>
              <w:topLinePunct w:val="0"/>
              <w:autoSpaceDE w:val="0"/>
              <w:autoSpaceDN w:val="0"/>
              <w:bidi w:val="0"/>
              <w:adjustRightInd/>
              <w:snapToGrid/>
              <w:spacing w:line="360" w:lineRule="auto"/>
              <w:ind w:firstLine="48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为储煤场项目，项目内有</w:t>
            </w:r>
            <w:r>
              <w:rPr>
                <w:rFonts w:hint="default" w:ascii="Times New Roman" w:hAnsi="Times New Roman" w:cs="Times New Roman"/>
                <w:color w:val="auto"/>
                <w:sz w:val="24"/>
                <w:highlight w:val="none"/>
              </w:rPr>
              <w:t>大型煤炭物料堆场，</w:t>
            </w:r>
            <w:r>
              <w:rPr>
                <w:rFonts w:hint="default" w:ascii="Times New Roman" w:hAnsi="Times New Roman" w:cs="Times New Roman"/>
                <w:color w:val="auto"/>
                <w:sz w:val="24"/>
                <w:highlight w:val="none"/>
                <w:lang w:val="en-US" w:eastAsia="zh-CN"/>
              </w:rPr>
              <w:t>储煤场四周设有闭合防风抑尘网，储煤场内堆存煤炭使用绿网进行苫盖；定期对储煤区域进行洒水降尘，禁止在重污染天气、大风天气进行作业；煤场运输车辆进行全面苫盖，项目</w:t>
            </w:r>
            <w:r>
              <w:rPr>
                <w:rFonts w:hint="default" w:ascii="Times New Roman" w:hAnsi="Times New Roman" w:cs="Times New Roman"/>
                <w:color w:val="auto"/>
                <w:sz w:val="24"/>
                <w:highlight w:val="none"/>
              </w:rPr>
              <w:t>符合《鸡西市</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十四五</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生态环境保护规划》相关要求</w:t>
            </w:r>
            <w:r>
              <w:rPr>
                <w:rFonts w:hint="default" w:ascii="Times New Roman" w:hAnsi="Times New Roman" w:cs="Times New Roman"/>
                <w:color w:val="auto"/>
                <w:sz w:val="24"/>
                <w:highlight w:val="none"/>
                <w:lang w:eastAsia="zh-CN"/>
              </w:rPr>
              <w:t>。</w:t>
            </w:r>
          </w:p>
          <w:p w14:paraId="35C333FC">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9、与《黑龙江省空气质量持续改善行动计划实施方案》（黑政发〔2023〕19号）符合性分析</w:t>
            </w:r>
          </w:p>
          <w:p w14:paraId="5454E0EC">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80" w:firstLineChars="200"/>
              <w:textAlignment w:val="auto"/>
              <w:rPr>
                <w:rFonts w:hint="default"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lang w:val="en-US" w:eastAsia="zh-CN"/>
              </w:rPr>
              <w:t>《黑龙江省空气质量持续改善行动计划实施方案》（黑政发〔2023〕19号）中要求：（四）严格环境准入要求。新改扩建高耗能、高排放、低水平项目，要严格遵照产业规划和政策、生态环境分区管控、规划环评、项目环评、节能审查以及产能置换、总量控制、区域污染物削减、碳达峰等相关要求执行，原则上采用清洁运输方式。涉及产能置换的项目，被置换产能及其配套设施同步关停后，新建项目方能投产。坚决遏制</w:t>
            </w:r>
            <w:r>
              <w:rPr>
                <w:rFonts w:hint="eastAsia" w:cs="Times New Roman"/>
                <w:b w:val="0"/>
                <w:bCs w:val="0"/>
                <w:color w:val="auto"/>
                <w:sz w:val="24"/>
                <w:szCs w:val="24"/>
                <w:lang w:val="en-US" w:eastAsia="zh-CN"/>
              </w:rPr>
              <w:t>“</w:t>
            </w:r>
            <w:r>
              <w:rPr>
                <w:rFonts w:hint="default" w:ascii="Times New Roman" w:hAnsi="Times New Roman" w:cs="Times New Roman"/>
                <w:b w:val="0"/>
                <w:bCs w:val="0"/>
                <w:color w:val="auto"/>
                <w:sz w:val="24"/>
                <w:szCs w:val="24"/>
                <w:lang w:val="en-US" w:eastAsia="zh-CN"/>
              </w:rPr>
              <w:t>两高一低</w:t>
            </w:r>
            <w:r>
              <w:rPr>
                <w:rFonts w:hint="eastAsia" w:cs="Times New Roman"/>
                <w:b w:val="0"/>
                <w:bCs w:val="0"/>
                <w:color w:val="auto"/>
                <w:sz w:val="24"/>
                <w:szCs w:val="24"/>
                <w:lang w:val="en-US" w:eastAsia="zh-CN"/>
              </w:rPr>
              <w:t>”</w:t>
            </w:r>
            <w:r>
              <w:rPr>
                <w:rFonts w:hint="default" w:ascii="Times New Roman" w:hAnsi="Times New Roman" w:cs="Times New Roman"/>
                <w:b w:val="0"/>
                <w:bCs w:val="0"/>
                <w:color w:val="auto"/>
                <w:sz w:val="24"/>
                <w:szCs w:val="24"/>
                <w:lang w:val="en-US" w:eastAsia="zh-CN"/>
              </w:rPr>
              <w:t>项目盲目上马。　（五）加快重点行业落后产能淘汰退出。严格执行《产业结构调整指导目录》要求，加大退出淘汰类产能、工艺、装备，提高限制类产能、工艺、装备淘汰改造引导力度。（十九）深化扬尘污染综合治理。全面推行绿色施工，严</w:t>
            </w:r>
            <w:r>
              <w:rPr>
                <w:rFonts w:hint="eastAsia" w:ascii="宋体" w:hAnsi="宋体" w:eastAsia="宋体" w:cs="宋体"/>
                <w:b w:val="0"/>
                <w:bCs w:val="0"/>
                <w:color w:val="auto"/>
                <w:sz w:val="24"/>
                <w:szCs w:val="24"/>
                <w:lang w:val="en-US" w:eastAsia="zh-CN"/>
              </w:rPr>
              <w:t>格执行“六个百分之百”</w:t>
            </w:r>
            <w:r>
              <w:rPr>
                <w:rFonts w:hint="default" w:ascii="Times New Roman" w:hAnsi="Times New Roman" w:cs="Times New Roman"/>
                <w:b w:val="0"/>
                <w:bCs w:val="0"/>
                <w:color w:val="auto"/>
                <w:sz w:val="24"/>
                <w:szCs w:val="24"/>
                <w:lang w:val="en-US" w:eastAsia="zh-CN"/>
              </w:rPr>
              <w:t>，将防治扬尘污染费用纳入工程造价。到2025年，装配式建筑占新建建筑面积的比例达到30%；地级及以上城市建成区道路机械化清扫率达80%左右，县城达70%左右。对城市公共裸地进行排查建档并采取防尘措施。城市大型煤炭、矿石等干散货码头物料堆场基本完成抑尘设施建设和物料输送系统封闭改造。</w:t>
            </w:r>
          </w:p>
          <w:p w14:paraId="103D39B8">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szCs w:val="24"/>
                <w:highlight w:val="none"/>
                <w:lang w:val="en-US" w:eastAsia="zh-CN"/>
              </w:rPr>
              <w:t>本项目属于</w:t>
            </w:r>
            <w:r>
              <w:rPr>
                <w:rFonts w:hint="default" w:ascii="Times New Roman" w:hAnsi="Times New Roman" w:cs="Times New Roman"/>
                <w:color w:val="auto"/>
                <w:sz w:val="24"/>
                <w:szCs w:val="24"/>
                <w:highlight w:val="none"/>
              </w:rPr>
              <w:t>《产业结构调整指导目录（20</w:t>
            </w:r>
            <w:r>
              <w:rPr>
                <w:rFonts w:hint="default" w:ascii="Times New Roman" w:hAnsi="Times New Roman" w:cs="Times New Roman"/>
                <w:color w:val="auto"/>
                <w:sz w:val="24"/>
                <w:szCs w:val="24"/>
                <w:highlight w:val="none"/>
                <w:lang w:val="en-US" w:eastAsia="zh-CN"/>
              </w:rPr>
              <w:t>24</w:t>
            </w:r>
            <w:r>
              <w:rPr>
                <w:rFonts w:hint="default" w:ascii="Times New Roman" w:hAnsi="Times New Roman" w:cs="Times New Roman"/>
                <w:color w:val="auto"/>
                <w:sz w:val="24"/>
                <w:szCs w:val="24"/>
                <w:highlight w:val="none"/>
              </w:rPr>
              <w:t>年本</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中鼓励类项目，</w:t>
            </w:r>
            <w:r>
              <w:rPr>
                <w:rFonts w:hint="default" w:ascii="Times New Roman" w:hAnsi="Times New Roman" w:cs="Times New Roman"/>
                <w:color w:val="auto"/>
                <w:sz w:val="24"/>
                <w:highlight w:val="none"/>
                <w:lang w:val="en-US" w:eastAsia="zh-CN"/>
              </w:rPr>
              <w:t>项目内有</w:t>
            </w:r>
            <w:r>
              <w:rPr>
                <w:rFonts w:hint="default" w:ascii="Times New Roman" w:hAnsi="Times New Roman" w:cs="Times New Roman"/>
                <w:color w:val="auto"/>
                <w:sz w:val="24"/>
                <w:highlight w:val="none"/>
              </w:rPr>
              <w:t>大型煤炭物料堆场，</w:t>
            </w:r>
            <w:r>
              <w:rPr>
                <w:rFonts w:hint="default" w:ascii="Times New Roman" w:hAnsi="Times New Roman" w:cs="Times New Roman"/>
                <w:color w:val="auto"/>
                <w:sz w:val="24"/>
                <w:highlight w:val="none"/>
                <w:lang w:val="en-US" w:eastAsia="zh-CN"/>
              </w:rPr>
              <w:t>储煤场四周设有闭合防风抑尘网，储煤场内堆存煤炭使用绿网进行苫盖；定期对储煤区域进行洒水降尘，禁止在重污染天气、大风天气进行作业；煤场运输车辆进行全面苫盖，煤场抑尘措施齐全。项目</w:t>
            </w:r>
            <w:r>
              <w:rPr>
                <w:rFonts w:hint="default" w:ascii="Times New Roman" w:hAnsi="Times New Roman" w:cs="Times New Roman"/>
                <w:color w:val="auto"/>
                <w:sz w:val="24"/>
                <w:highlight w:val="none"/>
              </w:rPr>
              <w:t>符合《</w:t>
            </w:r>
            <w:r>
              <w:rPr>
                <w:rFonts w:hint="default" w:ascii="Times New Roman" w:hAnsi="Times New Roman" w:cs="Times New Roman"/>
                <w:color w:val="auto"/>
                <w:sz w:val="24"/>
                <w:highlight w:val="none"/>
                <w:lang w:val="en-US" w:eastAsia="zh-CN"/>
              </w:rPr>
              <w:t>黑龙江省空气质量持续改善行动计划实施方案</w:t>
            </w:r>
            <w:r>
              <w:rPr>
                <w:rFonts w:hint="default" w:ascii="Times New Roman" w:hAnsi="Times New Roman" w:cs="Times New Roman"/>
                <w:color w:val="auto"/>
                <w:sz w:val="24"/>
                <w:highlight w:val="none"/>
              </w:rPr>
              <w:t>》相关要求</w:t>
            </w:r>
            <w:r>
              <w:rPr>
                <w:rFonts w:hint="default" w:ascii="Times New Roman" w:hAnsi="Times New Roman" w:cs="Times New Roman"/>
                <w:color w:val="auto"/>
                <w:sz w:val="24"/>
                <w:highlight w:val="none"/>
                <w:lang w:eastAsia="zh-CN"/>
              </w:rPr>
              <w:t>。</w:t>
            </w:r>
          </w:p>
          <w:p w14:paraId="32DD98CD">
            <w:pPr>
              <w:pStyle w:val="19"/>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left="482" w:leftChars="0" w:right="0" w:rightChars="0" w:hanging="482" w:hangingChars="200"/>
              <w:jc w:val="left"/>
              <w:textAlignment w:val="auto"/>
              <w:rPr>
                <w:rFonts w:hint="default" w:ascii="Times New Roman" w:hAnsi="Times New Roman" w:cs="Times New Roman"/>
                <w:b/>
                <w:bCs/>
                <w:color w:val="auto"/>
                <w:sz w:val="24"/>
                <w:highlight w:val="none"/>
                <w:lang w:val="en-US" w:eastAsia="zh-CN"/>
              </w:rPr>
            </w:pPr>
            <w:r>
              <w:rPr>
                <w:rFonts w:hint="default" w:ascii="Times New Roman" w:hAnsi="Times New Roman" w:eastAsia="宋体" w:cs="Times New Roman"/>
                <w:b/>
                <w:bCs/>
                <w:color w:val="auto"/>
                <w:kern w:val="0"/>
                <w:sz w:val="24"/>
                <w:szCs w:val="20"/>
                <w:lang w:val="en-US" w:eastAsia="zh-CN" w:bidi="ar-SA"/>
              </w:rPr>
              <w:t>10、</w:t>
            </w:r>
            <w:r>
              <w:rPr>
                <w:rFonts w:hint="default" w:ascii="Times New Roman" w:hAnsi="Times New Roman" w:cs="Times New Roman"/>
                <w:b/>
                <w:bCs/>
                <w:color w:val="auto"/>
                <w:sz w:val="24"/>
                <w:highlight w:val="none"/>
                <w:lang w:val="en-US" w:eastAsia="zh-CN"/>
              </w:rPr>
              <w:t>与《环境空气细颗粒物污染综合防治技术政策》符合性分析</w:t>
            </w:r>
          </w:p>
          <w:p w14:paraId="66FF8159">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环境空气细颗粒物污染综合防治技术政策》中要求：（十一）应加强对各类污染源的监管，确保污染治理设施稳定运行，切实落实企业环保责任。鼓励采用低能耗、低污染的生产工艺，提高各个行业的清洁生产水平，降低污染物产生量。（二十二）扬尘污染源应以道路扬尘、施工扬尘、粉状物料贮存场扬尘、城市裸土起尘等为防治重点。应参照《防治城市扬尘污染技术规范》，开展城市扬尘综合整治，减少城市裸地面积，采取植树种草等措施提高绿化率，或适当采用地面硬化措施，遏止扬尘污染。（二十三）对各种施工工地、各种粉状物料贮存场、各种港口装卸码头等，应采取设置围挡墙、防尘网和喷洒抑尘剂等有效的防尘、抑尘措施，防止颗粒物逸散；设置车辆清洗装置，保持上路行驶车辆的清洁；鼓励各类土建工程使用预搅拌的商品混凝土。（二十四）实行粉状物料及渣土车辆密闭运输，加强监管，防止遗撒。及时进行道路清扫、冲洗、洒水作业，减少道路扬尘。规范园林绿化设计和施工管理，防止园林绿地土壤向道路流失。</w:t>
            </w:r>
          </w:p>
          <w:p w14:paraId="1B73FC6B">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内有大型煤炭物料堆场，储煤场四周设有闭合防风抑尘网，储煤场内堆存煤炭使用绿网进行苫盖；定期对储煤区域进行洒水降尘，禁止在重污染天气、大风天气进行作业；煤场运输车辆进行全面苫盖，定期去外部指定洗车点清洗车辆。项目符合《环境空气细颗粒物污染综合防治技术政策》相关要求。</w:t>
            </w:r>
          </w:p>
          <w:p w14:paraId="08F4F726">
            <w:pPr>
              <w:pStyle w:val="19"/>
              <w:keepNext w:val="0"/>
              <w:keepLines w:val="0"/>
              <w:pageBreakBefore w:val="0"/>
              <w:numPr>
                <w:ilvl w:val="0"/>
                <w:numId w:val="0"/>
              </w:numPr>
              <w:kinsoku/>
              <w:wordWrap/>
              <w:overflowPunct/>
              <w:topLinePunct w:val="0"/>
              <w:autoSpaceDE/>
              <w:autoSpaceDN/>
              <w:bidi w:val="0"/>
              <w:adjustRightInd/>
              <w:spacing w:before="0" w:after="0" w:line="360" w:lineRule="auto"/>
              <w:ind w:left="0" w:leftChars="0" w:right="0" w:rightChars="0" w:firstLine="0" w:firstLineChars="0"/>
              <w:textAlignment w:val="auto"/>
              <w:rPr>
                <w:rFonts w:hint="default" w:ascii="Times New Roman" w:hAnsi="Times New Roman" w:cs="Times New Roman"/>
                <w:b/>
                <w:bCs/>
                <w:color w:val="auto"/>
                <w:sz w:val="24"/>
                <w:highlight w:val="none"/>
                <w:lang w:val="en-US" w:eastAsia="zh-CN"/>
              </w:rPr>
            </w:pPr>
            <w:r>
              <w:rPr>
                <w:rFonts w:hint="default" w:ascii="Times New Roman" w:hAnsi="Times New Roman" w:eastAsia="宋体" w:cs="Times New Roman"/>
                <w:b/>
                <w:bCs/>
                <w:color w:val="auto"/>
                <w:kern w:val="0"/>
                <w:sz w:val="24"/>
                <w:szCs w:val="20"/>
                <w:lang w:val="en-US" w:eastAsia="zh-CN" w:bidi="ar-SA"/>
              </w:rPr>
              <w:t>11、</w:t>
            </w:r>
            <w:r>
              <w:rPr>
                <w:rFonts w:hint="default" w:ascii="Times New Roman" w:hAnsi="Times New Roman" w:cs="Times New Roman"/>
                <w:b/>
                <w:bCs/>
                <w:color w:val="auto"/>
                <w:sz w:val="24"/>
                <w:highlight w:val="none"/>
                <w:lang w:val="en-US" w:eastAsia="zh-CN"/>
              </w:rPr>
              <w:t>与《鸡西市空气质量持续改善行动计划贯彻落实方案》符合性分析</w:t>
            </w:r>
          </w:p>
          <w:p w14:paraId="6B4933B7">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《鸡西市空气质量持续改善行动计划贯彻落实方案》中要求：</w:t>
            </w:r>
          </w:p>
          <w:p w14:paraId="1DB2F7F2">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加快退出重点行业落后产能。严格执行《产业结构调整指导目录》要求，加快退出淘汰类产能、工艺、装备，提高限制类产能、工艺、装备淘汰改造引导力度。</w:t>
            </w:r>
            <w:r>
              <w:rPr>
                <w:rFonts w:hint="default" w:ascii="Times New Roman" w:hAnsi="Times New Roman" w:cs="Times New Roman"/>
                <w:color w:val="auto"/>
                <w:sz w:val="24"/>
                <w:highlight w:val="none"/>
                <w:lang w:val="en-US" w:eastAsia="zh-CN"/>
              </w:rPr>
              <w:t>城市大型煤炭、矿石等干散货码头物料堆场基本完成抑尘设施建设和物料输送系统封闭改造。</w:t>
            </w:r>
          </w:p>
          <w:p w14:paraId="40FB54C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本项目储煤场堆高2米，四周建设闭合防风抑尘网高3m、长</w:t>
            </w:r>
            <w:r>
              <w:rPr>
                <w:rFonts w:hint="eastAsia" w:cs="Times New Roman"/>
                <w:color w:val="auto"/>
                <w:sz w:val="24"/>
                <w:highlight w:val="none"/>
                <w:lang w:val="en-US" w:eastAsia="zh-CN"/>
              </w:rPr>
              <w:t>500m</w:t>
            </w:r>
            <w:r>
              <w:rPr>
                <w:rFonts w:hint="default" w:ascii="Times New Roman" w:hAnsi="Times New Roman" w:cs="Times New Roman"/>
                <w:color w:val="auto"/>
                <w:sz w:val="24"/>
                <w:highlight w:val="none"/>
                <w:lang w:val="en-US" w:eastAsia="zh-CN"/>
              </w:rPr>
              <w:t>（孔隙率50</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储煤场内堆存煤炭使用绿网进行苫盖；装卸过程中装车使用洒水车对装车过程进行降尘，卸料过程尽量减少煤炭落料过程中高差，另外洒水车定期对储煤区域进行洒水降尘并防止自燃，定期去外部指定洗车点对车辆进行清洗。禁止在重污染天气、大风天气进行作业；煤场运输车辆进行全面苫盖。</w:t>
            </w:r>
            <w:r>
              <w:rPr>
                <w:rFonts w:hint="default" w:ascii="Times New Roman" w:hAnsi="Times New Roman" w:eastAsia="宋体" w:cs="Times New Roman"/>
                <w:color w:val="auto"/>
                <w:sz w:val="24"/>
                <w:highlight w:val="none"/>
                <w:lang w:val="en-US" w:eastAsia="zh-CN"/>
              </w:rPr>
              <w:t>项目生产过程中</w:t>
            </w:r>
            <w:r>
              <w:rPr>
                <w:rFonts w:hint="default" w:ascii="Times New Roman" w:hAnsi="Times New Roman" w:cs="Times New Roman"/>
                <w:color w:val="auto"/>
                <w:sz w:val="24"/>
                <w:highlight w:val="none"/>
                <w:lang w:val="en-US" w:eastAsia="zh-CN"/>
              </w:rPr>
              <w:t>不使用</w:t>
            </w:r>
            <w:r>
              <w:rPr>
                <w:rFonts w:hint="default" w:ascii="Times New Roman" w:hAnsi="Times New Roman" w:eastAsia="宋体" w:cs="Times New Roman"/>
                <w:color w:val="auto"/>
                <w:sz w:val="24"/>
                <w:highlight w:val="none"/>
                <w:lang w:val="en-US" w:eastAsia="zh-CN"/>
              </w:rPr>
              <w:t>国家明令禁止的淘汰类和限制类的工艺和设备，</w:t>
            </w:r>
            <w:r>
              <w:rPr>
                <w:rFonts w:hint="default" w:ascii="Times New Roman" w:hAnsi="Times New Roman" w:cs="Times New Roman"/>
                <w:color w:val="auto"/>
                <w:sz w:val="24"/>
                <w:highlight w:val="none"/>
                <w:lang w:val="en-US" w:eastAsia="zh-CN"/>
              </w:rPr>
              <w:t>符合《鸡西市空气质量持续改善行动计划贯彻落实方案》中相关要求。</w:t>
            </w:r>
          </w:p>
          <w:p w14:paraId="02ECC3B0">
            <w:pPr>
              <w:pStyle w:val="39"/>
              <w:keepNext w:val="0"/>
              <w:keepLines w:val="0"/>
              <w:pageBreakBefore w:val="0"/>
              <w:kinsoku/>
              <w:wordWrap/>
              <w:overflowPunct/>
              <w:topLinePunct w:val="0"/>
              <w:autoSpaceDE w:val="0"/>
              <w:autoSpaceDN w:val="0"/>
              <w:bidi w:val="0"/>
              <w:adjustRightInd/>
              <w:spacing w:line="360" w:lineRule="auto"/>
              <w:ind w:firstLine="0" w:firstLineChars="0"/>
              <w:textAlignment w:val="auto"/>
              <w:rPr>
                <w:rFonts w:hint="default" w:ascii="Times New Roman" w:hAnsi="Times New Roman" w:eastAsia="宋体" w:cs="Times New Roman"/>
                <w:b/>
                <w:bCs/>
                <w:color w:val="auto"/>
                <w:kern w:val="0"/>
                <w:sz w:val="24"/>
                <w:szCs w:val="20"/>
                <w:highlight w:val="none"/>
                <w:lang w:val="en-US" w:eastAsia="zh-CN" w:bidi="ar-SA"/>
              </w:rPr>
            </w:pPr>
            <w:r>
              <w:rPr>
                <w:rFonts w:hint="default" w:ascii="Times New Roman" w:hAnsi="Times New Roman" w:eastAsia="宋体" w:cs="Times New Roman"/>
                <w:b/>
                <w:bCs/>
                <w:color w:val="auto"/>
                <w:kern w:val="0"/>
                <w:sz w:val="24"/>
                <w:szCs w:val="20"/>
                <w:highlight w:val="none"/>
                <w:lang w:val="en-US" w:eastAsia="zh-CN" w:bidi="ar-SA"/>
              </w:rPr>
              <w:t>12、本项目与《黑龙江</w:t>
            </w:r>
            <w:r>
              <w:rPr>
                <w:rFonts w:hint="eastAsia" w:ascii="宋体" w:hAnsi="宋体" w:eastAsia="宋体" w:cs="宋体"/>
                <w:b/>
                <w:bCs/>
                <w:color w:val="auto"/>
                <w:kern w:val="0"/>
                <w:sz w:val="24"/>
                <w:szCs w:val="20"/>
                <w:highlight w:val="none"/>
                <w:lang w:val="en-US" w:eastAsia="zh-CN" w:bidi="ar-SA"/>
              </w:rPr>
              <w:t>省“十四五”生态环</w:t>
            </w:r>
            <w:r>
              <w:rPr>
                <w:rFonts w:hint="default" w:ascii="Times New Roman" w:hAnsi="Times New Roman" w:eastAsia="宋体" w:cs="Times New Roman"/>
                <w:b/>
                <w:bCs/>
                <w:color w:val="auto"/>
                <w:kern w:val="0"/>
                <w:sz w:val="24"/>
                <w:szCs w:val="20"/>
                <w:highlight w:val="none"/>
                <w:lang w:val="en-US" w:eastAsia="zh-CN" w:bidi="ar-SA"/>
              </w:rPr>
              <w:t>境保护规划》的符合性</w:t>
            </w:r>
            <w:r>
              <w:rPr>
                <w:rFonts w:hint="default" w:ascii="Times New Roman" w:hAnsi="Times New Roman" w:cs="Times New Roman"/>
                <w:b/>
                <w:bCs/>
                <w:color w:val="auto"/>
                <w:kern w:val="0"/>
                <w:sz w:val="24"/>
                <w:szCs w:val="20"/>
                <w:highlight w:val="none"/>
                <w:lang w:val="en-US" w:eastAsia="zh-CN" w:bidi="ar-SA"/>
              </w:rPr>
              <w:t>分析</w:t>
            </w:r>
          </w:p>
          <w:p w14:paraId="7B6CE07C">
            <w:pPr>
              <w:pStyle w:val="39"/>
              <w:keepNext w:val="0"/>
              <w:keepLines w:val="0"/>
              <w:pageBreakBefore w:val="0"/>
              <w:kinsoku/>
              <w:wordWrap/>
              <w:overflowPunct/>
              <w:topLinePunct w:val="0"/>
              <w:autoSpaceDE w:val="0"/>
              <w:autoSpaceDN w:val="0"/>
              <w:bidi w:val="0"/>
              <w:adjustRightIn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为储煤场项目，项目内有</w:t>
            </w:r>
            <w:r>
              <w:rPr>
                <w:rFonts w:hint="default" w:ascii="Times New Roman" w:hAnsi="Times New Roman" w:cs="Times New Roman"/>
                <w:color w:val="auto"/>
                <w:sz w:val="24"/>
                <w:highlight w:val="none"/>
              </w:rPr>
              <w:t>大型煤炭物料堆场，</w:t>
            </w:r>
            <w:r>
              <w:rPr>
                <w:rFonts w:hint="default" w:ascii="Times New Roman" w:hAnsi="Times New Roman" w:cs="Times New Roman"/>
                <w:color w:val="auto"/>
                <w:sz w:val="24"/>
                <w:highlight w:val="none"/>
                <w:lang w:val="en-US" w:eastAsia="zh-CN"/>
              </w:rPr>
              <w:t>储煤场四周设有闭合防风抑尘网，储煤场内堆存煤炭使用绿网进行苫盖；定期对储煤区域进行洒水降尘，禁止在重污染天气、大风天气进行作业；煤场运输车辆进行全面苫盖。不属于《</w:t>
            </w:r>
            <w:r>
              <w:rPr>
                <w:rFonts w:hint="eastAsia" w:ascii="宋体" w:hAnsi="宋体" w:eastAsia="宋体" w:cs="宋体"/>
                <w:color w:val="auto"/>
                <w:sz w:val="24"/>
                <w:highlight w:val="none"/>
                <w:lang w:val="en-US" w:eastAsia="zh-CN"/>
              </w:rPr>
              <w:t>黑龙江省“十四五”生</w:t>
            </w:r>
            <w:r>
              <w:rPr>
                <w:rFonts w:hint="default" w:ascii="Times New Roman" w:hAnsi="Times New Roman" w:cs="Times New Roman"/>
                <w:color w:val="auto"/>
                <w:sz w:val="24"/>
                <w:highlight w:val="none"/>
                <w:lang w:val="en-US" w:eastAsia="zh-CN"/>
              </w:rPr>
              <w:t>态环境保护规划</w:t>
            </w:r>
            <w:r>
              <w:rPr>
                <w:rFonts w:hint="eastAsia" w:ascii="宋体" w:hAnsi="宋体" w:eastAsia="宋体" w:cs="宋体"/>
                <w:color w:val="auto"/>
                <w:sz w:val="24"/>
                <w:highlight w:val="none"/>
                <w:lang w:val="en-US" w:eastAsia="zh-CN"/>
              </w:rPr>
              <w:t>》中“重点行业大气污染治理工程、水生态环境提升重大工程、土壤和地下水污染治理重大工程”中要</w:t>
            </w:r>
            <w:r>
              <w:rPr>
                <w:rFonts w:hint="eastAsia" w:ascii="宋体" w:hAnsi="宋体" w:cs="宋体"/>
                <w:color w:val="auto"/>
                <w:sz w:val="24"/>
                <w:highlight w:val="none"/>
                <w:lang w:val="en-US" w:eastAsia="zh-CN"/>
              </w:rPr>
              <w:t>求的</w:t>
            </w:r>
            <w:r>
              <w:rPr>
                <w:rFonts w:hint="eastAsia" w:ascii="宋体" w:hAnsi="宋体" w:eastAsia="宋体" w:cs="宋体"/>
                <w:color w:val="auto"/>
                <w:sz w:val="24"/>
                <w:highlight w:val="none"/>
                <w:lang w:val="en-US" w:eastAsia="zh-CN"/>
              </w:rPr>
              <w:t>内容，项目建设符合《黑龙江省“十四五”生态环境保护规划》要</w:t>
            </w:r>
            <w:r>
              <w:rPr>
                <w:rFonts w:hint="default" w:ascii="Times New Roman" w:hAnsi="Times New Roman" w:cs="Times New Roman"/>
                <w:color w:val="auto"/>
                <w:sz w:val="24"/>
                <w:highlight w:val="none"/>
                <w:lang w:val="en-US" w:eastAsia="zh-CN"/>
              </w:rPr>
              <w:t>求。</w:t>
            </w:r>
          </w:p>
        </w:tc>
      </w:tr>
    </w:tbl>
    <w:p w14:paraId="0EE9FF08">
      <w:pPr>
        <w:pStyle w:val="18"/>
        <w:jc w:val="center"/>
        <w:outlineLvl w:val="9"/>
        <w:rPr>
          <w:rFonts w:hint="default" w:ascii="Times New Roman" w:hAnsi="Times New Roman" w:eastAsia="黑体" w:cs="Times New Roman"/>
          <w:snapToGrid w:val="0"/>
          <w:color w:val="auto"/>
          <w:sz w:val="30"/>
          <w:szCs w:val="30"/>
          <w:highlight w:val="none"/>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pgNumType w:start="1"/>
          <w:cols w:space="720" w:num="1"/>
          <w:docGrid w:linePitch="312" w:charSpace="0"/>
        </w:sectPr>
      </w:pPr>
    </w:p>
    <w:p w14:paraId="3FF596E5">
      <w:pPr>
        <w:pStyle w:val="18"/>
        <w:jc w:val="center"/>
        <w:outlineLvl w:val="0"/>
        <w:rPr>
          <w:rFonts w:hint="eastAsia" w:ascii="宋体" w:hAnsi="宋体" w:eastAsia="宋体" w:cs="宋体"/>
          <w:snapToGrid w:val="0"/>
          <w:color w:val="auto"/>
          <w:sz w:val="30"/>
          <w:szCs w:val="30"/>
          <w:highlight w:val="none"/>
        </w:rPr>
      </w:pPr>
      <w:bookmarkStart w:id="21" w:name="_Toc6859"/>
      <w:bookmarkStart w:id="22" w:name="_Toc21690"/>
      <w:bookmarkStart w:id="23" w:name="_Toc3820"/>
      <w:bookmarkStart w:id="24" w:name="_Toc23289"/>
      <w:r>
        <w:rPr>
          <w:rFonts w:hint="eastAsia" w:ascii="宋体" w:hAnsi="宋体" w:eastAsia="宋体" w:cs="宋体"/>
          <w:snapToGrid w:val="0"/>
          <w:color w:val="auto"/>
          <w:sz w:val="30"/>
          <w:szCs w:val="30"/>
          <w:highlight w:val="none"/>
        </w:rPr>
        <w:t>二、建设项目工程分析</w:t>
      </w:r>
      <w:bookmarkEnd w:id="21"/>
      <w:bookmarkEnd w:id="22"/>
      <w:bookmarkEnd w:id="23"/>
      <w:bookmarkEnd w:id="24"/>
    </w:p>
    <w:tbl>
      <w:tblPr>
        <w:tblStyle w:val="20"/>
        <w:tblW w:w="943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731"/>
        <w:gridCol w:w="8705"/>
      </w:tblGrid>
      <w:tr w14:paraId="01ECA9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204" w:hRule="atLeast"/>
          <w:jc w:val="center"/>
        </w:trPr>
        <w:tc>
          <w:tcPr>
            <w:tcW w:w="731" w:type="dxa"/>
            <w:vAlign w:val="center"/>
          </w:tcPr>
          <w:p w14:paraId="2AB36C32">
            <w:pPr>
              <w:pStyle w:val="18"/>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建设内容</w:t>
            </w:r>
          </w:p>
        </w:tc>
        <w:tc>
          <w:tcPr>
            <w:tcW w:w="8705" w:type="dxa"/>
          </w:tcPr>
          <w:p w14:paraId="0F2A3AD1">
            <w:pPr>
              <w:pStyle w:val="31"/>
              <w:spacing w:before="0" w:beforeLines="0" w:after="0" w:afterLines="0" w:line="360" w:lineRule="auto"/>
              <w:ind w:firstLine="0" w:firstLineChars="0"/>
              <w:textAlignment w:val="baseline"/>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1、</w:t>
            </w:r>
            <w:r>
              <w:rPr>
                <w:rFonts w:hint="default" w:ascii="Times New Roman" w:hAnsi="Times New Roman" w:cs="Times New Roman"/>
                <w:b/>
                <w:bCs/>
                <w:color w:val="auto"/>
                <w:highlight w:val="none"/>
                <w:lang w:val="en-US" w:eastAsia="zh-CN"/>
              </w:rPr>
              <w:t>建设内容</w:t>
            </w:r>
          </w:p>
          <w:p w14:paraId="1ACED264">
            <w:pPr>
              <w:pStyle w:val="31"/>
              <w:spacing w:before="0" w:beforeLines="0" w:after="0" w:afterLines="0" w:line="360" w:lineRule="auto"/>
              <w:ind w:firstLine="480"/>
              <w:textAlignment w:val="baseline"/>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本项目位于</w:t>
            </w:r>
            <w:r>
              <w:rPr>
                <w:rFonts w:hint="default" w:ascii="Times New Roman" w:hAnsi="Times New Roman" w:cs="Times New Roman"/>
                <w:color w:val="auto"/>
                <w:sz w:val="24"/>
                <w:highlight w:val="none"/>
                <w:lang w:val="en-US" w:eastAsia="zh-CN"/>
              </w:rPr>
              <w:t>黑龙江省</w:t>
            </w:r>
            <w:r>
              <w:rPr>
                <w:rFonts w:hint="eastAsia" w:cs="Times New Roman"/>
                <w:color w:val="auto"/>
                <w:sz w:val="24"/>
                <w:highlight w:val="none"/>
                <w:lang w:val="en-US" w:eastAsia="zh-CN"/>
              </w:rPr>
              <w:t>鸡西市城子河区正阳煤矿</w:t>
            </w:r>
            <w:r>
              <w:rPr>
                <w:rFonts w:hint="default" w:ascii="Times New Roman" w:hAnsi="Times New Roman" w:cs="Times New Roman"/>
                <w:bCs/>
                <w:color w:val="auto"/>
                <w:highlight w:val="none"/>
                <w:lang w:val="en-US" w:eastAsia="zh-CN"/>
              </w:rPr>
              <w:t>。总占地面积</w:t>
            </w:r>
            <w:r>
              <w:rPr>
                <w:rFonts w:hint="eastAsia" w:cs="Times New Roman"/>
                <w:color w:val="auto"/>
                <w:sz w:val="24"/>
                <w:highlight w:val="none"/>
                <w:lang w:val="en-US" w:eastAsia="zh-CN"/>
              </w:rPr>
              <w:t>13155</w:t>
            </w:r>
            <w:r>
              <w:rPr>
                <w:rFonts w:hint="default" w:ascii="Times New Roman" w:hAnsi="Times New Roman" w:cs="Times New Roman"/>
                <w:bCs/>
                <w:color w:val="auto"/>
                <w:highlight w:val="none"/>
                <w:lang w:val="en-US" w:eastAsia="zh-CN"/>
              </w:rPr>
              <w:t>m</w:t>
            </w:r>
            <w:r>
              <w:rPr>
                <w:rFonts w:hint="default" w:ascii="Times New Roman" w:hAnsi="Times New Roman" w:cs="Times New Roman"/>
                <w:bCs/>
                <w:color w:val="auto"/>
                <w:highlight w:val="none"/>
                <w:vertAlign w:val="superscript"/>
                <w:lang w:val="en-US" w:eastAsia="zh-CN"/>
              </w:rPr>
              <w:t>2</w:t>
            </w:r>
            <w:r>
              <w:rPr>
                <w:rFonts w:hint="default" w:ascii="Times New Roman" w:hAnsi="Times New Roman" w:cs="Times New Roman"/>
                <w:bCs/>
                <w:color w:val="auto"/>
                <w:highlight w:val="none"/>
                <w:lang w:val="en-US" w:eastAsia="zh-CN"/>
              </w:rPr>
              <w:t>，建筑面积</w:t>
            </w:r>
            <w:r>
              <w:rPr>
                <w:rFonts w:hint="eastAsia" w:cs="Times New Roman"/>
                <w:bCs/>
                <w:color w:val="auto"/>
                <w:highlight w:val="none"/>
                <w:lang w:val="en-US" w:eastAsia="zh-CN"/>
              </w:rPr>
              <w:t>6</w:t>
            </w:r>
            <w:r>
              <w:rPr>
                <w:rFonts w:hint="default" w:ascii="Times New Roman" w:hAnsi="Times New Roman" w:cs="Times New Roman"/>
                <w:bCs/>
                <w:color w:val="auto"/>
                <w:highlight w:val="none"/>
                <w:lang w:val="en-US" w:eastAsia="zh-CN"/>
              </w:rPr>
              <w:t>00m</w:t>
            </w:r>
            <w:r>
              <w:rPr>
                <w:rFonts w:hint="default" w:ascii="Times New Roman" w:hAnsi="Times New Roman" w:cs="Times New Roman"/>
                <w:bCs/>
                <w:color w:val="auto"/>
                <w:highlight w:val="none"/>
                <w:vertAlign w:val="superscript"/>
                <w:lang w:val="en-US" w:eastAsia="zh-CN"/>
              </w:rPr>
              <w:t>2</w:t>
            </w:r>
            <w:r>
              <w:rPr>
                <w:rFonts w:hint="default" w:ascii="Times New Roman" w:hAnsi="Times New Roman" w:cs="Times New Roman"/>
                <w:bCs/>
                <w:color w:val="auto"/>
                <w:highlight w:val="none"/>
                <w:lang w:val="en-US" w:eastAsia="zh-CN"/>
              </w:rPr>
              <w:t>，主要建设内容为办公室，</w:t>
            </w:r>
            <w:r>
              <w:rPr>
                <w:rFonts w:hint="eastAsia" w:cs="Times New Roman"/>
                <w:bCs/>
                <w:color w:val="auto"/>
                <w:highlight w:val="none"/>
                <w:lang w:val="en-US" w:eastAsia="zh-CN"/>
              </w:rPr>
              <w:t>库房</w:t>
            </w:r>
            <w:r>
              <w:rPr>
                <w:rFonts w:hint="default" w:ascii="Times New Roman" w:hAnsi="Times New Roman" w:cs="Times New Roman"/>
                <w:bCs/>
                <w:color w:val="auto"/>
                <w:highlight w:val="none"/>
                <w:lang w:val="en-US" w:eastAsia="zh-CN"/>
              </w:rPr>
              <w:t>，储煤场，年周转煤炭</w:t>
            </w:r>
            <w:r>
              <w:rPr>
                <w:rFonts w:hint="eastAsia" w:cs="Times New Roman"/>
                <w:bCs/>
                <w:color w:val="auto"/>
                <w:highlight w:val="none"/>
                <w:lang w:val="en-US" w:eastAsia="zh-CN"/>
              </w:rPr>
              <w:t>4.5</w:t>
            </w:r>
            <w:r>
              <w:rPr>
                <w:rFonts w:hint="default" w:ascii="Times New Roman" w:hAnsi="Times New Roman" w:cs="Times New Roman"/>
                <w:bCs/>
                <w:color w:val="auto"/>
                <w:highlight w:val="none"/>
                <w:lang w:val="en-US" w:eastAsia="zh-CN"/>
              </w:rPr>
              <w:t>万</w:t>
            </w:r>
            <w:r>
              <w:rPr>
                <w:rFonts w:hint="eastAsia" w:cs="Times New Roman"/>
                <w:bCs/>
                <w:color w:val="auto"/>
                <w:highlight w:val="none"/>
                <w:lang w:val="en-US" w:eastAsia="zh-CN"/>
              </w:rPr>
              <w:t>吨</w:t>
            </w:r>
            <w:r>
              <w:rPr>
                <w:rFonts w:hint="default" w:ascii="Times New Roman" w:hAnsi="Times New Roman" w:cs="Times New Roman"/>
                <w:bCs/>
                <w:color w:val="auto"/>
                <w:highlight w:val="none"/>
                <w:lang w:val="en-US" w:eastAsia="zh-CN"/>
              </w:rPr>
              <w:t>。项目主要建设内容见表2-1。</w:t>
            </w:r>
          </w:p>
          <w:p w14:paraId="3F98AF48">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表2-1 主要建设内容一览表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5"/>
              <w:gridCol w:w="1092"/>
              <w:gridCol w:w="5949"/>
              <w:gridCol w:w="856"/>
            </w:tblGrid>
            <w:tr w14:paraId="66D30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tcBorders>
                    <w:tl2br w:val="nil"/>
                    <w:tr2bl w:val="nil"/>
                  </w:tcBorders>
                  <w:vAlign w:val="center"/>
                </w:tcPr>
                <w:p w14:paraId="1C971770">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p w14:paraId="7E883E84">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c>
                <w:tcPr>
                  <w:tcW w:w="639" w:type="pct"/>
                  <w:tcBorders>
                    <w:tl2br w:val="nil"/>
                    <w:tr2bl w:val="nil"/>
                  </w:tcBorders>
                  <w:vAlign w:val="center"/>
                </w:tcPr>
                <w:p w14:paraId="3320E641">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工程名称</w:t>
                  </w:r>
                </w:p>
              </w:tc>
              <w:tc>
                <w:tcPr>
                  <w:tcW w:w="3486" w:type="pct"/>
                  <w:tcBorders>
                    <w:tl2br w:val="nil"/>
                    <w:tr2bl w:val="nil"/>
                  </w:tcBorders>
                  <w:vAlign w:val="center"/>
                </w:tcPr>
                <w:p w14:paraId="70888F52">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工程建设内容</w:t>
                  </w:r>
                </w:p>
              </w:tc>
              <w:tc>
                <w:tcPr>
                  <w:tcW w:w="501" w:type="pct"/>
                  <w:tcBorders>
                    <w:tl2br w:val="nil"/>
                    <w:tr2bl w:val="nil"/>
                  </w:tcBorders>
                  <w:vAlign w:val="center"/>
                </w:tcPr>
                <w:p w14:paraId="662F1102">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14:paraId="5669A2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restart"/>
                  <w:tcBorders>
                    <w:tl2br w:val="nil"/>
                    <w:tr2bl w:val="nil"/>
                  </w:tcBorders>
                  <w:vAlign w:val="center"/>
                </w:tcPr>
                <w:p w14:paraId="38230535">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主体</w:t>
                  </w:r>
                </w:p>
                <w:p w14:paraId="5FDCC8C9">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tc>
              <w:tc>
                <w:tcPr>
                  <w:tcW w:w="639" w:type="pct"/>
                  <w:tcBorders>
                    <w:tl2br w:val="nil"/>
                    <w:tr2bl w:val="nil"/>
                  </w:tcBorders>
                  <w:vAlign w:val="center"/>
                </w:tcPr>
                <w:p w14:paraId="221E816B">
                  <w:pPr>
                    <w:pStyle w:val="3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煤炭堆场</w:t>
                  </w:r>
                </w:p>
              </w:tc>
              <w:tc>
                <w:tcPr>
                  <w:tcW w:w="3486" w:type="pct"/>
                  <w:tcBorders>
                    <w:tl2br w:val="nil"/>
                    <w:tr2bl w:val="nil"/>
                  </w:tcBorders>
                  <w:vAlign w:val="center"/>
                </w:tcPr>
                <w:p w14:paraId="7AE44E46">
                  <w:pPr>
                    <w:pStyle w:val="32"/>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煤炭堆场面积</w:t>
                  </w:r>
                  <w:r>
                    <w:rPr>
                      <w:rFonts w:hint="eastAsia" w:cs="Times New Roman"/>
                      <w:color w:val="auto"/>
                      <w:highlight w:val="none"/>
                      <w:lang w:val="en-US" w:eastAsia="zh-CN"/>
                    </w:rPr>
                    <w:t>10141</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，最大堆高</w:t>
                  </w:r>
                  <w:r>
                    <w:rPr>
                      <w:rFonts w:hint="eastAsia" w:cs="Times New Roman"/>
                      <w:color w:val="auto"/>
                      <w:highlight w:val="none"/>
                      <w:lang w:val="en-US" w:eastAsia="zh-CN"/>
                    </w:rPr>
                    <w:t>3m</w:t>
                  </w:r>
                  <w:r>
                    <w:rPr>
                      <w:rFonts w:hint="default" w:ascii="Times New Roman" w:hAnsi="Times New Roman" w:cs="Times New Roman"/>
                      <w:color w:val="auto"/>
                      <w:highlight w:val="none"/>
                      <w:lang w:val="en-US" w:eastAsia="zh-CN"/>
                    </w:rPr>
                    <w:t>，可容纳</w:t>
                  </w:r>
                  <w:r>
                    <w:rPr>
                      <w:rFonts w:hint="eastAsia" w:cs="Times New Roman"/>
                      <w:color w:val="auto"/>
                      <w:highlight w:val="none"/>
                      <w:lang w:val="en-US" w:eastAsia="zh-CN"/>
                    </w:rPr>
                    <w:t>1.5</w:t>
                  </w:r>
                  <w:r>
                    <w:rPr>
                      <w:rFonts w:hint="default" w:ascii="Times New Roman" w:hAnsi="Times New Roman" w:cs="Times New Roman"/>
                      <w:color w:val="auto"/>
                      <w:highlight w:val="none"/>
                      <w:lang w:val="en-US" w:eastAsia="zh-CN"/>
                    </w:rPr>
                    <w:t>万</w:t>
                  </w:r>
                  <w:r>
                    <w:rPr>
                      <w:rFonts w:hint="eastAsia" w:cs="Times New Roman"/>
                      <w:color w:val="auto"/>
                      <w:highlight w:val="none"/>
                      <w:lang w:val="en-US" w:eastAsia="zh-CN"/>
                    </w:rPr>
                    <w:t>t</w:t>
                  </w:r>
                  <w:r>
                    <w:rPr>
                      <w:rFonts w:hint="default" w:ascii="Times New Roman" w:hAnsi="Times New Roman" w:cs="Times New Roman"/>
                      <w:color w:val="auto"/>
                      <w:highlight w:val="none"/>
                      <w:lang w:val="en-US" w:eastAsia="zh-CN"/>
                    </w:rPr>
                    <w:t>煤炭，</w:t>
                  </w:r>
                  <w:r>
                    <w:rPr>
                      <w:rFonts w:hint="eastAsia" w:cs="Times New Roman"/>
                      <w:color w:val="auto"/>
                      <w:highlight w:val="none"/>
                      <w:lang w:val="en-US" w:eastAsia="zh-CN"/>
                    </w:rPr>
                    <w:t>周转周期为90天，</w:t>
                  </w:r>
                  <w:r>
                    <w:rPr>
                      <w:rFonts w:hint="default" w:ascii="Times New Roman" w:hAnsi="Times New Roman" w:cs="Times New Roman"/>
                      <w:color w:val="auto"/>
                      <w:highlight w:val="none"/>
                      <w:lang w:val="en-US" w:eastAsia="zh-CN"/>
                    </w:rPr>
                    <w:t>本项目年周转</w:t>
                  </w:r>
                  <w:r>
                    <w:rPr>
                      <w:rFonts w:hint="eastAsia" w:cs="Times New Roman"/>
                      <w:bCs/>
                      <w:color w:val="auto"/>
                      <w:highlight w:val="none"/>
                      <w:lang w:val="en-US" w:eastAsia="zh-CN"/>
                    </w:rPr>
                    <w:t>4.5</w:t>
                  </w:r>
                  <w:r>
                    <w:rPr>
                      <w:rFonts w:hint="default" w:ascii="Times New Roman" w:hAnsi="Times New Roman" w:cs="Times New Roman"/>
                      <w:bCs/>
                      <w:color w:val="auto"/>
                      <w:highlight w:val="none"/>
                      <w:lang w:val="en-US" w:eastAsia="zh-CN"/>
                    </w:rPr>
                    <w:t>万吨。</w:t>
                  </w:r>
                </w:p>
              </w:tc>
              <w:tc>
                <w:tcPr>
                  <w:tcW w:w="501" w:type="pct"/>
                  <w:tcBorders>
                    <w:tl2br w:val="nil"/>
                    <w:tr2bl w:val="nil"/>
                  </w:tcBorders>
                  <w:vAlign w:val="center"/>
                </w:tcPr>
                <w:p w14:paraId="407AB92A">
                  <w:pPr>
                    <w:jc w:val="center"/>
                    <w:rPr>
                      <w:rFonts w:hint="default" w:ascii="Times New Roman" w:hAnsi="Times New Roman" w:cs="Times New Roman"/>
                      <w:color w:val="auto"/>
                      <w:highlight w:val="none"/>
                      <w:lang w:val="en-US"/>
                    </w:rPr>
                  </w:pPr>
                  <w:r>
                    <w:rPr>
                      <w:rFonts w:hint="default" w:ascii="Times New Roman" w:hAnsi="Times New Roman" w:cs="Times New Roman"/>
                      <w:color w:val="auto"/>
                      <w:szCs w:val="21"/>
                      <w:highlight w:val="none"/>
                      <w:lang w:val="en-US" w:eastAsia="zh-CN"/>
                    </w:rPr>
                    <w:t>新建</w:t>
                  </w:r>
                </w:p>
              </w:tc>
            </w:tr>
            <w:tr w14:paraId="75354E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4BBEE23E">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43FC7236">
                  <w:pPr>
                    <w:pStyle w:val="3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初期雨水收集池</w:t>
                  </w:r>
                </w:p>
              </w:tc>
              <w:tc>
                <w:tcPr>
                  <w:tcW w:w="3486" w:type="pct"/>
                  <w:tcBorders>
                    <w:tl2br w:val="nil"/>
                    <w:tr2bl w:val="nil"/>
                  </w:tcBorders>
                  <w:vAlign w:val="center"/>
                </w:tcPr>
                <w:p w14:paraId="74CD9B2C">
                  <w:pPr>
                    <w:pStyle w:val="32"/>
                    <w:jc w:val="left"/>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位于办公室西侧，占地面积为，容积为100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lang w:val="en-US" w:eastAsia="zh-CN"/>
                    </w:rPr>
                    <w:t>3</w:t>
                  </w:r>
                  <w:r>
                    <w:rPr>
                      <w:rFonts w:hint="eastAsia" w:cs="Times New Roman"/>
                      <w:color w:val="auto"/>
                      <w:highlight w:val="none"/>
                      <w:vertAlign w:val="baseline"/>
                      <w:lang w:val="en-US" w:eastAsia="zh-CN"/>
                    </w:rPr>
                    <w:t>（10*5*2）</w:t>
                  </w:r>
                  <w:r>
                    <w:rPr>
                      <w:rFonts w:hint="eastAsia" w:cs="Times New Roman"/>
                      <w:color w:val="auto"/>
                      <w:highlight w:val="none"/>
                      <w:lang w:val="en-US" w:eastAsia="zh-CN"/>
                    </w:rPr>
                    <w:t>，用于储存初期雨水。</w:t>
                  </w:r>
                </w:p>
              </w:tc>
              <w:tc>
                <w:tcPr>
                  <w:tcW w:w="501" w:type="pct"/>
                  <w:tcBorders>
                    <w:tl2br w:val="nil"/>
                    <w:tr2bl w:val="nil"/>
                  </w:tcBorders>
                  <w:vAlign w:val="center"/>
                </w:tcPr>
                <w:p w14:paraId="431223B4">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r w14:paraId="0CC36B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474277E7">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01D1ECF6">
                  <w:pPr>
                    <w:pStyle w:val="32"/>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道路厂区硬化</w:t>
                  </w:r>
                </w:p>
              </w:tc>
              <w:tc>
                <w:tcPr>
                  <w:tcW w:w="3486" w:type="pct"/>
                  <w:tcBorders>
                    <w:tl2br w:val="nil"/>
                    <w:tr2bl w:val="nil"/>
                  </w:tcBorders>
                  <w:vAlign w:val="center"/>
                </w:tcPr>
                <w:p w14:paraId="354C11B3">
                  <w:pPr>
                    <w:pStyle w:val="32"/>
                    <w:jc w:val="left"/>
                    <w:rPr>
                      <w:rFonts w:hint="eastAsia" w:cs="Times New Roman"/>
                      <w:color w:val="auto"/>
                      <w:highlight w:val="none"/>
                      <w:lang w:val="en-US" w:eastAsia="zh-CN"/>
                    </w:rPr>
                  </w:pPr>
                  <w:r>
                    <w:rPr>
                      <w:rFonts w:hint="default" w:ascii="Times New Roman" w:hAnsi="Times New Roman" w:cs="Times New Roman"/>
                      <w:color w:val="auto"/>
                      <w:szCs w:val="21"/>
                      <w:highlight w:val="none"/>
                      <w:lang w:val="en-US" w:eastAsia="zh-CN"/>
                    </w:rPr>
                    <w:t>车辆进出口及主要通道使用水泥硬化，</w:t>
                  </w:r>
                  <w:r>
                    <w:rPr>
                      <w:rFonts w:hint="default" w:ascii="Times New Roman" w:hAnsi="Times New Roman" w:eastAsia="宋体" w:cs="Times New Roman"/>
                      <w:color w:val="auto"/>
                      <w:sz w:val="21"/>
                      <w:szCs w:val="21"/>
                      <w:highlight w:val="none"/>
                      <w:lang w:val="en-US" w:eastAsia="zh-CN"/>
                    </w:rPr>
                    <w:t>对</w:t>
                  </w:r>
                  <w:r>
                    <w:rPr>
                      <w:rFonts w:hint="default" w:ascii="Times New Roman" w:hAnsi="Times New Roman" w:cs="Times New Roman"/>
                      <w:color w:val="auto"/>
                      <w:sz w:val="21"/>
                      <w:szCs w:val="21"/>
                      <w:highlight w:val="none"/>
                      <w:lang w:val="en-US" w:eastAsia="zh-CN"/>
                    </w:rPr>
                    <w:t>煤炭堆场、初期雨水收集池</w:t>
                  </w:r>
                  <w:r>
                    <w:rPr>
                      <w:rFonts w:hint="default" w:ascii="Times New Roman" w:hAnsi="Times New Roman" w:eastAsia="宋体" w:cs="Times New Roman"/>
                      <w:color w:val="auto"/>
                      <w:sz w:val="21"/>
                      <w:szCs w:val="21"/>
                      <w:highlight w:val="none"/>
                      <w:lang w:val="en-US" w:eastAsia="zh-CN"/>
                    </w:rPr>
                    <w:t>、旱厕进行一般防渗</w:t>
                  </w:r>
                </w:p>
              </w:tc>
              <w:tc>
                <w:tcPr>
                  <w:tcW w:w="501" w:type="pct"/>
                  <w:tcBorders>
                    <w:tl2br w:val="nil"/>
                    <w:tr2bl w:val="nil"/>
                  </w:tcBorders>
                  <w:vAlign w:val="center"/>
                </w:tcPr>
                <w:p w14:paraId="49B9A550">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r w14:paraId="2A5222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tcBorders>
                    <w:tl2br w:val="nil"/>
                    <w:tr2bl w:val="nil"/>
                  </w:tcBorders>
                  <w:vAlign w:val="center"/>
                </w:tcPr>
                <w:p w14:paraId="1192A409">
                  <w:pPr>
                    <w:pStyle w:val="3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辅助工程</w:t>
                  </w:r>
                </w:p>
              </w:tc>
              <w:tc>
                <w:tcPr>
                  <w:tcW w:w="639" w:type="pct"/>
                  <w:tcBorders>
                    <w:tl2br w:val="nil"/>
                    <w:tr2bl w:val="nil"/>
                  </w:tcBorders>
                  <w:vAlign w:val="center"/>
                </w:tcPr>
                <w:p w14:paraId="7A04A0A0">
                  <w:pPr>
                    <w:pStyle w:val="3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办公室</w:t>
                  </w:r>
                </w:p>
              </w:tc>
              <w:tc>
                <w:tcPr>
                  <w:tcW w:w="3486" w:type="pct"/>
                  <w:tcBorders>
                    <w:tl2br w:val="nil"/>
                    <w:tr2bl w:val="nil"/>
                  </w:tcBorders>
                  <w:vAlign w:val="center"/>
                </w:tcPr>
                <w:p w14:paraId="78D10C6A">
                  <w:pPr>
                    <w:pStyle w:val="32"/>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1座</w:t>
                  </w:r>
                  <w:r>
                    <w:rPr>
                      <w:rFonts w:hint="eastAsia" w:cs="Times New Roman"/>
                      <w:color w:val="auto"/>
                      <w:highlight w:val="none"/>
                      <w:lang w:val="en-US" w:eastAsia="zh-CN"/>
                    </w:rPr>
                    <w:t>双</w:t>
                  </w:r>
                  <w:r>
                    <w:rPr>
                      <w:rFonts w:hint="default" w:ascii="Times New Roman" w:hAnsi="Times New Roman" w:cs="Times New Roman"/>
                      <w:color w:val="auto"/>
                      <w:highlight w:val="none"/>
                      <w:lang w:val="en-US" w:eastAsia="zh-CN"/>
                    </w:rPr>
                    <w:t>层砖混结构，建筑面积200m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二楼为办公室，</w:t>
                  </w:r>
                  <w:r>
                    <w:rPr>
                      <w:rFonts w:hint="default" w:ascii="Times New Roman" w:hAnsi="Times New Roman" w:cs="Times New Roman"/>
                      <w:color w:val="auto"/>
                      <w:highlight w:val="none"/>
                      <w:lang w:val="en-US" w:eastAsia="zh-CN"/>
                    </w:rPr>
                    <w:t>用于企业办公</w:t>
                  </w:r>
                  <w:r>
                    <w:rPr>
                      <w:rFonts w:hint="eastAsia" w:cs="Times New Roman"/>
                      <w:color w:val="auto"/>
                      <w:highlight w:val="none"/>
                      <w:lang w:val="en-US" w:eastAsia="zh-CN"/>
                    </w:rPr>
                    <w:t>；一楼为车库，用于车辆存放。</w:t>
                  </w:r>
                </w:p>
              </w:tc>
              <w:tc>
                <w:tcPr>
                  <w:tcW w:w="501" w:type="pct"/>
                  <w:tcBorders>
                    <w:tl2br w:val="nil"/>
                    <w:tr2bl w:val="nil"/>
                  </w:tcBorders>
                  <w:vAlign w:val="center"/>
                </w:tcPr>
                <w:p w14:paraId="40288060">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利旧</w:t>
                  </w:r>
                </w:p>
              </w:tc>
            </w:tr>
            <w:tr w14:paraId="61E97C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restart"/>
                  <w:tcBorders>
                    <w:tl2br w:val="nil"/>
                    <w:tr2bl w:val="nil"/>
                  </w:tcBorders>
                  <w:vAlign w:val="center"/>
                </w:tcPr>
                <w:p w14:paraId="7339F123">
                  <w:pPr>
                    <w:pStyle w:val="32"/>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储运工程</w:t>
                  </w:r>
                </w:p>
              </w:tc>
              <w:tc>
                <w:tcPr>
                  <w:tcW w:w="639" w:type="pct"/>
                  <w:tcBorders>
                    <w:tl2br w:val="nil"/>
                    <w:tr2bl w:val="nil"/>
                  </w:tcBorders>
                  <w:vAlign w:val="center"/>
                </w:tcPr>
                <w:p w14:paraId="62788A55">
                  <w:pPr>
                    <w:pStyle w:val="32"/>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库房1</w:t>
                  </w:r>
                </w:p>
              </w:tc>
              <w:tc>
                <w:tcPr>
                  <w:tcW w:w="3486" w:type="pct"/>
                  <w:tcBorders>
                    <w:tl2br w:val="nil"/>
                    <w:tr2bl w:val="nil"/>
                  </w:tcBorders>
                  <w:vAlign w:val="center"/>
                </w:tcPr>
                <w:p w14:paraId="2C6314EC">
                  <w:pPr>
                    <w:pStyle w:val="32"/>
                    <w:jc w:val="left"/>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单</w:t>
                  </w:r>
                  <w:r>
                    <w:rPr>
                      <w:rFonts w:hint="default" w:ascii="Times New Roman" w:hAnsi="Times New Roman" w:cs="Times New Roman"/>
                      <w:color w:val="auto"/>
                      <w:highlight w:val="none"/>
                      <w:lang w:val="en-US" w:eastAsia="zh-CN"/>
                    </w:rPr>
                    <w:t>层砖混结构</w:t>
                  </w:r>
                  <w:r>
                    <w:rPr>
                      <w:rFonts w:hint="eastAsia" w:ascii="Times New Roman" w:hAnsi="Times New Roman" w:cs="Times New Roman"/>
                      <w:color w:val="auto"/>
                      <w:highlight w:val="none"/>
                      <w:lang w:val="en-US" w:eastAsia="zh-CN"/>
                    </w:rPr>
                    <w:t>，一座</w:t>
                  </w:r>
                  <w:r>
                    <w:rPr>
                      <w:rFonts w:hint="default" w:ascii="Times New Roman" w:hAnsi="Times New Roman" w:cs="Times New Roman"/>
                      <w:color w:val="auto"/>
                      <w:highlight w:val="none"/>
                      <w:lang w:val="en-US" w:eastAsia="zh-CN"/>
                    </w:rPr>
                    <w:t>建筑面积</w:t>
                  </w:r>
                  <w:r>
                    <w:rPr>
                      <w:rFonts w:hint="eastAsia" w:ascii="Times New Roman" w:hAnsi="Times New Roman" w:cs="Times New Roman"/>
                      <w:color w:val="auto"/>
                      <w:highlight w:val="none"/>
                      <w:lang w:val="en-US" w:eastAsia="zh-CN"/>
                    </w:rPr>
                    <w:t>300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eastAsia" w:ascii="Times New Roman" w:hAnsi="Times New Roman" w:cs="Times New Roman"/>
                      <w:color w:val="auto"/>
                      <w:highlight w:val="none"/>
                      <w:vertAlign w:val="baseline"/>
                      <w:lang w:val="en-US" w:eastAsia="zh-CN"/>
                    </w:rPr>
                    <w:t>，用于存放工具</w:t>
                  </w:r>
                </w:p>
              </w:tc>
              <w:tc>
                <w:tcPr>
                  <w:tcW w:w="501" w:type="pct"/>
                  <w:tcBorders>
                    <w:tl2br w:val="nil"/>
                    <w:tr2bl w:val="nil"/>
                  </w:tcBorders>
                  <w:vAlign w:val="center"/>
                </w:tcPr>
                <w:p w14:paraId="44D08F84">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利旧</w:t>
                  </w:r>
                </w:p>
              </w:tc>
            </w:tr>
            <w:tr w14:paraId="01AC6D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51766B41">
                  <w:pPr>
                    <w:pStyle w:val="32"/>
                    <w:rPr>
                      <w:rFonts w:hint="eastAsia" w:cs="Times New Roman"/>
                      <w:color w:val="auto"/>
                      <w:highlight w:val="none"/>
                      <w:lang w:val="en-US" w:eastAsia="zh-CN"/>
                    </w:rPr>
                  </w:pPr>
                </w:p>
              </w:tc>
              <w:tc>
                <w:tcPr>
                  <w:tcW w:w="639" w:type="pct"/>
                  <w:tcBorders>
                    <w:tl2br w:val="nil"/>
                    <w:tr2bl w:val="nil"/>
                  </w:tcBorders>
                  <w:vAlign w:val="center"/>
                </w:tcPr>
                <w:p w14:paraId="14EA8CE5">
                  <w:pPr>
                    <w:pStyle w:val="32"/>
                    <w:rPr>
                      <w:rFonts w:hint="eastAsia" w:cs="Times New Roman"/>
                      <w:color w:val="auto"/>
                      <w:highlight w:val="none"/>
                      <w:lang w:val="en-US" w:eastAsia="zh-CN"/>
                    </w:rPr>
                  </w:pPr>
                  <w:r>
                    <w:rPr>
                      <w:rFonts w:hint="eastAsia" w:cs="Times New Roman"/>
                      <w:color w:val="auto"/>
                      <w:highlight w:val="none"/>
                      <w:lang w:val="en-US" w:eastAsia="zh-CN"/>
                    </w:rPr>
                    <w:t>库房2</w:t>
                  </w:r>
                </w:p>
              </w:tc>
              <w:tc>
                <w:tcPr>
                  <w:tcW w:w="3486" w:type="pct"/>
                  <w:tcBorders>
                    <w:tl2br w:val="nil"/>
                    <w:tr2bl w:val="nil"/>
                  </w:tcBorders>
                  <w:shd w:val="clear" w:color="auto" w:fill="auto"/>
                  <w:vAlign w:val="center"/>
                </w:tcPr>
                <w:p w14:paraId="32833AA8">
                  <w:pPr>
                    <w:pStyle w:val="32"/>
                    <w:jc w:val="left"/>
                    <w:rPr>
                      <w:rFonts w:hint="eastAsia" w:ascii="Times New Roman" w:hAnsi="Times New Roman" w:eastAsia="宋体" w:cs="Times New Roman"/>
                      <w:color w:val="auto"/>
                      <w:kern w:val="2"/>
                      <w:sz w:val="21"/>
                      <w:szCs w:val="22"/>
                      <w:highlight w:val="none"/>
                      <w:lang w:val="en-US" w:eastAsia="zh-CN" w:bidi="ar-SA"/>
                    </w:rPr>
                  </w:pPr>
                  <w:r>
                    <w:rPr>
                      <w:rFonts w:hint="eastAsia" w:cs="Times New Roman"/>
                      <w:color w:val="auto"/>
                      <w:highlight w:val="none"/>
                      <w:lang w:val="en-US" w:eastAsia="zh-CN"/>
                    </w:rPr>
                    <w:t>单</w:t>
                  </w:r>
                  <w:r>
                    <w:rPr>
                      <w:rFonts w:hint="default" w:ascii="Times New Roman" w:hAnsi="Times New Roman" w:cs="Times New Roman"/>
                      <w:color w:val="auto"/>
                      <w:highlight w:val="none"/>
                      <w:lang w:val="en-US" w:eastAsia="zh-CN"/>
                    </w:rPr>
                    <w:t>层砖混结构</w:t>
                  </w:r>
                  <w:r>
                    <w:rPr>
                      <w:rFonts w:hint="eastAsia" w:ascii="Times New Roman" w:hAnsi="Times New Roman" w:cs="Times New Roman"/>
                      <w:color w:val="auto"/>
                      <w:highlight w:val="none"/>
                      <w:lang w:val="en-US" w:eastAsia="zh-CN"/>
                    </w:rPr>
                    <w:t>，</w:t>
                  </w:r>
                  <w:r>
                    <w:rPr>
                      <w:rFonts w:hint="eastAsia" w:ascii="Times New Roman" w:hAnsi="Times New Roman" w:cs="Times New Roman"/>
                      <w:color w:val="auto"/>
                      <w:highlight w:val="none"/>
                      <w:vertAlign w:val="baseline"/>
                      <w:lang w:val="en-US" w:eastAsia="zh-CN"/>
                    </w:rPr>
                    <w:t>一座</w:t>
                  </w:r>
                  <w:r>
                    <w:rPr>
                      <w:rFonts w:hint="default" w:ascii="Times New Roman" w:hAnsi="Times New Roman" w:cs="Times New Roman"/>
                      <w:color w:val="auto"/>
                      <w:highlight w:val="none"/>
                      <w:lang w:val="en-US" w:eastAsia="zh-CN"/>
                    </w:rPr>
                    <w:t>建筑面积</w:t>
                  </w:r>
                  <w:r>
                    <w:rPr>
                      <w:rFonts w:hint="eastAsia" w:ascii="Times New Roman" w:hAnsi="Times New Roman" w:cs="Times New Roman"/>
                      <w:color w:val="auto"/>
                      <w:highlight w:val="none"/>
                      <w:lang w:val="en-US" w:eastAsia="zh-CN"/>
                    </w:rPr>
                    <w:t>50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eastAsia" w:ascii="Times New Roman" w:hAnsi="Times New Roman" w:cs="Times New Roman"/>
                      <w:color w:val="auto"/>
                      <w:highlight w:val="none"/>
                      <w:vertAlign w:val="baseline"/>
                      <w:lang w:val="en-US" w:eastAsia="zh-CN"/>
                    </w:rPr>
                    <w:t>，用于存放工具</w:t>
                  </w:r>
                </w:p>
              </w:tc>
              <w:tc>
                <w:tcPr>
                  <w:tcW w:w="501" w:type="pct"/>
                  <w:tcBorders>
                    <w:tl2br w:val="nil"/>
                    <w:tr2bl w:val="nil"/>
                  </w:tcBorders>
                  <w:vAlign w:val="center"/>
                </w:tcPr>
                <w:p w14:paraId="0D647347">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利旧</w:t>
                  </w:r>
                </w:p>
              </w:tc>
            </w:tr>
            <w:tr w14:paraId="026D46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restart"/>
                  <w:tcBorders>
                    <w:tl2br w:val="nil"/>
                    <w:tr2bl w:val="nil"/>
                  </w:tcBorders>
                  <w:vAlign w:val="center"/>
                </w:tcPr>
                <w:p w14:paraId="38652800">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公用</w:t>
                  </w:r>
                </w:p>
                <w:p w14:paraId="5BAF0CB5">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tc>
              <w:tc>
                <w:tcPr>
                  <w:tcW w:w="639" w:type="pct"/>
                  <w:tcBorders>
                    <w:tl2br w:val="nil"/>
                    <w:tr2bl w:val="nil"/>
                  </w:tcBorders>
                  <w:vAlign w:val="center"/>
                </w:tcPr>
                <w:p w14:paraId="3EAD0C97">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给水工程</w:t>
                  </w:r>
                </w:p>
              </w:tc>
              <w:tc>
                <w:tcPr>
                  <w:tcW w:w="3486" w:type="pct"/>
                  <w:tcBorders>
                    <w:tl2br w:val="nil"/>
                    <w:tr2bl w:val="nil"/>
                  </w:tcBorders>
                  <w:vAlign w:val="center"/>
                </w:tcPr>
                <w:p w14:paraId="79EB2490">
                  <w:pPr>
                    <w:pStyle w:val="32"/>
                    <w:jc w:val="left"/>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生活</w:t>
                  </w:r>
                  <w:r>
                    <w:rPr>
                      <w:rFonts w:hint="default" w:ascii="Times New Roman" w:hAnsi="Times New Roman" w:cs="Times New Roman"/>
                      <w:color w:val="auto"/>
                      <w:highlight w:val="none"/>
                    </w:rPr>
                    <w:t>用水</w:t>
                  </w:r>
                  <w:r>
                    <w:rPr>
                      <w:rFonts w:hint="default" w:ascii="Times New Roman" w:hAnsi="Times New Roman" w:cs="Times New Roman"/>
                      <w:color w:val="auto"/>
                      <w:highlight w:val="none"/>
                      <w:lang w:val="en-US" w:eastAsia="zh-CN"/>
                    </w:rPr>
                    <w:t>来源为外购桶装水，生产用水主要由沉淀后回用的雨水提供（雨水不够时临时外购水源）。</w:t>
                  </w:r>
                </w:p>
              </w:tc>
              <w:tc>
                <w:tcPr>
                  <w:tcW w:w="501" w:type="pct"/>
                  <w:tcBorders>
                    <w:tl2br w:val="nil"/>
                    <w:tr2bl w:val="nil"/>
                  </w:tcBorders>
                  <w:vAlign w:val="center"/>
                </w:tcPr>
                <w:p w14:paraId="4BD97F64">
                  <w:pPr>
                    <w:pStyle w:val="32"/>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新建</w:t>
                  </w:r>
                </w:p>
              </w:tc>
            </w:tr>
            <w:tr w14:paraId="0CAD1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36762551">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080B1019">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排水工程</w:t>
                  </w:r>
                </w:p>
              </w:tc>
              <w:tc>
                <w:tcPr>
                  <w:tcW w:w="3486" w:type="pct"/>
                  <w:tcBorders>
                    <w:tl2br w:val="nil"/>
                    <w:tr2bl w:val="nil"/>
                  </w:tcBorders>
                  <w:vAlign w:val="center"/>
                </w:tcPr>
                <w:p w14:paraId="19CAA76E">
                  <w:pPr>
                    <w:pStyle w:val="32"/>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项目无生产废水</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生活污水</w:t>
                  </w:r>
                  <w:r>
                    <w:rPr>
                      <w:rFonts w:hint="default" w:ascii="Times New Roman" w:hAnsi="Times New Roman" w:cs="Times New Roman"/>
                      <w:color w:val="auto"/>
                      <w:highlight w:val="none"/>
                      <w:lang w:val="en-US" w:eastAsia="zh-CN"/>
                    </w:rPr>
                    <w:t>排入防渗旱厕。</w:t>
                  </w:r>
                </w:p>
              </w:tc>
              <w:tc>
                <w:tcPr>
                  <w:tcW w:w="501" w:type="pct"/>
                  <w:tcBorders>
                    <w:tl2br w:val="nil"/>
                    <w:tr2bl w:val="nil"/>
                  </w:tcBorders>
                  <w:vAlign w:val="center"/>
                </w:tcPr>
                <w:p w14:paraId="135546C2">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r w14:paraId="5E3A6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26B7C3E9">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022256F4">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供电工程</w:t>
                  </w:r>
                </w:p>
              </w:tc>
              <w:tc>
                <w:tcPr>
                  <w:tcW w:w="3486" w:type="pct"/>
                  <w:tcBorders>
                    <w:tl2br w:val="nil"/>
                    <w:tr2bl w:val="nil"/>
                  </w:tcBorders>
                  <w:vAlign w:val="center"/>
                </w:tcPr>
                <w:p w14:paraId="2F8233C6">
                  <w:pPr>
                    <w:pStyle w:val="32"/>
                    <w:jc w:val="left"/>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由市政电网提供</w:t>
                  </w:r>
                  <w:r>
                    <w:rPr>
                      <w:rFonts w:hint="default" w:ascii="Times New Roman" w:hAnsi="Times New Roman" w:cs="Times New Roman"/>
                      <w:color w:val="auto"/>
                      <w:highlight w:val="none"/>
                      <w:lang w:eastAsia="zh-CN"/>
                    </w:rPr>
                    <w:t>。</w:t>
                  </w:r>
                </w:p>
              </w:tc>
              <w:tc>
                <w:tcPr>
                  <w:tcW w:w="501" w:type="pct"/>
                  <w:tcBorders>
                    <w:tl2br w:val="nil"/>
                    <w:tr2bl w:val="nil"/>
                  </w:tcBorders>
                  <w:vAlign w:val="center"/>
                </w:tcPr>
                <w:p w14:paraId="7410E296">
                  <w:pPr>
                    <w:pStyle w:val="32"/>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利旧</w:t>
                  </w:r>
                </w:p>
              </w:tc>
            </w:tr>
            <w:tr w14:paraId="6602C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29D0BE8F">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1C60C359">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供热工程</w:t>
                  </w:r>
                </w:p>
              </w:tc>
              <w:tc>
                <w:tcPr>
                  <w:tcW w:w="3486" w:type="pct"/>
                  <w:tcBorders>
                    <w:tl2br w:val="nil"/>
                    <w:tr2bl w:val="nil"/>
                  </w:tcBorders>
                  <w:vAlign w:val="center"/>
                </w:tcPr>
                <w:p w14:paraId="2E4A6A16">
                  <w:pPr>
                    <w:pStyle w:val="32"/>
                    <w:jc w:val="left"/>
                    <w:rPr>
                      <w:rFonts w:hint="default" w:ascii="Times New Roman" w:hAnsi="Times New Roman" w:cs="Times New Roman"/>
                      <w:color w:val="auto"/>
                      <w:highlight w:val="none"/>
                      <w:lang w:val="en-US"/>
                    </w:rPr>
                  </w:pPr>
                  <w:r>
                    <w:rPr>
                      <w:rFonts w:hint="default" w:ascii="Times New Roman" w:hAnsi="Times New Roman" w:cs="Times New Roman"/>
                      <w:color w:val="auto"/>
                      <w:szCs w:val="21"/>
                      <w:highlight w:val="none"/>
                    </w:rPr>
                    <w:t>本项目</w:t>
                  </w:r>
                  <w:r>
                    <w:rPr>
                      <w:rFonts w:hint="default" w:ascii="Times New Roman" w:hAnsi="Times New Roman" w:cs="Times New Roman"/>
                      <w:color w:val="auto"/>
                      <w:szCs w:val="21"/>
                      <w:highlight w:val="none"/>
                      <w:lang w:val="en-US" w:eastAsia="zh-CN"/>
                    </w:rPr>
                    <w:t>冬季取暖采用电采暖。</w:t>
                  </w:r>
                </w:p>
              </w:tc>
              <w:tc>
                <w:tcPr>
                  <w:tcW w:w="501" w:type="pct"/>
                  <w:tcBorders>
                    <w:tl2br w:val="nil"/>
                    <w:tr2bl w:val="nil"/>
                  </w:tcBorders>
                  <w:vAlign w:val="center"/>
                </w:tcPr>
                <w:p w14:paraId="525E4C9F">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r w14:paraId="7BD6DE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restart"/>
                  <w:tcBorders>
                    <w:tl2br w:val="nil"/>
                    <w:tr2bl w:val="nil"/>
                  </w:tcBorders>
                  <w:vAlign w:val="center"/>
                </w:tcPr>
                <w:p w14:paraId="07DF6153">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环保</w:t>
                  </w:r>
                </w:p>
                <w:p w14:paraId="402BC93E">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tc>
              <w:tc>
                <w:tcPr>
                  <w:tcW w:w="639" w:type="pct"/>
                  <w:tcBorders>
                    <w:tl2br w:val="nil"/>
                    <w:tr2bl w:val="nil"/>
                  </w:tcBorders>
                  <w:vAlign w:val="center"/>
                </w:tcPr>
                <w:p w14:paraId="6A531471">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污水防治措施</w:t>
                  </w:r>
                </w:p>
              </w:tc>
              <w:tc>
                <w:tcPr>
                  <w:tcW w:w="3486" w:type="pct"/>
                  <w:tcBorders>
                    <w:tl2br w:val="nil"/>
                    <w:tr2bl w:val="nil"/>
                  </w:tcBorders>
                  <w:vAlign w:val="center"/>
                </w:tcPr>
                <w:p w14:paraId="04C15D7D">
                  <w:pPr>
                    <w:pStyle w:val="32"/>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szCs w:val="21"/>
                      <w:highlight w:val="none"/>
                      <w:lang w:val="en-US" w:eastAsia="zh-CN"/>
                    </w:rPr>
                    <w:fldChar w:fldCharType="begin"/>
                  </w:r>
                  <w:r>
                    <w:rPr>
                      <w:rFonts w:hint="default" w:ascii="Times New Roman" w:hAnsi="Times New Roman" w:cs="Times New Roman"/>
                      <w:color w:val="auto"/>
                      <w:szCs w:val="21"/>
                      <w:highlight w:val="none"/>
                      <w:lang w:val="en-US" w:eastAsia="zh-CN"/>
                    </w:rPr>
                    <w:instrText xml:space="preserve"> = 1 \* GB3 \* MERGEFORMAT </w:instrText>
                  </w:r>
                  <w:r>
                    <w:rPr>
                      <w:rFonts w:hint="default" w:ascii="Times New Roman" w:hAnsi="Times New Roman" w:cs="Times New Roman"/>
                      <w:color w:val="auto"/>
                      <w:szCs w:val="21"/>
                      <w:highlight w:val="none"/>
                      <w:lang w:val="en-US" w:eastAsia="zh-CN"/>
                    </w:rPr>
                    <w:fldChar w:fldCharType="separate"/>
                  </w:r>
                  <w:r>
                    <w:rPr>
                      <w:color w:val="auto"/>
                    </w:rPr>
                    <w:t>①</w:t>
                  </w:r>
                  <w:r>
                    <w:rPr>
                      <w:rFonts w:hint="default" w:ascii="Times New Roman" w:hAnsi="Times New Roman" w:cs="Times New Roman"/>
                      <w:color w:val="auto"/>
                      <w:szCs w:val="21"/>
                      <w:highlight w:val="none"/>
                      <w:lang w:val="en-US" w:eastAsia="zh-CN"/>
                    </w:rPr>
                    <w:fldChar w:fldCharType="end"/>
                  </w:r>
                  <w:r>
                    <w:rPr>
                      <w:rFonts w:hint="default" w:ascii="Times New Roman" w:hAnsi="Times New Roman" w:cs="Times New Roman"/>
                      <w:color w:val="auto"/>
                      <w:highlight w:val="none"/>
                      <w:lang w:val="en-US" w:eastAsia="zh-CN"/>
                    </w:rPr>
                    <w:t>项目无生产废水</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生活污水</w:t>
                  </w:r>
                  <w:r>
                    <w:rPr>
                      <w:rFonts w:hint="default" w:ascii="Times New Roman" w:hAnsi="Times New Roman" w:cs="Times New Roman"/>
                      <w:color w:val="auto"/>
                      <w:highlight w:val="none"/>
                      <w:lang w:val="en-US" w:eastAsia="zh-CN"/>
                    </w:rPr>
                    <w:t>排入防渗旱厕。</w:t>
                  </w:r>
                </w:p>
                <w:p w14:paraId="09010E3E">
                  <w:pPr>
                    <w:pStyle w:val="32"/>
                    <w:jc w:val="left"/>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szCs w:val="21"/>
                      <w:highlight w:val="none"/>
                      <w:lang w:val="en-US" w:eastAsia="zh-CN"/>
                    </w:rPr>
                    <w:fldChar w:fldCharType="begin"/>
                  </w:r>
                  <w:r>
                    <w:rPr>
                      <w:rFonts w:hint="default" w:ascii="Times New Roman" w:hAnsi="Times New Roman" w:cs="Times New Roman"/>
                      <w:color w:val="auto"/>
                      <w:szCs w:val="21"/>
                      <w:highlight w:val="none"/>
                      <w:lang w:val="en-US" w:eastAsia="zh-CN"/>
                    </w:rPr>
                    <w:instrText xml:space="preserve"> = 2 \* GB3 \* MERGEFORMAT </w:instrText>
                  </w:r>
                  <w:r>
                    <w:rPr>
                      <w:rFonts w:hint="default" w:ascii="Times New Roman" w:hAnsi="Times New Roman" w:cs="Times New Roman"/>
                      <w:color w:val="auto"/>
                      <w:szCs w:val="21"/>
                      <w:highlight w:val="none"/>
                      <w:lang w:val="en-US" w:eastAsia="zh-CN"/>
                    </w:rPr>
                    <w:fldChar w:fldCharType="separate"/>
                  </w:r>
                  <w:r>
                    <w:rPr>
                      <w:color w:val="auto"/>
                    </w:rPr>
                    <w:t>②</w:t>
                  </w:r>
                  <w:r>
                    <w:rPr>
                      <w:rFonts w:hint="default" w:ascii="Times New Roman" w:hAnsi="Times New Roman" w:cs="Times New Roman"/>
                      <w:color w:val="auto"/>
                      <w:szCs w:val="21"/>
                      <w:highlight w:val="none"/>
                      <w:lang w:val="en-US" w:eastAsia="zh-CN"/>
                    </w:rPr>
                    <w:fldChar w:fldCharType="end"/>
                  </w:r>
                  <w:r>
                    <w:rPr>
                      <w:rFonts w:hint="eastAsia" w:cs="Times New Roman"/>
                      <w:color w:val="auto"/>
                      <w:highlight w:val="none"/>
                      <w:lang w:val="en-US" w:eastAsia="zh-CN"/>
                    </w:rPr>
                    <w:t>围绕储煤场</w:t>
                  </w:r>
                  <w:r>
                    <w:rPr>
                      <w:rFonts w:hint="default" w:ascii="Times New Roman" w:hAnsi="Times New Roman" w:cs="Times New Roman"/>
                      <w:color w:val="auto"/>
                      <w:highlight w:val="none"/>
                      <w:lang w:val="en-US" w:eastAsia="zh-CN"/>
                    </w:rPr>
                    <w:t>建设雨水导流沟（长</w:t>
                  </w:r>
                  <w:r>
                    <w:rPr>
                      <w:rFonts w:hint="eastAsia" w:cs="Times New Roman"/>
                      <w:color w:val="auto"/>
                      <w:highlight w:val="none"/>
                      <w:lang w:val="en-US" w:eastAsia="zh-CN"/>
                    </w:rPr>
                    <w:t>400</w:t>
                  </w:r>
                  <w:r>
                    <w:rPr>
                      <w:rFonts w:hint="default" w:ascii="Times New Roman" w:hAnsi="Times New Roman" w:cs="Times New Roman"/>
                      <w:color w:val="auto"/>
                      <w:highlight w:val="none"/>
                      <w:lang w:val="en-US" w:eastAsia="zh-CN"/>
                    </w:rPr>
                    <w:t>m，宽0.2m，深0.2m）。设置初期雨水收集池1座，位于厂区</w:t>
                  </w:r>
                  <w:r>
                    <w:rPr>
                      <w:rFonts w:hint="eastAsia" w:cs="Times New Roman"/>
                      <w:color w:val="auto"/>
                      <w:highlight w:val="none"/>
                      <w:lang w:val="en-US" w:eastAsia="zh-CN"/>
                    </w:rPr>
                    <w:t>北</w:t>
                  </w:r>
                  <w:r>
                    <w:rPr>
                      <w:rFonts w:hint="default" w:ascii="Times New Roman" w:hAnsi="Times New Roman" w:cs="Times New Roman"/>
                      <w:color w:val="auto"/>
                      <w:highlight w:val="none"/>
                      <w:lang w:val="en-US" w:eastAsia="zh-CN"/>
                    </w:rPr>
                    <w:t>侧（厂区地势最低处），收集整体厂区雨水。收集的雨水沉淀后用于场区洒水降尘，储煤场初期雨水收集池</w:t>
                  </w:r>
                  <w:r>
                    <w:rPr>
                      <w:rFonts w:hint="eastAsia" w:cs="Times New Roman"/>
                      <w:color w:val="auto"/>
                      <w:highlight w:val="none"/>
                      <w:lang w:val="en-US" w:eastAsia="zh-CN"/>
                    </w:rPr>
                    <w:t>容</w:t>
                  </w:r>
                  <w:r>
                    <w:rPr>
                      <w:rFonts w:hint="default" w:ascii="Times New Roman" w:hAnsi="Times New Roman" w:cs="Times New Roman"/>
                      <w:color w:val="auto"/>
                      <w:highlight w:val="none"/>
                      <w:lang w:val="en-US" w:eastAsia="zh-CN"/>
                    </w:rPr>
                    <w:t>积</w:t>
                  </w:r>
                  <w:r>
                    <w:rPr>
                      <w:rFonts w:hint="eastAsia" w:cs="Times New Roman"/>
                      <w:color w:val="auto"/>
                      <w:highlight w:val="none"/>
                      <w:lang w:val="en-US" w:eastAsia="zh-CN"/>
                    </w:rPr>
                    <w:t>100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eastAsia="zh-CN"/>
                    </w:rPr>
                    <w:t>。</w:t>
                  </w:r>
                </w:p>
              </w:tc>
              <w:tc>
                <w:tcPr>
                  <w:tcW w:w="501" w:type="pct"/>
                  <w:tcBorders>
                    <w:tl2br w:val="nil"/>
                    <w:tr2bl w:val="nil"/>
                  </w:tcBorders>
                  <w:vAlign w:val="center"/>
                </w:tcPr>
                <w:p w14:paraId="3554669E">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新建</w:t>
                  </w:r>
                </w:p>
              </w:tc>
            </w:tr>
            <w:tr w14:paraId="6304AF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71E242CF">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26F839E7">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固体废物防治措施</w:t>
                  </w:r>
                </w:p>
              </w:tc>
              <w:tc>
                <w:tcPr>
                  <w:tcW w:w="3486" w:type="pct"/>
                  <w:tcBorders>
                    <w:tl2br w:val="nil"/>
                    <w:tr2bl w:val="nil"/>
                  </w:tcBorders>
                  <w:vAlign w:val="center"/>
                </w:tcPr>
                <w:p w14:paraId="410575B5">
                  <w:pPr>
                    <w:widowControl/>
                    <w:jc w:val="left"/>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fldChar w:fldCharType="begin"/>
                  </w:r>
                  <w:r>
                    <w:rPr>
                      <w:rFonts w:hint="default" w:ascii="Times New Roman" w:hAnsi="Times New Roman" w:cs="Times New Roman"/>
                      <w:color w:val="auto"/>
                      <w:szCs w:val="21"/>
                      <w:highlight w:val="none"/>
                      <w:lang w:val="en-US" w:eastAsia="zh-CN"/>
                    </w:rPr>
                    <w:instrText xml:space="preserve"> = 1 \* GB3 \* MERGEFORMAT </w:instrText>
                  </w:r>
                  <w:r>
                    <w:rPr>
                      <w:rFonts w:hint="default" w:ascii="Times New Roman" w:hAnsi="Times New Roman" w:cs="Times New Roman"/>
                      <w:color w:val="auto"/>
                      <w:szCs w:val="21"/>
                      <w:highlight w:val="none"/>
                      <w:lang w:val="en-US" w:eastAsia="zh-CN"/>
                    </w:rPr>
                    <w:fldChar w:fldCharType="separate"/>
                  </w:r>
                  <w:r>
                    <w:rPr>
                      <w:color w:val="auto"/>
                    </w:rPr>
                    <w:t>①</w:t>
                  </w:r>
                  <w:r>
                    <w:rPr>
                      <w:rFonts w:hint="default" w:ascii="Times New Roman" w:hAnsi="Times New Roman" w:cs="Times New Roman"/>
                      <w:color w:val="auto"/>
                      <w:szCs w:val="21"/>
                      <w:highlight w:val="none"/>
                      <w:lang w:val="en-US" w:eastAsia="zh-CN"/>
                    </w:rPr>
                    <w:fldChar w:fldCharType="end"/>
                  </w:r>
                  <w:r>
                    <w:rPr>
                      <w:rFonts w:hint="default" w:ascii="Times New Roman" w:hAnsi="Times New Roman" w:cs="Times New Roman"/>
                      <w:color w:val="auto"/>
                      <w:szCs w:val="21"/>
                      <w:highlight w:val="none"/>
                      <w:lang w:val="en-US" w:eastAsia="zh-CN"/>
                    </w:rPr>
                    <w:t>储煤场内设置垃圾收集箱，垃圾收集箱用于</w:t>
                  </w:r>
                  <w:r>
                    <w:rPr>
                      <w:rFonts w:hint="default" w:ascii="Times New Roman" w:hAnsi="Times New Roman" w:eastAsia="宋体" w:cs="Times New Roman"/>
                      <w:color w:val="auto"/>
                      <w:szCs w:val="21"/>
                      <w:highlight w:val="none"/>
                    </w:rPr>
                    <w:t>生活垃圾收集，由当地环卫部门统一处理；</w:t>
                  </w:r>
                </w:p>
                <w:p w14:paraId="54E8F1B0">
                  <w:pPr>
                    <w:widowControl/>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fldChar w:fldCharType="begin"/>
                  </w:r>
                  <w:r>
                    <w:rPr>
                      <w:rFonts w:hint="default" w:ascii="Times New Roman" w:hAnsi="Times New Roman" w:cs="Times New Roman"/>
                      <w:color w:val="auto"/>
                      <w:szCs w:val="21"/>
                      <w:highlight w:val="none"/>
                      <w:lang w:val="en-US" w:eastAsia="zh-CN"/>
                    </w:rPr>
                    <w:instrText xml:space="preserve"> = 2 \* GB3 \* MERGEFORMAT </w:instrText>
                  </w:r>
                  <w:r>
                    <w:rPr>
                      <w:rFonts w:hint="default" w:ascii="Times New Roman" w:hAnsi="Times New Roman" w:cs="Times New Roman"/>
                      <w:color w:val="auto"/>
                      <w:szCs w:val="21"/>
                      <w:highlight w:val="none"/>
                      <w:lang w:val="en-US" w:eastAsia="zh-CN"/>
                    </w:rPr>
                    <w:fldChar w:fldCharType="separate"/>
                  </w:r>
                  <w:r>
                    <w:rPr>
                      <w:color w:val="auto"/>
                    </w:rPr>
                    <w:t>②</w:t>
                  </w:r>
                  <w:r>
                    <w:rPr>
                      <w:rFonts w:hint="default" w:ascii="Times New Roman" w:hAnsi="Times New Roman" w:cs="Times New Roman"/>
                      <w:color w:val="auto"/>
                      <w:szCs w:val="21"/>
                      <w:highlight w:val="none"/>
                      <w:lang w:val="en-US" w:eastAsia="zh-CN"/>
                    </w:rPr>
                    <w:fldChar w:fldCharType="end"/>
                  </w:r>
                  <w:r>
                    <w:rPr>
                      <w:rFonts w:hint="default" w:ascii="Times New Roman" w:hAnsi="Times New Roman" w:cs="Times New Roman"/>
                      <w:color w:val="auto"/>
                      <w:szCs w:val="21"/>
                      <w:highlight w:val="none"/>
                      <w:lang w:val="en-US" w:eastAsia="zh-CN"/>
                    </w:rPr>
                    <w:t>初期雨水收集池沉渣暂存煤炭堆场，与煤炭一同外售。</w:t>
                  </w:r>
                </w:p>
              </w:tc>
              <w:tc>
                <w:tcPr>
                  <w:tcW w:w="501" w:type="pct"/>
                  <w:tcBorders>
                    <w:tl2br w:val="nil"/>
                    <w:tr2bl w:val="nil"/>
                  </w:tcBorders>
                  <w:vAlign w:val="center"/>
                </w:tcPr>
                <w:p w14:paraId="45D62124">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r w14:paraId="29EE56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0A9E34C2">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155215DD">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废气防治措施</w:t>
                  </w:r>
                </w:p>
              </w:tc>
              <w:tc>
                <w:tcPr>
                  <w:tcW w:w="3486" w:type="pct"/>
                  <w:tcBorders>
                    <w:tl2br w:val="nil"/>
                    <w:tr2bl w:val="nil"/>
                  </w:tcBorders>
                  <w:vAlign w:val="center"/>
                </w:tcPr>
                <w:p w14:paraId="70A65705">
                  <w:pPr>
                    <w:widowControl/>
                    <w:jc w:val="left"/>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fldChar w:fldCharType="begin"/>
                  </w:r>
                  <w:r>
                    <w:rPr>
                      <w:rFonts w:hint="default" w:ascii="Times New Roman" w:hAnsi="Times New Roman" w:cs="Times New Roman"/>
                      <w:color w:val="auto"/>
                      <w:szCs w:val="21"/>
                      <w:highlight w:val="none"/>
                      <w:lang w:val="en-US" w:eastAsia="zh-CN"/>
                    </w:rPr>
                    <w:instrText xml:space="preserve"> = 1 \* GB3 \* MERGEFORMAT </w:instrText>
                  </w:r>
                  <w:r>
                    <w:rPr>
                      <w:rFonts w:hint="default" w:ascii="Times New Roman" w:hAnsi="Times New Roman" w:cs="Times New Roman"/>
                      <w:color w:val="auto"/>
                      <w:szCs w:val="21"/>
                      <w:highlight w:val="none"/>
                      <w:lang w:val="en-US" w:eastAsia="zh-CN"/>
                    </w:rPr>
                    <w:fldChar w:fldCharType="separate"/>
                  </w:r>
                  <w:r>
                    <w:rPr>
                      <w:color w:val="auto"/>
                    </w:rPr>
                    <w:t>①</w:t>
                  </w:r>
                  <w:r>
                    <w:rPr>
                      <w:rFonts w:hint="default" w:ascii="Times New Roman" w:hAnsi="Times New Roman" w:cs="Times New Roman"/>
                      <w:color w:val="auto"/>
                      <w:szCs w:val="21"/>
                      <w:highlight w:val="none"/>
                      <w:lang w:val="en-US" w:eastAsia="zh-CN"/>
                    </w:rPr>
                    <w:fldChar w:fldCharType="end"/>
                  </w:r>
                  <w:r>
                    <w:rPr>
                      <w:rFonts w:hint="default" w:ascii="Times New Roman" w:hAnsi="Times New Roman" w:cs="Times New Roman"/>
                      <w:color w:val="auto"/>
                      <w:szCs w:val="21"/>
                      <w:highlight w:val="none"/>
                      <w:lang w:val="en-US" w:eastAsia="zh-CN"/>
                    </w:rPr>
                    <w:t>储煤场堆高</w:t>
                  </w: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lang w:val="en-US" w:eastAsia="zh-CN"/>
                    </w:rPr>
                    <w:t>米，四周建设闭合防风抑尘网高</w:t>
                  </w:r>
                  <w:r>
                    <w:rPr>
                      <w:rFonts w:hint="eastAsia" w:cs="Times New Roman"/>
                      <w:color w:val="auto"/>
                      <w:szCs w:val="21"/>
                      <w:highlight w:val="none"/>
                      <w:lang w:val="en-US" w:eastAsia="zh-CN"/>
                    </w:rPr>
                    <w:t>4.5</w:t>
                  </w:r>
                  <w:r>
                    <w:rPr>
                      <w:rFonts w:hint="default" w:ascii="Times New Roman" w:hAnsi="Times New Roman" w:cs="Times New Roman"/>
                      <w:color w:val="auto"/>
                      <w:szCs w:val="21"/>
                      <w:highlight w:val="none"/>
                      <w:lang w:val="en-US" w:eastAsia="zh-CN"/>
                    </w:rPr>
                    <w:t>m、长</w:t>
                  </w:r>
                  <w:r>
                    <w:rPr>
                      <w:rFonts w:hint="eastAsia" w:cs="Times New Roman"/>
                      <w:color w:val="auto"/>
                      <w:szCs w:val="21"/>
                      <w:highlight w:val="none"/>
                      <w:lang w:val="en-US" w:eastAsia="zh-CN"/>
                    </w:rPr>
                    <w:t>500</w:t>
                  </w:r>
                  <w:r>
                    <w:rPr>
                      <w:rFonts w:hint="default" w:ascii="Times New Roman" w:hAnsi="Times New Roman" w:cs="Times New Roman"/>
                      <w:color w:val="auto"/>
                      <w:szCs w:val="21"/>
                      <w:highlight w:val="none"/>
                      <w:lang w:val="en-US" w:eastAsia="zh-CN"/>
                    </w:rPr>
                    <w:t>m（孔隙率5</w:t>
                  </w:r>
                  <w:r>
                    <w:rPr>
                      <w:rFonts w:hint="default" w:ascii="Times New Roman" w:hAnsi="Times New Roman" w:eastAsia="宋体" w:cs="Times New Roman"/>
                      <w:color w:val="auto"/>
                      <w:szCs w:val="21"/>
                      <w:highlight w:val="none"/>
                      <w:lang w:val="en-US" w:eastAsia="zh-CN"/>
                    </w:rPr>
                    <w:t>0％</w:t>
                  </w:r>
                  <w:r>
                    <w:rPr>
                      <w:rFonts w:hint="default" w:ascii="Times New Roman" w:hAnsi="Times New Roman" w:cs="Times New Roman"/>
                      <w:color w:val="auto"/>
                      <w:szCs w:val="21"/>
                      <w:highlight w:val="none"/>
                      <w:lang w:val="en-US" w:eastAsia="zh-CN"/>
                    </w:rPr>
                    <w:t>），储煤场内堆存煤炭使用绿网进行苫盖；</w:t>
                  </w:r>
                </w:p>
                <w:p w14:paraId="2F23D982">
                  <w:pPr>
                    <w:widowControl/>
                    <w:jc w:val="left"/>
                    <w:rPr>
                      <w:rFonts w:hint="eastAsia"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fldChar w:fldCharType="begin"/>
                  </w:r>
                  <w:r>
                    <w:rPr>
                      <w:rFonts w:hint="default" w:ascii="Times New Roman" w:hAnsi="Times New Roman" w:cs="Times New Roman"/>
                      <w:color w:val="auto"/>
                      <w:szCs w:val="21"/>
                      <w:highlight w:val="none"/>
                      <w:lang w:val="en-US" w:eastAsia="zh-CN"/>
                    </w:rPr>
                    <w:instrText xml:space="preserve"> = 2 \* GB3 \* MERGEFORMAT </w:instrText>
                  </w:r>
                  <w:r>
                    <w:rPr>
                      <w:rFonts w:hint="default" w:ascii="Times New Roman" w:hAnsi="Times New Roman" w:cs="Times New Roman"/>
                      <w:color w:val="auto"/>
                      <w:szCs w:val="21"/>
                      <w:highlight w:val="none"/>
                      <w:lang w:val="en-US" w:eastAsia="zh-CN"/>
                    </w:rPr>
                    <w:fldChar w:fldCharType="separate"/>
                  </w:r>
                  <w:r>
                    <w:rPr>
                      <w:color w:val="auto"/>
                    </w:rPr>
                    <w:t>②</w:t>
                  </w:r>
                  <w:r>
                    <w:rPr>
                      <w:rFonts w:hint="default" w:ascii="Times New Roman" w:hAnsi="Times New Roman" w:cs="Times New Roman"/>
                      <w:color w:val="auto"/>
                      <w:szCs w:val="21"/>
                      <w:highlight w:val="none"/>
                      <w:lang w:val="en-US" w:eastAsia="zh-CN"/>
                    </w:rPr>
                    <w:fldChar w:fldCharType="end"/>
                  </w:r>
                  <w:r>
                    <w:rPr>
                      <w:rFonts w:hint="default" w:ascii="Times New Roman" w:hAnsi="Times New Roman" w:cs="Times New Roman"/>
                      <w:color w:val="auto"/>
                      <w:szCs w:val="21"/>
                      <w:highlight w:val="none"/>
                      <w:lang w:val="en-US" w:eastAsia="zh-CN"/>
                    </w:rPr>
                    <w:t>装卸过程中装车使用洒水车对装车过程进行降尘，卸料过程尽量减少煤炭落料过程中高差</w:t>
                  </w:r>
                  <w:r>
                    <w:rPr>
                      <w:rFonts w:hint="eastAsia" w:cs="Times New Roman"/>
                      <w:color w:val="auto"/>
                      <w:szCs w:val="21"/>
                      <w:highlight w:val="none"/>
                      <w:lang w:val="en-US" w:eastAsia="zh-CN"/>
                    </w:rPr>
                    <w:t>；</w:t>
                  </w:r>
                </w:p>
                <w:p w14:paraId="71F620AD">
                  <w:pPr>
                    <w:widowControl/>
                    <w:jc w:val="left"/>
                    <w:rPr>
                      <w:rFonts w:hint="eastAsia"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fldChar w:fldCharType="begin"/>
                  </w:r>
                  <w:r>
                    <w:rPr>
                      <w:rFonts w:hint="default" w:ascii="Times New Roman" w:hAnsi="Times New Roman" w:cs="Times New Roman"/>
                      <w:color w:val="auto"/>
                      <w:szCs w:val="21"/>
                      <w:highlight w:val="none"/>
                      <w:lang w:val="en-US" w:eastAsia="zh-CN"/>
                    </w:rPr>
                    <w:instrText xml:space="preserve"> = 3 \* GB3 \* MERGEFORMAT </w:instrText>
                  </w:r>
                  <w:r>
                    <w:rPr>
                      <w:rFonts w:hint="default" w:ascii="Times New Roman" w:hAnsi="Times New Roman" w:cs="Times New Roman"/>
                      <w:color w:val="auto"/>
                      <w:szCs w:val="21"/>
                      <w:highlight w:val="none"/>
                      <w:lang w:val="en-US" w:eastAsia="zh-CN"/>
                    </w:rPr>
                    <w:fldChar w:fldCharType="separate"/>
                  </w:r>
                  <w:r>
                    <w:rPr>
                      <w:color w:val="auto"/>
                    </w:rPr>
                    <w:t>③</w:t>
                  </w:r>
                  <w:r>
                    <w:rPr>
                      <w:rFonts w:hint="default" w:ascii="Times New Roman" w:hAnsi="Times New Roman" w:cs="Times New Roman"/>
                      <w:color w:val="auto"/>
                      <w:szCs w:val="21"/>
                      <w:highlight w:val="none"/>
                      <w:lang w:val="en-US" w:eastAsia="zh-CN"/>
                    </w:rPr>
                    <w:fldChar w:fldCharType="end"/>
                  </w:r>
                  <w:r>
                    <w:rPr>
                      <w:rFonts w:hint="eastAsia" w:cs="Times New Roman"/>
                      <w:color w:val="auto"/>
                      <w:szCs w:val="21"/>
                      <w:highlight w:val="none"/>
                      <w:lang w:val="en-US" w:eastAsia="zh-CN"/>
                    </w:rPr>
                    <w:t>利用外雇洒水车和初期雨水</w:t>
                  </w:r>
                  <w:r>
                    <w:rPr>
                      <w:rFonts w:hint="default" w:ascii="Times New Roman" w:hAnsi="Times New Roman" w:cs="Times New Roman"/>
                      <w:color w:val="auto"/>
                      <w:szCs w:val="21"/>
                      <w:highlight w:val="none"/>
                      <w:lang w:val="en-US" w:eastAsia="zh-CN"/>
                    </w:rPr>
                    <w:t>定期对储煤区域进行洒水降尘并防止自燃</w:t>
                  </w:r>
                  <w:r>
                    <w:rPr>
                      <w:rFonts w:hint="eastAsia" w:cs="Times New Roman"/>
                      <w:color w:val="auto"/>
                      <w:szCs w:val="21"/>
                      <w:highlight w:val="none"/>
                      <w:lang w:val="en-US" w:eastAsia="zh-CN"/>
                    </w:rPr>
                    <w:t>；</w:t>
                  </w:r>
                </w:p>
                <w:p w14:paraId="1F90326C">
                  <w:pPr>
                    <w:widowControl/>
                    <w:jc w:val="left"/>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fldChar w:fldCharType="begin"/>
                  </w:r>
                  <w:r>
                    <w:rPr>
                      <w:rFonts w:hint="default" w:ascii="Times New Roman" w:hAnsi="Times New Roman" w:cs="Times New Roman"/>
                      <w:color w:val="auto"/>
                      <w:szCs w:val="21"/>
                      <w:highlight w:val="none"/>
                      <w:lang w:val="en-US" w:eastAsia="zh-CN"/>
                    </w:rPr>
                    <w:instrText xml:space="preserve"> = 4 \* GB3 \* MERGEFORMAT </w:instrText>
                  </w:r>
                  <w:r>
                    <w:rPr>
                      <w:rFonts w:hint="default" w:ascii="Times New Roman" w:hAnsi="Times New Roman" w:cs="Times New Roman"/>
                      <w:color w:val="auto"/>
                      <w:szCs w:val="21"/>
                      <w:highlight w:val="none"/>
                      <w:lang w:val="en-US" w:eastAsia="zh-CN"/>
                    </w:rPr>
                    <w:fldChar w:fldCharType="separate"/>
                  </w:r>
                  <w:r>
                    <w:rPr>
                      <w:color w:val="auto"/>
                    </w:rPr>
                    <w:t>④</w:t>
                  </w:r>
                  <w:r>
                    <w:rPr>
                      <w:rFonts w:hint="default" w:ascii="Times New Roman" w:hAnsi="Times New Roman" w:cs="Times New Roman"/>
                      <w:color w:val="auto"/>
                      <w:szCs w:val="21"/>
                      <w:highlight w:val="none"/>
                      <w:lang w:val="en-US" w:eastAsia="zh-CN"/>
                    </w:rPr>
                    <w:fldChar w:fldCharType="end"/>
                  </w:r>
                  <w:r>
                    <w:rPr>
                      <w:rFonts w:hint="default" w:ascii="Times New Roman" w:hAnsi="Times New Roman" w:cs="Times New Roman"/>
                      <w:color w:val="auto"/>
                      <w:szCs w:val="21"/>
                      <w:highlight w:val="none"/>
                      <w:lang w:val="en-US" w:eastAsia="zh-CN"/>
                    </w:rPr>
                    <w:t>定期去外部指定洗车点对车辆进行清洗</w:t>
                  </w:r>
                  <w:r>
                    <w:rPr>
                      <w:rFonts w:hint="eastAsia" w:cs="Times New Roman"/>
                      <w:color w:val="auto"/>
                      <w:szCs w:val="21"/>
                      <w:highlight w:val="none"/>
                      <w:lang w:val="en-US" w:eastAsia="zh-CN"/>
                    </w:rPr>
                    <w:t>怕；</w:t>
                  </w:r>
                </w:p>
                <w:p w14:paraId="1C764B8E">
                  <w:pPr>
                    <w:widowControl/>
                    <w:jc w:val="left"/>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fldChar w:fldCharType="begin"/>
                  </w:r>
                  <w:r>
                    <w:rPr>
                      <w:rFonts w:hint="default" w:ascii="Times New Roman" w:hAnsi="Times New Roman" w:cs="Times New Roman"/>
                      <w:color w:val="auto"/>
                      <w:szCs w:val="21"/>
                      <w:highlight w:val="none"/>
                      <w:lang w:val="en-US" w:eastAsia="zh-CN"/>
                    </w:rPr>
                    <w:instrText xml:space="preserve"> = 5 \* GB3 \* MERGEFORMAT </w:instrText>
                  </w:r>
                  <w:r>
                    <w:rPr>
                      <w:rFonts w:hint="default" w:ascii="Times New Roman" w:hAnsi="Times New Roman" w:cs="Times New Roman"/>
                      <w:color w:val="auto"/>
                      <w:szCs w:val="21"/>
                      <w:highlight w:val="none"/>
                      <w:lang w:val="en-US" w:eastAsia="zh-CN"/>
                    </w:rPr>
                    <w:fldChar w:fldCharType="separate"/>
                  </w:r>
                  <w:r>
                    <w:rPr>
                      <w:color w:val="auto"/>
                    </w:rPr>
                    <w:t>⑤</w:t>
                  </w:r>
                  <w:r>
                    <w:rPr>
                      <w:rFonts w:hint="default" w:ascii="Times New Roman" w:hAnsi="Times New Roman" w:cs="Times New Roman"/>
                      <w:color w:val="auto"/>
                      <w:szCs w:val="21"/>
                      <w:highlight w:val="none"/>
                      <w:lang w:val="en-US" w:eastAsia="zh-CN"/>
                    </w:rPr>
                    <w:fldChar w:fldCharType="end"/>
                  </w:r>
                  <w:r>
                    <w:rPr>
                      <w:rFonts w:hint="default" w:ascii="Times New Roman" w:hAnsi="Times New Roman" w:cs="Times New Roman"/>
                      <w:color w:val="auto"/>
                      <w:szCs w:val="21"/>
                      <w:highlight w:val="none"/>
                      <w:lang w:val="en-US" w:eastAsia="zh-CN"/>
                    </w:rPr>
                    <w:t>禁止在重污染天气、大风天气进行作业；</w:t>
                  </w:r>
                </w:p>
                <w:p w14:paraId="1AA2177A">
                  <w:pPr>
                    <w:widowControl/>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fldChar w:fldCharType="begin"/>
                  </w:r>
                  <w:r>
                    <w:rPr>
                      <w:rFonts w:hint="default" w:ascii="Times New Roman" w:hAnsi="Times New Roman" w:cs="Times New Roman"/>
                      <w:color w:val="auto"/>
                      <w:szCs w:val="21"/>
                      <w:highlight w:val="none"/>
                      <w:lang w:val="en-US" w:eastAsia="zh-CN"/>
                    </w:rPr>
                    <w:instrText xml:space="preserve"> = 6 \* GB3 \* MERGEFORMAT </w:instrText>
                  </w:r>
                  <w:r>
                    <w:rPr>
                      <w:rFonts w:hint="default" w:ascii="Times New Roman" w:hAnsi="Times New Roman" w:cs="Times New Roman"/>
                      <w:color w:val="auto"/>
                      <w:szCs w:val="21"/>
                      <w:highlight w:val="none"/>
                      <w:lang w:val="en-US" w:eastAsia="zh-CN"/>
                    </w:rPr>
                    <w:fldChar w:fldCharType="separate"/>
                  </w:r>
                  <w:r>
                    <w:rPr>
                      <w:color w:val="auto"/>
                    </w:rPr>
                    <w:t>⑥</w:t>
                  </w:r>
                  <w:r>
                    <w:rPr>
                      <w:rFonts w:hint="default" w:ascii="Times New Roman" w:hAnsi="Times New Roman" w:cs="Times New Roman"/>
                      <w:color w:val="auto"/>
                      <w:szCs w:val="21"/>
                      <w:highlight w:val="none"/>
                      <w:lang w:val="en-US" w:eastAsia="zh-CN"/>
                    </w:rPr>
                    <w:fldChar w:fldCharType="end"/>
                  </w:r>
                  <w:r>
                    <w:rPr>
                      <w:rFonts w:hint="default" w:ascii="Times New Roman" w:hAnsi="Times New Roman" w:cs="Times New Roman"/>
                      <w:color w:val="auto"/>
                      <w:szCs w:val="21"/>
                      <w:highlight w:val="none"/>
                      <w:lang w:val="en-US" w:eastAsia="zh-CN"/>
                    </w:rPr>
                    <w:t>煤场运输车辆进行全面苫盖</w:t>
                  </w:r>
                  <w:r>
                    <w:rPr>
                      <w:rFonts w:hint="default" w:ascii="Times New Roman" w:hAnsi="Times New Roman" w:cs="Times New Roman"/>
                      <w:color w:val="auto"/>
                      <w:szCs w:val="21"/>
                      <w:highlight w:val="none"/>
                      <w:lang w:eastAsia="zh-CN"/>
                    </w:rPr>
                    <w:t>。</w:t>
                  </w:r>
                </w:p>
              </w:tc>
              <w:tc>
                <w:tcPr>
                  <w:tcW w:w="501" w:type="pct"/>
                  <w:tcBorders>
                    <w:tl2br w:val="nil"/>
                    <w:tr2bl w:val="nil"/>
                  </w:tcBorders>
                  <w:vAlign w:val="center"/>
                </w:tcPr>
                <w:p w14:paraId="2F93389D">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r w14:paraId="670A5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64C895B9">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4D4E6AFF">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t>噪声防治措施</w:t>
                  </w:r>
                </w:p>
              </w:tc>
              <w:tc>
                <w:tcPr>
                  <w:tcW w:w="3486" w:type="pct"/>
                  <w:tcBorders>
                    <w:tl2br w:val="nil"/>
                    <w:tr2bl w:val="nil"/>
                  </w:tcBorders>
                  <w:vAlign w:val="center"/>
                </w:tcPr>
                <w:p w14:paraId="242C103B">
                  <w:pPr>
                    <w:widowControl/>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采用</w:t>
                  </w:r>
                  <w:r>
                    <w:rPr>
                      <w:rFonts w:hint="default" w:ascii="Times New Roman" w:hAnsi="Times New Roman" w:cs="Times New Roman"/>
                      <w:color w:val="auto"/>
                      <w:szCs w:val="21"/>
                      <w:highlight w:val="none"/>
                      <w:lang w:val="en-US" w:eastAsia="zh-CN"/>
                    </w:rPr>
                    <w:t>低噪声设备、减振设施</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场内运输车辆低速、禁鸣措施，</w:t>
                  </w:r>
                  <w:r>
                    <w:rPr>
                      <w:rFonts w:hint="default" w:ascii="Times New Roman" w:hAnsi="Times New Roman" w:cs="Times New Roman"/>
                      <w:color w:val="auto"/>
                      <w:szCs w:val="21"/>
                      <w:highlight w:val="none"/>
                    </w:rPr>
                    <w:t>厂界外满足《工业企业厂界环境噪声排放标准》（GB12348-2008）中</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类标准。</w:t>
                  </w:r>
                </w:p>
              </w:tc>
              <w:tc>
                <w:tcPr>
                  <w:tcW w:w="501" w:type="pct"/>
                  <w:tcBorders>
                    <w:tl2br w:val="nil"/>
                    <w:tr2bl w:val="nil"/>
                  </w:tcBorders>
                  <w:vAlign w:val="center"/>
                </w:tcPr>
                <w:p w14:paraId="0846F850">
                  <w:pPr>
                    <w:pStyle w:val="32"/>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szCs w:val="21"/>
                      <w:highlight w:val="none"/>
                      <w:lang w:val="en-US" w:eastAsia="zh-CN"/>
                    </w:rPr>
                    <w:t>新建</w:t>
                  </w:r>
                </w:p>
              </w:tc>
            </w:tr>
            <w:tr w14:paraId="79A12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2" w:type="pct"/>
                  <w:vMerge w:val="continue"/>
                  <w:tcBorders>
                    <w:tl2br w:val="nil"/>
                    <w:tr2bl w:val="nil"/>
                  </w:tcBorders>
                  <w:vAlign w:val="center"/>
                </w:tcPr>
                <w:p w14:paraId="643AB24E">
                  <w:pPr>
                    <w:pStyle w:val="32"/>
                    <w:rPr>
                      <w:rFonts w:hint="default" w:ascii="Times New Roman" w:hAnsi="Times New Roman" w:cs="Times New Roman"/>
                      <w:color w:val="auto"/>
                      <w:highlight w:val="none"/>
                    </w:rPr>
                  </w:pPr>
                </w:p>
              </w:tc>
              <w:tc>
                <w:tcPr>
                  <w:tcW w:w="639" w:type="pct"/>
                  <w:tcBorders>
                    <w:tl2br w:val="nil"/>
                    <w:tr2bl w:val="nil"/>
                  </w:tcBorders>
                  <w:vAlign w:val="center"/>
                </w:tcPr>
                <w:p w14:paraId="28DA5DEF">
                  <w:pPr>
                    <w:pStyle w:val="3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地下水、土壤保护措施</w:t>
                  </w:r>
                </w:p>
              </w:tc>
              <w:tc>
                <w:tcPr>
                  <w:tcW w:w="3486" w:type="pct"/>
                  <w:tcBorders>
                    <w:tl2br w:val="nil"/>
                    <w:tr2bl w:val="nil"/>
                  </w:tcBorders>
                  <w:vAlign w:val="center"/>
                </w:tcPr>
                <w:p w14:paraId="5966DAE3">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lang w:val="en-US" w:eastAsia="zh-CN"/>
                    </w:rPr>
                    <w:t>车辆进出口及主要通道使用水泥硬化，</w:t>
                  </w:r>
                  <w:r>
                    <w:rPr>
                      <w:rFonts w:hint="default" w:ascii="Times New Roman" w:hAnsi="Times New Roman" w:eastAsia="宋体" w:cs="Times New Roman"/>
                      <w:color w:val="auto"/>
                      <w:sz w:val="21"/>
                      <w:szCs w:val="21"/>
                      <w:highlight w:val="none"/>
                      <w:lang w:val="en-US" w:eastAsia="zh-CN"/>
                    </w:rPr>
                    <w:t>对</w:t>
                  </w:r>
                  <w:r>
                    <w:rPr>
                      <w:rFonts w:hint="default" w:ascii="Times New Roman" w:hAnsi="Times New Roman" w:cs="Times New Roman"/>
                      <w:color w:val="auto"/>
                      <w:sz w:val="21"/>
                      <w:szCs w:val="21"/>
                      <w:highlight w:val="none"/>
                      <w:lang w:val="en-US" w:eastAsia="zh-CN"/>
                    </w:rPr>
                    <w:t>煤炭堆场、初期雨水收集池</w:t>
                  </w:r>
                  <w:r>
                    <w:rPr>
                      <w:rFonts w:hint="default" w:ascii="Times New Roman" w:hAnsi="Times New Roman" w:eastAsia="宋体" w:cs="Times New Roman"/>
                      <w:color w:val="auto"/>
                      <w:sz w:val="21"/>
                      <w:szCs w:val="21"/>
                      <w:highlight w:val="none"/>
                      <w:lang w:val="en-US" w:eastAsia="zh-CN"/>
                    </w:rPr>
                    <w:t>、旱厕进行一般防渗</w:t>
                  </w:r>
                  <w:r>
                    <w:rPr>
                      <w:rFonts w:hint="default" w:ascii="Times New Roman" w:hAnsi="Times New Roman" w:cs="Times New Roman"/>
                      <w:color w:val="auto"/>
                      <w:sz w:val="21"/>
                      <w:szCs w:val="21"/>
                      <w:highlight w:val="none"/>
                      <w:lang w:val="en-US" w:eastAsia="zh-CN"/>
                    </w:rPr>
                    <w:t>，防渗层为</w:t>
                  </w:r>
                  <w:r>
                    <w:rPr>
                      <w:rFonts w:hint="default" w:ascii="Times New Roman" w:hAnsi="Times New Roman" w:cs="Times New Roman"/>
                      <w:color w:val="auto"/>
                      <w:szCs w:val="21"/>
                    </w:rPr>
                    <w:t>等效黏土防渗层Mb≥1.5m，渗透系数≤10</w:t>
                  </w:r>
                  <w:r>
                    <w:rPr>
                      <w:rFonts w:hint="default" w:ascii="Times New Roman" w:hAnsi="Times New Roman" w:cs="Times New Roman"/>
                      <w:color w:val="auto"/>
                      <w:szCs w:val="21"/>
                      <w:vertAlign w:val="superscript"/>
                    </w:rPr>
                    <w:t>-7</w:t>
                  </w:r>
                  <w:r>
                    <w:rPr>
                      <w:rFonts w:hint="default" w:ascii="Times New Roman" w:hAnsi="Times New Roman" w:cs="Times New Roman"/>
                      <w:color w:val="auto"/>
                      <w:szCs w:val="21"/>
                    </w:rPr>
                    <w:t>cm/s）</w:t>
                  </w:r>
                  <w:r>
                    <w:rPr>
                      <w:rFonts w:hint="default" w:ascii="Times New Roman" w:hAnsi="Times New Roman" w:eastAsia="宋体" w:cs="Times New Roman"/>
                      <w:color w:val="auto"/>
                      <w:sz w:val="21"/>
                      <w:szCs w:val="21"/>
                      <w:highlight w:val="none"/>
                      <w:lang w:val="en-US" w:eastAsia="zh-CN"/>
                    </w:rPr>
                    <w:t>。</w:t>
                  </w:r>
                </w:p>
              </w:tc>
              <w:tc>
                <w:tcPr>
                  <w:tcW w:w="501" w:type="pct"/>
                  <w:tcBorders>
                    <w:tl2br w:val="nil"/>
                    <w:tr2bl w:val="nil"/>
                  </w:tcBorders>
                  <w:vAlign w:val="center"/>
                </w:tcPr>
                <w:p w14:paraId="30C43753">
                  <w:pPr>
                    <w:pStyle w:val="3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w:t>
                  </w:r>
                </w:p>
              </w:tc>
            </w:tr>
          </w:tbl>
          <w:p w14:paraId="53F9266C">
            <w:pPr>
              <w:autoSpaceDE w:val="0"/>
              <w:autoSpaceDN w:val="0"/>
              <w:adjustRightInd w:val="0"/>
              <w:spacing w:line="360" w:lineRule="auto"/>
              <w:rPr>
                <w:rFonts w:hint="default" w:ascii="Times New Roman" w:hAnsi="Times New Roman" w:cs="Times New Roman"/>
                <w:color w:val="auto"/>
                <w:sz w:val="24"/>
                <w:highlight w:val="none"/>
              </w:rPr>
            </w:pPr>
            <w:r>
              <w:rPr>
                <w:rFonts w:hint="eastAsia" w:cs="Times New Roman"/>
                <w:b/>
                <w:bCs/>
                <w:color w:val="auto"/>
                <w:sz w:val="24"/>
                <w:highlight w:val="none"/>
                <w:lang w:val="en-US" w:eastAsia="zh-CN"/>
              </w:rPr>
              <w:t>2</w:t>
            </w:r>
            <w:r>
              <w:rPr>
                <w:rFonts w:hint="default" w:ascii="Times New Roman" w:hAnsi="Times New Roman" w:cs="Times New Roman"/>
                <w:b/>
                <w:bCs/>
                <w:color w:val="auto"/>
                <w:sz w:val="24"/>
                <w:highlight w:val="none"/>
              </w:rPr>
              <w:t>、主要设备</w:t>
            </w:r>
          </w:p>
          <w:p w14:paraId="00B7192F">
            <w:pPr>
              <w:autoSpaceDE w:val="0"/>
              <w:autoSpaceDN w:val="0"/>
              <w:adjustRightInd w:val="0"/>
              <w:spacing w:line="360" w:lineRule="auto"/>
              <w:ind w:firstLine="480" w:firstLineChars="200"/>
              <w:rPr>
                <w:rFonts w:hint="default" w:ascii="Times New Roman" w:hAnsi="Times New Roman" w:eastAsia="宋体" w:cs="Times New Roman"/>
                <w:b/>
                <w:bCs/>
                <w:color w:val="auto"/>
                <w:sz w:val="24"/>
                <w:szCs w:val="24"/>
                <w:highlight w:val="none"/>
              </w:rPr>
            </w:pPr>
            <w:r>
              <w:rPr>
                <w:rFonts w:hint="default" w:ascii="Times New Roman" w:hAnsi="Times New Roman" w:cs="Times New Roman"/>
                <w:color w:val="auto"/>
                <w:sz w:val="24"/>
                <w:highlight w:val="none"/>
              </w:rPr>
              <w:t>本项目主要设备清单见下表2-2。</w:t>
            </w:r>
          </w:p>
          <w:p w14:paraId="31FA1D1A">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表2-2设备明细一览表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4"/>
              <w:gridCol w:w="4174"/>
              <w:gridCol w:w="1094"/>
              <w:gridCol w:w="2050"/>
            </w:tblGrid>
            <w:tr w14:paraId="66E31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41E3618F">
                  <w:pPr>
                    <w:jc w:val="center"/>
                    <w:rPr>
                      <w:rStyle w:val="33"/>
                      <w:rFonts w:hint="default" w:ascii="Times New Roman" w:hAnsi="Times New Roman" w:cs="Times New Roman"/>
                      <w:color w:val="auto"/>
                      <w:szCs w:val="21"/>
                      <w:highlight w:val="none"/>
                    </w:rPr>
                  </w:pPr>
                  <w:r>
                    <w:rPr>
                      <w:rStyle w:val="33"/>
                      <w:rFonts w:hint="default" w:ascii="Times New Roman" w:hAnsi="Times New Roman" w:cs="Times New Roman"/>
                      <w:color w:val="auto"/>
                      <w:szCs w:val="21"/>
                      <w:highlight w:val="none"/>
                    </w:rPr>
                    <w:t>序号</w:t>
                  </w:r>
                </w:p>
              </w:tc>
              <w:tc>
                <w:tcPr>
                  <w:tcW w:w="2446" w:type="pct"/>
                  <w:vAlign w:val="center"/>
                </w:tcPr>
                <w:p w14:paraId="4D6A4AE5">
                  <w:pPr>
                    <w:jc w:val="center"/>
                    <w:rPr>
                      <w:rStyle w:val="33"/>
                      <w:rFonts w:hint="default" w:ascii="Times New Roman" w:hAnsi="Times New Roman" w:cs="Times New Roman"/>
                      <w:color w:val="auto"/>
                      <w:szCs w:val="21"/>
                      <w:highlight w:val="none"/>
                    </w:rPr>
                  </w:pPr>
                  <w:r>
                    <w:rPr>
                      <w:rStyle w:val="33"/>
                      <w:rFonts w:hint="default" w:ascii="Times New Roman" w:hAnsi="Times New Roman" w:cs="Times New Roman"/>
                      <w:color w:val="auto"/>
                      <w:szCs w:val="21"/>
                      <w:highlight w:val="none"/>
                    </w:rPr>
                    <w:t>名称</w:t>
                  </w:r>
                </w:p>
              </w:tc>
              <w:tc>
                <w:tcPr>
                  <w:tcW w:w="641" w:type="pct"/>
                  <w:vAlign w:val="center"/>
                </w:tcPr>
                <w:p w14:paraId="6C7397CE">
                  <w:pPr>
                    <w:jc w:val="center"/>
                    <w:rPr>
                      <w:rStyle w:val="33"/>
                      <w:rFonts w:hint="default" w:ascii="Times New Roman" w:hAnsi="Times New Roman" w:cs="Times New Roman"/>
                      <w:color w:val="auto"/>
                      <w:szCs w:val="21"/>
                      <w:highlight w:val="none"/>
                    </w:rPr>
                  </w:pPr>
                  <w:r>
                    <w:rPr>
                      <w:rStyle w:val="33"/>
                      <w:rFonts w:hint="default" w:ascii="Times New Roman" w:hAnsi="Times New Roman" w:cs="Times New Roman"/>
                      <w:color w:val="auto"/>
                      <w:szCs w:val="21"/>
                      <w:highlight w:val="none"/>
                    </w:rPr>
                    <w:t>数量</w:t>
                  </w:r>
                </w:p>
              </w:tc>
              <w:tc>
                <w:tcPr>
                  <w:tcW w:w="1201" w:type="pct"/>
                  <w:vAlign w:val="center"/>
                </w:tcPr>
                <w:p w14:paraId="64DB79FD">
                  <w:pPr>
                    <w:jc w:val="center"/>
                    <w:rPr>
                      <w:rStyle w:val="33"/>
                      <w:rFonts w:hint="default" w:ascii="Times New Roman" w:hAnsi="Times New Roman" w:cs="Times New Roman"/>
                      <w:color w:val="auto"/>
                      <w:szCs w:val="21"/>
                      <w:highlight w:val="none"/>
                    </w:rPr>
                  </w:pPr>
                  <w:r>
                    <w:rPr>
                      <w:rStyle w:val="33"/>
                      <w:rFonts w:hint="default" w:ascii="Times New Roman" w:hAnsi="Times New Roman" w:cs="Times New Roman"/>
                      <w:color w:val="auto"/>
                      <w:szCs w:val="21"/>
                      <w:highlight w:val="none"/>
                      <w:lang w:val="en-US"/>
                    </w:rPr>
                    <w:t>备注</w:t>
                  </w:r>
                </w:p>
              </w:tc>
            </w:tr>
            <w:tr w14:paraId="2F31C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1F27667B">
                  <w:pPr>
                    <w:jc w:val="center"/>
                    <w:rPr>
                      <w:rStyle w:val="33"/>
                      <w:rFonts w:hint="default" w:ascii="Times New Roman" w:hAnsi="Times New Roman" w:cs="Times New Roman"/>
                      <w:color w:val="auto"/>
                      <w:szCs w:val="21"/>
                      <w:highlight w:val="none"/>
                    </w:rPr>
                  </w:pPr>
                  <w:r>
                    <w:rPr>
                      <w:rStyle w:val="33"/>
                      <w:rFonts w:hint="default" w:ascii="Times New Roman" w:hAnsi="Times New Roman" w:cs="Times New Roman"/>
                      <w:color w:val="auto"/>
                      <w:szCs w:val="21"/>
                      <w:highlight w:val="none"/>
                    </w:rPr>
                    <w:t>1</w:t>
                  </w:r>
                </w:p>
              </w:tc>
              <w:tc>
                <w:tcPr>
                  <w:tcW w:w="2446" w:type="pct"/>
                  <w:vAlign w:val="center"/>
                </w:tcPr>
                <w:p w14:paraId="652E671A">
                  <w:pPr>
                    <w:jc w:val="center"/>
                    <w:rPr>
                      <w:rStyle w:val="33"/>
                      <w:rFonts w:hint="default" w:ascii="Times New Roman" w:hAnsi="Times New Roman" w:cs="Times New Roman"/>
                      <w:color w:val="auto"/>
                      <w:szCs w:val="21"/>
                      <w:highlight w:val="none"/>
                    </w:rPr>
                  </w:pPr>
                  <w:r>
                    <w:rPr>
                      <w:rStyle w:val="33"/>
                      <w:rFonts w:hint="default" w:ascii="Times New Roman" w:hAnsi="Times New Roman" w:cs="Times New Roman"/>
                      <w:color w:val="auto"/>
                      <w:szCs w:val="21"/>
                      <w:highlight w:val="none"/>
                      <w:lang w:val="en-US"/>
                    </w:rPr>
                    <w:t>铲车</w:t>
                  </w:r>
                </w:p>
              </w:tc>
              <w:tc>
                <w:tcPr>
                  <w:tcW w:w="641" w:type="pct"/>
                  <w:vAlign w:val="center"/>
                </w:tcPr>
                <w:p w14:paraId="23968838">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3台</w:t>
                  </w:r>
                </w:p>
              </w:tc>
              <w:tc>
                <w:tcPr>
                  <w:tcW w:w="1201" w:type="pct"/>
                  <w:vAlign w:val="center"/>
                </w:tcPr>
                <w:p w14:paraId="06F9FC94">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w:t>
                  </w:r>
                </w:p>
              </w:tc>
            </w:tr>
            <w:tr w14:paraId="6E9E2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484BB6E2">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2</w:t>
                  </w:r>
                </w:p>
              </w:tc>
              <w:tc>
                <w:tcPr>
                  <w:tcW w:w="2446" w:type="pct"/>
                  <w:vAlign w:val="center"/>
                </w:tcPr>
                <w:p w14:paraId="21AF5A6D">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洒水车</w:t>
                  </w:r>
                </w:p>
              </w:tc>
              <w:tc>
                <w:tcPr>
                  <w:tcW w:w="641" w:type="pct"/>
                  <w:vAlign w:val="center"/>
                </w:tcPr>
                <w:p w14:paraId="09337A92">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1台</w:t>
                  </w:r>
                </w:p>
              </w:tc>
              <w:tc>
                <w:tcPr>
                  <w:tcW w:w="1201" w:type="pct"/>
                  <w:vAlign w:val="center"/>
                </w:tcPr>
                <w:p w14:paraId="743EE5B1">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w:t>
                  </w:r>
                </w:p>
              </w:tc>
            </w:tr>
            <w:tr w14:paraId="7A649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01B73962">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3</w:t>
                  </w:r>
                </w:p>
              </w:tc>
              <w:tc>
                <w:tcPr>
                  <w:tcW w:w="2446" w:type="pct"/>
                  <w:vAlign w:val="center"/>
                </w:tcPr>
                <w:p w14:paraId="1166AFB7">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水泵</w:t>
                  </w:r>
                </w:p>
              </w:tc>
              <w:tc>
                <w:tcPr>
                  <w:tcW w:w="641" w:type="pct"/>
                  <w:vAlign w:val="center"/>
                </w:tcPr>
                <w:p w14:paraId="09671B8A">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1台</w:t>
                  </w:r>
                </w:p>
              </w:tc>
              <w:tc>
                <w:tcPr>
                  <w:tcW w:w="1201" w:type="pct"/>
                  <w:vAlign w:val="center"/>
                </w:tcPr>
                <w:p w14:paraId="486FA3AF">
                  <w:pPr>
                    <w:jc w:val="center"/>
                    <w:rPr>
                      <w:rStyle w:val="33"/>
                      <w:rFonts w:hint="default" w:ascii="Times New Roman" w:hAnsi="Times New Roman" w:cs="Times New Roman"/>
                      <w:color w:val="auto"/>
                      <w:szCs w:val="21"/>
                      <w:highlight w:val="none"/>
                      <w:lang w:val="en-US"/>
                    </w:rPr>
                  </w:pPr>
                  <w:r>
                    <w:rPr>
                      <w:rStyle w:val="33"/>
                      <w:rFonts w:hint="default" w:ascii="Times New Roman" w:hAnsi="Times New Roman" w:cs="Times New Roman"/>
                      <w:color w:val="auto"/>
                      <w:szCs w:val="21"/>
                      <w:highlight w:val="none"/>
                      <w:lang w:val="en-US"/>
                    </w:rPr>
                    <w:t>/</w:t>
                  </w:r>
                </w:p>
              </w:tc>
            </w:tr>
          </w:tbl>
          <w:p w14:paraId="6078467E">
            <w:pPr>
              <w:adjustRightInd w:val="0"/>
              <w:spacing w:line="360" w:lineRule="auto"/>
              <w:rPr>
                <w:rFonts w:hint="default" w:ascii="Times New Roman" w:hAnsi="Times New Roman" w:eastAsia="仿宋_GB2312" w:cs="Times New Roman"/>
                <w:color w:val="auto"/>
                <w:sz w:val="28"/>
                <w:szCs w:val="28"/>
                <w:highlight w:val="none"/>
              </w:rPr>
            </w:pPr>
            <w:r>
              <w:rPr>
                <w:rFonts w:hint="eastAsia" w:cs="Times New Roman"/>
                <w:b/>
                <w:bCs/>
                <w:color w:val="auto"/>
                <w:sz w:val="24"/>
                <w:highlight w:val="none"/>
                <w:lang w:val="en-US" w:eastAsia="zh-CN"/>
              </w:rPr>
              <w:t>3</w:t>
            </w:r>
            <w:r>
              <w:rPr>
                <w:rFonts w:hint="default" w:ascii="Times New Roman" w:hAnsi="Times New Roman" w:cs="Times New Roman"/>
                <w:b/>
                <w:bCs/>
                <w:color w:val="auto"/>
                <w:sz w:val="24"/>
                <w:highlight w:val="none"/>
              </w:rPr>
              <w:t>、工作制度及劳动定员</w:t>
            </w:r>
          </w:p>
          <w:p w14:paraId="5170FCC4">
            <w:pPr>
              <w:tabs>
                <w:tab w:val="left" w:pos="630"/>
              </w:tabs>
              <w:spacing w:line="360" w:lineRule="auto"/>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eastAsia="宋体" w:cs="Times New Roman"/>
                <w:color w:val="auto"/>
                <w:sz w:val="24"/>
                <w:highlight w:val="none"/>
              </w:rPr>
              <w:t>本项目年工作</w:t>
            </w:r>
            <w:r>
              <w:rPr>
                <w:rFonts w:hint="default" w:ascii="Times New Roman" w:hAnsi="Times New Roman" w:cs="Times New Roman"/>
                <w:color w:val="auto"/>
                <w:sz w:val="24"/>
                <w:highlight w:val="none"/>
                <w:lang w:val="en-US" w:eastAsia="zh-CN"/>
              </w:rPr>
              <w:t>300</w:t>
            </w:r>
            <w:r>
              <w:rPr>
                <w:rFonts w:hint="default" w:ascii="Times New Roman" w:hAnsi="Times New Roman" w:eastAsia="宋体" w:cs="Times New Roman"/>
                <w:color w:val="auto"/>
                <w:sz w:val="24"/>
                <w:highlight w:val="none"/>
              </w:rPr>
              <w:t>天，每天工作</w:t>
            </w:r>
            <w:r>
              <w:rPr>
                <w:rFonts w:hint="default" w:ascii="Times New Roman" w:hAnsi="Times New Roman" w:cs="Times New Roman"/>
                <w:color w:val="auto"/>
                <w:sz w:val="24"/>
                <w:highlight w:val="none"/>
                <w:lang w:val="en-US" w:eastAsia="zh-CN"/>
              </w:rPr>
              <w:t>8</w:t>
            </w:r>
            <w:r>
              <w:rPr>
                <w:rFonts w:hint="default" w:ascii="Times New Roman" w:hAnsi="Times New Roman" w:eastAsia="宋体" w:cs="Times New Roman"/>
                <w:color w:val="auto"/>
                <w:sz w:val="24"/>
                <w:highlight w:val="none"/>
              </w:rPr>
              <w:t>h，</w:t>
            </w:r>
            <w:r>
              <w:rPr>
                <w:rFonts w:hint="default" w:ascii="Times New Roman" w:hAnsi="Times New Roman" w:cs="Times New Roman"/>
                <w:color w:val="auto"/>
                <w:sz w:val="24"/>
                <w:highlight w:val="none"/>
                <w:lang w:val="en-US" w:eastAsia="zh-CN"/>
              </w:rPr>
              <w:t>储煤场</w:t>
            </w:r>
            <w:r>
              <w:rPr>
                <w:rFonts w:hint="default" w:ascii="Times New Roman" w:hAnsi="Times New Roman" w:eastAsia="宋体" w:cs="Times New Roman"/>
                <w:color w:val="auto"/>
                <w:sz w:val="24"/>
                <w:highlight w:val="none"/>
                <w:lang w:val="en-US" w:eastAsia="zh-CN"/>
              </w:rPr>
              <w:t>劳动定员</w:t>
            </w:r>
            <w:r>
              <w:rPr>
                <w:rFonts w:hint="eastAsia"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人，项目</w:t>
            </w:r>
            <w:r>
              <w:rPr>
                <w:rFonts w:hint="default" w:ascii="Times New Roman" w:hAnsi="Times New Roman" w:eastAsia="宋体" w:cs="Times New Roman"/>
                <w:color w:val="auto"/>
                <w:sz w:val="24"/>
                <w:highlight w:val="none"/>
              </w:rPr>
              <w:t>不</w:t>
            </w:r>
            <w:r>
              <w:rPr>
                <w:rFonts w:hint="default" w:ascii="Times New Roman" w:hAnsi="Times New Roman" w:eastAsia="宋体" w:cs="Times New Roman"/>
                <w:color w:val="auto"/>
                <w:sz w:val="24"/>
                <w:highlight w:val="none"/>
                <w:lang w:val="en-US" w:eastAsia="zh-CN"/>
              </w:rPr>
              <w:t>设置</w:t>
            </w:r>
            <w:r>
              <w:rPr>
                <w:rFonts w:hint="default" w:ascii="Times New Roman" w:hAnsi="Times New Roman" w:eastAsia="宋体" w:cs="Times New Roman"/>
                <w:color w:val="auto"/>
                <w:sz w:val="24"/>
                <w:highlight w:val="none"/>
              </w:rPr>
              <w:t>食堂和宿舍</w:t>
            </w:r>
            <w:r>
              <w:rPr>
                <w:rFonts w:hint="default" w:ascii="Times New Roman" w:hAnsi="Times New Roman" w:cs="Times New Roman"/>
                <w:snapToGrid w:val="0"/>
                <w:color w:val="auto"/>
                <w:kern w:val="0"/>
                <w:sz w:val="24"/>
                <w:highlight w:val="none"/>
              </w:rPr>
              <w:t>。</w:t>
            </w:r>
          </w:p>
          <w:p w14:paraId="3432782D">
            <w:pPr>
              <w:pStyle w:val="19"/>
              <w:widowControl w:val="0"/>
              <w:snapToGrid/>
              <w:spacing w:before="0" w:after="0" w:line="360" w:lineRule="auto"/>
              <w:ind w:right="0" w:firstLine="0" w:firstLineChars="0"/>
              <w:rPr>
                <w:rFonts w:hint="default" w:ascii="Times New Roman" w:hAnsi="Times New Roman" w:cs="Times New Roman"/>
                <w:color w:val="auto"/>
                <w:sz w:val="24"/>
                <w:szCs w:val="24"/>
                <w:highlight w:val="none"/>
              </w:rPr>
            </w:pPr>
            <w:r>
              <w:rPr>
                <w:rFonts w:hint="eastAsia"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、公用工程</w:t>
            </w:r>
            <w:r>
              <w:rPr>
                <w:rFonts w:hint="default" w:ascii="Times New Roman" w:hAnsi="Times New Roman" w:cs="Times New Roman"/>
                <w:color w:val="auto"/>
                <w:sz w:val="24"/>
                <w:szCs w:val="24"/>
                <w:highlight w:val="none"/>
              </w:rPr>
              <w:t xml:space="preserve">  </w:t>
            </w:r>
          </w:p>
          <w:p w14:paraId="259A7CDE">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给水</w:t>
            </w:r>
          </w:p>
          <w:p w14:paraId="78E436CF">
            <w:pPr>
              <w:tabs>
                <w:tab w:val="left" w:pos="630"/>
              </w:tabs>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z w:val="24"/>
                <w:highlight w:val="none"/>
              </w:rPr>
              <w:t>本项目</w:t>
            </w:r>
            <w:r>
              <w:rPr>
                <w:rFonts w:hint="default" w:ascii="Times New Roman" w:hAnsi="Times New Roman" w:cs="Times New Roman"/>
                <w:color w:val="auto"/>
                <w:sz w:val="24"/>
                <w:highlight w:val="none"/>
                <w:lang w:val="en-US" w:eastAsia="zh-CN"/>
              </w:rPr>
              <w:t>生活及生产</w:t>
            </w:r>
            <w:r>
              <w:rPr>
                <w:rFonts w:hint="default" w:ascii="Times New Roman" w:hAnsi="Times New Roman" w:eastAsia="宋体" w:cs="Times New Roman"/>
                <w:color w:val="auto"/>
                <w:sz w:val="24"/>
                <w:highlight w:val="none"/>
              </w:rPr>
              <w:t>用水</w:t>
            </w:r>
            <w:r>
              <w:rPr>
                <w:rFonts w:hint="default" w:ascii="Times New Roman" w:hAnsi="Times New Roman" w:cs="Times New Roman"/>
                <w:color w:val="auto"/>
                <w:sz w:val="24"/>
                <w:highlight w:val="none"/>
                <w:lang w:val="en-US" w:eastAsia="zh-CN"/>
              </w:rPr>
              <w:t>来源主要为外购用水和初期雨水收集池收集的雨水。</w:t>
            </w:r>
          </w:p>
          <w:p w14:paraId="5931F2AF">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生活用水：</w:t>
            </w:r>
            <w:r>
              <w:rPr>
                <w:rFonts w:hint="default" w:ascii="Times New Roman" w:hAnsi="Times New Roman" w:cs="Times New Roman"/>
                <w:color w:val="auto"/>
                <w:sz w:val="24"/>
                <w:highlight w:val="none"/>
                <w:lang w:val="en-US" w:eastAsia="zh-CN"/>
              </w:rPr>
              <w:t>本项目劳动定员</w:t>
            </w:r>
            <w:r>
              <w:rPr>
                <w:rFonts w:hint="eastAsia" w:cs="Times New Roman"/>
                <w:color w:val="auto"/>
                <w:sz w:val="24"/>
                <w:highlight w:val="none"/>
                <w:lang w:val="en-US" w:eastAsia="zh-CN"/>
              </w:rPr>
              <w:t>4</w:t>
            </w:r>
            <w:r>
              <w:rPr>
                <w:rFonts w:hint="default" w:ascii="Times New Roman" w:hAnsi="Times New Roman" w:cs="Times New Roman"/>
                <w:color w:val="auto"/>
                <w:sz w:val="24"/>
                <w:highlight w:val="none"/>
                <w:lang w:val="en-US" w:eastAsia="zh-CN"/>
              </w:rPr>
              <w:t>人，</w:t>
            </w:r>
            <w:r>
              <w:rPr>
                <w:rFonts w:hint="default" w:ascii="Times New Roman" w:hAnsi="Times New Roman" w:eastAsia="宋体" w:cs="Times New Roman"/>
                <w:bCs/>
                <w:color w:val="auto"/>
                <w:sz w:val="24"/>
                <w:highlight w:val="none"/>
              </w:rPr>
              <w:t>根据《黑龙江省地方标准用水定额》（BD23/T727-2021），员工用水量为80（L/人·d），生活用水量</w:t>
            </w:r>
            <w:r>
              <w:rPr>
                <w:rFonts w:hint="default" w:ascii="Times New Roman" w:hAnsi="Times New Roman" w:eastAsia="宋体" w:cs="Times New Roman"/>
                <w:bCs/>
                <w:color w:val="auto"/>
                <w:sz w:val="24"/>
                <w:highlight w:val="none"/>
                <w:lang w:val="en-US" w:eastAsia="zh-CN"/>
              </w:rPr>
              <w:t>0.</w:t>
            </w:r>
            <w:r>
              <w:rPr>
                <w:rFonts w:hint="eastAsia" w:cs="Times New Roman"/>
                <w:bCs/>
                <w:color w:val="auto"/>
                <w:sz w:val="24"/>
                <w:highlight w:val="none"/>
                <w:lang w:val="en-US" w:eastAsia="zh-CN"/>
              </w:rPr>
              <w:t>32</w:t>
            </w:r>
            <w:r>
              <w:rPr>
                <w:rFonts w:hint="default" w:ascii="Times New Roman" w:hAnsi="Times New Roman" w:eastAsia="宋体" w:cs="Times New Roman"/>
                <w:bCs/>
                <w:color w:val="auto"/>
                <w:sz w:val="24"/>
                <w:highlight w:val="none"/>
              </w:rPr>
              <w:t>/d，</w:t>
            </w:r>
            <w:r>
              <w:rPr>
                <w:rFonts w:hint="eastAsia" w:cs="Times New Roman"/>
                <w:bCs/>
                <w:color w:val="auto"/>
                <w:sz w:val="24"/>
                <w:highlight w:val="none"/>
                <w:lang w:val="en-US" w:eastAsia="zh-CN"/>
              </w:rPr>
              <w:t>96</w:t>
            </w:r>
            <w:r>
              <w:rPr>
                <w:rFonts w:hint="default" w:ascii="Times New Roman" w:hAnsi="Times New Roman" w:eastAsia="宋体" w:cs="Times New Roman"/>
                <w:bCs/>
                <w:color w:val="auto"/>
                <w:sz w:val="24"/>
                <w:highlight w:val="none"/>
              </w:rPr>
              <w:t>t/a，产生的生活污水排入防渗旱厕，定期清掏，外运堆肥</w:t>
            </w:r>
            <w:r>
              <w:rPr>
                <w:rFonts w:hint="default" w:ascii="Times New Roman" w:hAnsi="Times New Roman" w:eastAsia="宋体" w:cs="Times New Roman"/>
                <w:color w:val="auto"/>
                <w:sz w:val="24"/>
                <w:highlight w:val="none"/>
              </w:rPr>
              <w:t>。</w:t>
            </w:r>
          </w:p>
          <w:p w14:paraId="0D3D4892">
            <w:pPr>
              <w:tabs>
                <w:tab w:val="left" w:pos="630"/>
              </w:tabs>
              <w:spacing w:line="360" w:lineRule="auto"/>
              <w:ind w:firstLine="480" w:firstLineChars="200"/>
              <w:rPr>
                <w:rFonts w:hint="default" w:ascii="Times New Roman" w:hAnsi="Times New Roman" w:cs="Times New Roman"/>
                <w:color w:val="auto"/>
                <w:lang w:val="en-US" w:eastAsia="zh-CN"/>
              </w:rPr>
            </w:pPr>
            <w:r>
              <w:rPr>
                <w:rFonts w:hint="default" w:ascii="Times New Roman" w:hAnsi="Times New Roman" w:eastAsia="宋体" w:cs="Times New Roman"/>
                <w:color w:val="auto"/>
                <w:sz w:val="24"/>
                <w:highlight w:val="none"/>
                <w:lang w:val="en-US" w:eastAsia="zh-CN"/>
              </w:rPr>
              <w:t>堆场及道路洒水</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lang w:val="en-US" w:eastAsia="zh-CN"/>
              </w:rPr>
              <w:t>储煤场总面积</w:t>
            </w:r>
            <w:r>
              <w:rPr>
                <w:rFonts w:hint="eastAsia" w:cs="Times New Roman"/>
                <w:color w:val="auto"/>
                <w:sz w:val="24"/>
                <w:highlight w:val="none"/>
                <w:lang w:val="en-US" w:eastAsia="zh-CN"/>
              </w:rPr>
              <w:t>10141</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szCs w:val="24"/>
              </w:rPr>
              <w:t>根据《煤炭洗选工程设计规范》（GB50359-2016）中道路浇洒用水，用水定额为2.0~3.0L/（m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·d），本项目取2.0L/（m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·d）</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堆场及道路洒水量为</w:t>
            </w:r>
            <w:r>
              <w:rPr>
                <w:rFonts w:hint="eastAsia" w:cs="Times New Roman"/>
                <w:color w:val="auto"/>
                <w:sz w:val="24"/>
                <w:highlight w:val="none"/>
                <w:lang w:val="en-US" w:eastAsia="zh-CN"/>
              </w:rPr>
              <w:t>20.28</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/d、</w:t>
            </w:r>
            <w:r>
              <w:rPr>
                <w:rFonts w:hint="eastAsia" w:cs="Times New Roman"/>
                <w:color w:val="auto"/>
                <w:sz w:val="24"/>
                <w:highlight w:val="none"/>
                <w:lang w:val="en-US" w:eastAsia="zh-CN"/>
              </w:rPr>
              <w:t>3650.4</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/a（全年洒水以18</w:t>
            </w:r>
            <w:r>
              <w:rPr>
                <w:rFonts w:hint="default" w:ascii="Times New Roman" w:hAnsi="Times New Roman" w:cs="Times New Roman"/>
                <w:color w:val="auto"/>
                <w:sz w:val="24"/>
                <w:highlight w:val="none"/>
                <w:lang w:val="en-US" w:eastAsia="zh-CN"/>
              </w:rPr>
              <w:t>0</w:t>
            </w:r>
            <w:r>
              <w:rPr>
                <w:rFonts w:hint="default" w:ascii="Times New Roman" w:hAnsi="Times New Roman" w:eastAsia="宋体" w:cs="Times New Roman"/>
                <w:color w:val="auto"/>
                <w:sz w:val="24"/>
                <w:highlight w:val="none"/>
                <w:lang w:val="en-US" w:eastAsia="zh-CN"/>
              </w:rPr>
              <w:t>天计</w:t>
            </w:r>
            <w:r>
              <w:rPr>
                <w:rFonts w:hint="eastAsia" w:cs="Times New Roman"/>
                <w:color w:val="auto"/>
                <w:sz w:val="24"/>
                <w:highlight w:val="none"/>
                <w:lang w:val="en-US" w:eastAsia="zh-CN"/>
              </w:rPr>
              <w:t>，全年洒水时间为600h</w:t>
            </w:r>
            <w:r>
              <w:rPr>
                <w:rFonts w:hint="default" w:ascii="Times New Roman" w:hAnsi="Times New Roman" w:eastAsia="宋体"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，初期雨水产生量约为</w:t>
            </w:r>
            <w:r>
              <w:rPr>
                <w:rFonts w:hint="eastAsia" w:cs="Times New Roman"/>
                <w:color w:val="auto"/>
                <w:sz w:val="24"/>
                <w:szCs w:val="22"/>
                <w:highlight w:val="none"/>
                <w:lang w:val="en-US" w:eastAsia="zh-CN"/>
              </w:rPr>
              <w:t>174.89</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/a，全部用于洒水降尘，其余3,475.51m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/a由</w:t>
            </w:r>
            <w:r>
              <w:rPr>
                <w:rFonts w:hint="eastAsia" w:cs="Times New Roman"/>
                <w:color w:val="auto"/>
                <w:sz w:val="24"/>
                <w:highlight w:val="none"/>
                <w:lang w:val="en-US" w:eastAsia="zh-CN"/>
              </w:rPr>
              <w:t>外雇洒水车自带</w:t>
            </w:r>
            <w:r>
              <w:rPr>
                <w:rFonts w:hint="default" w:ascii="Times New Roman" w:hAnsi="Times New Roman" w:cs="Times New Roman"/>
                <w:color w:val="auto"/>
                <w:sz w:val="24"/>
                <w:highlight w:val="none"/>
                <w:lang w:val="en-US" w:eastAsia="zh-CN"/>
              </w:rPr>
              <w:t>。</w:t>
            </w:r>
          </w:p>
          <w:p w14:paraId="0393BF39">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排水</w:t>
            </w:r>
          </w:p>
          <w:p w14:paraId="1A8E7381">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Calibri" w:hAnsi="Calibri" w:eastAsia="宋体" w:cs="Calibri"/>
                <w:color w:val="auto"/>
                <w:sz w:val="24"/>
                <w:highlight w:val="none"/>
              </w:rPr>
              <w:t>①</w:t>
            </w:r>
            <w:r>
              <w:rPr>
                <w:rFonts w:hint="default" w:ascii="Times New Roman" w:hAnsi="Times New Roman" w:eastAsia="宋体" w:cs="Times New Roman"/>
                <w:color w:val="auto"/>
                <w:sz w:val="24"/>
                <w:highlight w:val="none"/>
              </w:rPr>
              <w:t>生活废水</w:t>
            </w:r>
          </w:p>
          <w:p w14:paraId="7210D99C">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生活废水产生量按用水量的80%计，</w:t>
            </w:r>
            <w:r>
              <w:rPr>
                <w:rFonts w:hint="default" w:ascii="Times New Roman" w:hAnsi="Times New Roman" w:cs="Times New Roman"/>
                <w:color w:val="auto"/>
                <w:sz w:val="24"/>
                <w:highlight w:val="none"/>
                <w:lang w:val="en-US" w:eastAsia="zh-CN"/>
              </w:rPr>
              <w:t>生活污水产生量0.</w:t>
            </w:r>
            <w:r>
              <w:rPr>
                <w:rFonts w:hint="eastAsia" w:cs="Times New Roman"/>
                <w:color w:val="auto"/>
                <w:sz w:val="24"/>
                <w:highlight w:val="none"/>
                <w:lang w:val="en-US" w:eastAsia="zh-CN"/>
              </w:rPr>
              <w:t>256</w:t>
            </w:r>
            <w:r>
              <w:rPr>
                <w:rFonts w:hint="default" w:ascii="Times New Roman" w:hAnsi="Times New Roman" w:cs="Times New Roman"/>
                <w:color w:val="auto"/>
                <w:sz w:val="24"/>
                <w:highlight w:val="none"/>
                <w:lang w:val="en-US" w:eastAsia="zh-CN"/>
              </w:rPr>
              <w:t>t/d，</w:t>
            </w:r>
            <w:r>
              <w:rPr>
                <w:rFonts w:hint="eastAsia" w:cs="Times New Roman"/>
                <w:color w:val="auto"/>
                <w:sz w:val="24"/>
                <w:highlight w:val="none"/>
                <w:lang w:val="en-US" w:eastAsia="zh-CN"/>
              </w:rPr>
              <w:t>76.8</w:t>
            </w:r>
            <w:r>
              <w:rPr>
                <w:rFonts w:hint="default" w:ascii="Times New Roman" w:hAnsi="Times New Roman" w:cs="Times New Roman"/>
                <w:color w:val="auto"/>
                <w:sz w:val="24"/>
                <w:highlight w:val="none"/>
                <w:lang w:val="en-US" w:eastAsia="zh-CN"/>
              </w:rPr>
              <w:t>t/a产生的</w:t>
            </w:r>
            <w:r>
              <w:rPr>
                <w:rFonts w:hint="default" w:ascii="Times New Roman" w:hAnsi="Times New Roman" w:eastAsia="宋体" w:cs="Times New Roman"/>
                <w:color w:val="auto"/>
                <w:sz w:val="24"/>
                <w:highlight w:val="none"/>
              </w:rPr>
              <w:t>生活污水排入防渗旱厕，定期清掏，外运堆肥。</w:t>
            </w:r>
          </w:p>
          <w:p w14:paraId="1416E33F">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Calibri" w:hAnsi="Calibri" w:eastAsia="宋体" w:cs="Calibri"/>
                <w:color w:val="auto"/>
                <w:sz w:val="24"/>
                <w:highlight w:val="none"/>
              </w:rPr>
              <w:t>②</w:t>
            </w:r>
            <w:r>
              <w:rPr>
                <w:rFonts w:hint="default" w:ascii="Times New Roman" w:hAnsi="Times New Roman" w:eastAsia="宋体" w:cs="Times New Roman"/>
                <w:color w:val="auto"/>
                <w:sz w:val="24"/>
                <w:highlight w:val="none"/>
              </w:rPr>
              <w:t>生产废水</w:t>
            </w:r>
          </w:p>
          <w:p w14:paraId="2C979D29">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highlight w:val="none"/>
                <w:lang w:val="en-US" w:eastAsia="zh-CN"/>
              </w:rPr>
              <w:t>本项目生产用水仅有堆场及道路洒水，堆场及道路洒水全部蒸发，</w:t>
            </w:r>
            <w:r>
              <w:rPr>
                <w:rFonts w:hint="default" w:ascii="Times New Roman" w:hAnsi="Times New Roman" w:eastAsia="宋体" w:cs="Times New Roman"/>
                <w:color w:val="auto"/>
                <w:sz w:val="24"/>
                <w:highlight w:val="none"/>
              </w:rPr>
              <w:t>项目无</w:t>
            </w:r>
            <w:r>
              <w:rPr>
                <w:rFonts w:hint="default" w:ascii="Times New Roman" w:hAnsi="Times New Roman" w:cs="Times New Roman"/>
                <w:color w:val="auto"/>
                <w:sz w:val="24"/>
                <w:highlight w:val="none"/>
                <w:lang w:val="en-US" w:eastAsia="zh-CN"/>
              </w:rPr>
              <w:t>生产</w:t>
            </w:r>
            <w:r>
              <w:rPr>
                <w:rFonts w:hint="default" w:ascii="Times New Roman" w:hAnsi="Times New Roman" w:eastAsia="宋体" w:cs="Times New Roman"/>
                <w:color w:val="auto"/>
                <w:sz w:val="24"/>
                <w:highlight w:val="none"/>
              </w:rPr>
              <w:t>废水产生。</w:t>
            </w:r>
          </w:p>
          <w:p w14:paraId="72AB5E53">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eastAsia" w:cs="Times New Roman"/>
                <w:bCs/>
                <w:color w:val="auto"/>
                <w:sz w:val="24"/>
                <w:highlight w:val="none"/>
                <w:lang w:val="en-US" w:eastAsia="zh-CN"/>
              </w:rPr>
              <w:t>（3）初期雨水</w:t>
            </w:r>
          </w:p>
          <w:p w14:paraId="3B68862F">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厂区汇集雨水主要来源为降水，即初期雨水。按照暴雨强度公式，进而推出雨水汇水量，暴雨强度根据软件计算：</w:t>
            </w:r>
          </w:p>
          <w:p w14:paraId="7D06D51C">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暴雨强度为171.46L/（s·ha）。</w:t>
            </w:r>
          </w:p>
          <w:p w14:paraId="1BDE6B16">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雨水流量按下式计算，计算结果见下表：</w:t>
            </w:r>
          </w:p>
          <w:p w14:paraId="6718C34C">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Q=q•ψ•F；</w:t>
            </w:r>
          </w:p>
          <w:p w14:paraId="32690074">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Q─雨水设计流量（l/s）；</w:t>
            </w:r>
          </w:p>
          <w:p w14:paraId="39365D8F">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ψ─径流系数，取ψ=</w:t>
            </w:r>
            <w:r>
              <w:rPr>
                <w:rFonts w:hint="default" w:ascii="Times New Roman" w:hAnsi="Times New Roman" w:cs="Times New Roman"/>
                <w:bCs/>
                <w:color w:val="auto"/>
                <w:sz w:val="24"/>
                <w:highlight w:val="none"/>
                <w:lang w:val="en-US" w:eastAsia="zh-CN"/>
              </w:rPr>
              <w:t>0.</w:t>
            </w:r>
            <w:r>
              <w:rPr>
                <w:rFonts w:hint="eastAsia" w:cs="Times New Roman"/>
                <w:bCs/>
                <w:color w:val="auto"/>
                <w:sz w:val="24"/>
                <w:highlight w:val="none"/>
                <w:lang w:val="en-US" w:eastAsia="zh-CN"/>
              </w:rPr>
              <w:t>6</w:t>
            </w:r>
            <w:r>
              <w:rPr>
                <w:rFonts w:hint="default" w:ascii="Times New Roman" w:hAnsi="Times New Roman" w:eastAsia="宋体" w:cs="Times New Roman"/>
                <w:bCs/>
                <w:color w:val="auto"/>
                <w:sz w:val="24"/>
                <w:highlight w:val="none"/>
                <w:lang w:val="en-US" w:eastAsia="zh-CN"/>
              </w:rPr>
              <w:t>；</w:t>
            </w:r>
          </w:p>
          <w:p w14:paraId="1C331C70">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F─汇水面积（ha）；</w:t>
            </w:r>
          </w:p>
          <w:p w14:paraId="28B107DE">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q—暴雨量，L/s•ha；</w:t>
            </w:r>
          </w:p>
          <w:p w14:paraId="6940B169">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V=Q×t/1000</w:t>
            </w:r>
          </w:p>
          <w:p w14:paraId="54145C12">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V─</w:t>
            </w:r>
            <w:r>
              <w:rPr>
                <w:rFonts w:hint="default" w:ascii="Times New Roman" w:hAnsi="Times New Roman" w:cs="Times New Roman"/>
                <w:bCs/>
                <w:color w:val="auto"/>
                <w:sz w:val="24"/>
                <w:highlight w:val="none"/>
                <w:lang w:val="en-US" w:eastAsia="zh-CN"/>
              </w:rPr>
              <w:t>初期雨水15min汇水量，m</w:t>
            </w:r>
            <w:r>
              <w:rPr>
                <w:rFonts w:hint="default" w:ascii="Times New Roman" w:hAnsi="Times New Roman" w:cs="Times New Roman"/>
                <w:bCs/>
                <w:color w:val="auto"/>
                <w:sz w:val="24"/>
                <w:highlight w:val="none"/>
                <w:vertAlign w:val="superscript"/>
                <w:lang w:val="en-US" w:eastAsia="zh-CN"/>
              </w:rPr>
              <w:t>3</w:t>
            </w:r>
            <w:r>
              <w:rPr>
                <w:rFonts w:hint="default" w:ascii="Times New Roman" w:hAnsi="Times New Roman" w:eastAsia="宋体" w:cs="Times New Roman"/>
                <w:bCs/>
                <w:color w:val="auto"/>
                <w:sz w:val="24"/>
                <w:highlight w:val="none"/>
                <w:lang w:val="en-US" w:eastAsia="zh-CN"/>
              </w:rPr>
              <w:t>；</w:t>
            </w:r>
          </w:p>
          <w:p w14:paraId="182D0CCF">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t─初期雨水时间，取</w:t>
            </w:r>
            <w:r>
              <w:rPr>
                <w:rFonts w:hint="default" w:ascii="Times New Roman" w:hAnsi="Times New Roman" w:cs="Times New Roman"/>
                <w:bCs/>
                <w:color w:val="auto"/>
                <w:sz w:val="24"/>
                <w:highlight w:val="none"/>
                <w:lang w:val="en-US" w:eastAsia="zh-CN"/>
              </w:rPr>
              <w:t>900s</w:t>
            </w:r>
            <w:r>
              <w:rPr>
                <w:rFonts w:hint="default" w:ascii="Times New Roman" w:hAnsi="Times New Roman" w:eastAsia="宋体" w:cs="Times New Roman"/>
                <w:bCs/>
                <w:color w:val="auto"/>
                <w:sz w:val="24"/>
                <w:highlight w:val="none"/>
                <w:lang w:val="en-US" w:eastAsia="zh-CN"/>
              </w:rPr>
              <w:t>；</w:t>
            </w:r>
          </w:p>
          <w:p w14:paraId="7ECFCF2C">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由上计算可知，</w:t>
            </w:r>
            <w:r>
              <w:rPr>
                <w:rFonts w:hint="default" w:ascii="Times New Roman" w:hAnsi="Times New Roman" w:cs="Times New Roman"/>
                <w:bCs/>
                <w:color w:val="auto"/>
                <w:sz w:val="24"/>
                <w:highlight w:val="none"/>
                <w:lang w:val="en-US" w:eastAsia="zh-CN"/>
              </w:rPr>
              <w:t>初期雨水15min汇水量</w:t>
            </w:r>
            <w:r>
              <w:rPr>
                <w:rFonts w:hint="default" w:ascii="Times New Roman" w:hAnsi="Times New Roman" w:eastAsia="宋体" w:cs="Times New Roman"/>
                <w:bCs/>
                <w:color w:val="auto"/>
                <w:sz w:val="24"/>
                <w:highlight w:val="none"/>
                <w:lang w:val="en-US" w:eastAsia="zh-CN"/>
              </w:rPr>
              <w:t>为</w:t>
            </w:r>
            <w:r>
              <w:rPr>
                <w:rFonts w:hint="eastAsia" w:cs="Times New Roman"/>
                <w:bCs/>
                <w:color w:val="auto"/>
                <w:sz w:val="24"/>
                <w:highlight w:val="none"/>
                <w:lang w:val="en-US" w:eastAsia="zh-CN"/>
              </w:rPr>
              <w:t>93.888</w:t>
            </w:r>
            <w:r>
              <w:rPr>
                <w:rFonts w:hint="default" w:ascii="Times New Roman" w:hAnsi="Times New Roman" w:eastAsia="宋体" w:cs="Times New Roman"/>
                <w:bCs/>
                <w:color w:val="auto"/>
                <w:sz w:val="24"/>
                <w:highlight w:val="none"/>
                <w:lang w:val="en-US" w:eastAsia="zh-CN"/>
              </w:rPr>
              <w:t>m</w:t>
            </w:r>
            <w:r>
              <w:rPr>
                <w:rFonts w:hint="default" w:ascii="Times New Roman" w:hAnsi="Times New Roman" w:eastAsia="宋体" w:cs="Times New Roman"/>
                <w:bCs/>
                <w:color w:val="auto"/>
                <w:sz w:val="24"/>
                <w:highlight w:val="none"/>
                <w:vertAlign w:val="superscript"/>
                <w:lang w:val="en-US" w:eastAsia="zh-CN"/>
              </w:rPr>
              <w:t>3</w:t>
            </w:r>
            <w:r>
              <w:rPr>
                <w:rFonts w:hint="default" w:ascii="Times New Roman" w:hAnsi="Times New Roman" w:eastAsia="宋体" w:cs="Times New Roman"/>
                <w:bCs/>
                <w:color w:val="auto"/>
                <w:sz w:val="24"/>
                <w:highlight w:val="none"/>
                <w:lang w:val="en-US" w:eastAsia="zh-CN"/>
              </w:rPr>
              <w:t>，根据厂区地势，</w:t>
            </w:r>
            <w:r>
              <w:rPr>
                <w:rFonts w:hint="default" w:ascii="Times New Roman" w:hAnsi="Times New Roman" w:cs="Times New Roman"/>
                <w:bCs/>
                <w:color w:val="auto"/>
                <w:sz w:val="24"/>
                <w:highlight w:val="none"/>
                <w:lang w:val="en-US" w:eastAsia="zh-CN"/>
              </w:rPr>
              <w:t>初期雨水收集池</w:t>
            </w:r>
            <w:r>
              <w:rPr>
                <w:rFonts w:hint="default" w:ascii="Times New Roman" w:hAnsi="Times New Roman" w:eastAsia="宋体" w:cs="Times New Roman"/>
                <w:bCs/>
                <w:color w:val="auto"/>
                <w:sz w:val="24"/>
                <w:highlight w:val="none"/>
                <w:lang w:val="en-US" w:eastAsia="zh-CN"/>
              </w:rPr>
              <w:t>建设在厂区地势较低的</w:t>
            </w:r>
            <w:r>
              <w:rPr>
                <w:rFonts w:hint="eastAsia" w:cs="Times New Roman"/>
                <w:bCs/>
                <w:color w:val="auto"/>
                <w:sz w:val="24"/>
                <w:highlight w:val="none"/>
                <w:lang w:val="en-US" w:eastAsia="zh-CN"/>
              </w:rPr>
              <w:t>北侧</w:t>
            </w:r>
            <w:r>
              <w:rPr>
                <w:rFonts w:hint="default" w:ascii="Times New Roman" w:hAnsi="Times New Roman" w:eastAsia="宋体" w:cs="Times New Roman"/>
                <w:bCs/>
                <w:color w:val="auto"/>
                <w:sz w:val="24"/>
                <w:highlight w:val="none"/>
                <w:lang w:val="en-US" w:eastAsia="zh-CN"/>
              </w:rPr>
              <w:t>，本项目设置容积为</w:t>
            </w:r>
            <w:r>
              <w:rPr>
                <w:rFonts w:hint="eastAsia" w:cs="Times New Roman"/>
                <w:bCs/>
                <w:color w:val="auto"/>
                <w:sz w:val="24"/>
                <w:highlight w:val="none"/>
                <w:lang w:val="en-US" w:eastAsia="zh-CN"/>
              </w:rPr>
              <w:t>100</w:t>
            </w:r>
            <w:r>
              <w:rPr>
                <w:rFonts w:hint="default" w:ascii="Times New Roman" w:hAnsi="Times New Roman" w:eastAsia="宋体" w:cs="Times New Roman"/>
                <w:bCs/>
                <w:color w:val="auto"/>
                <w:sz w:val="24"/>
                <w:highlight w:val="none"/>
                <w:lang w:val="en-US" w:eastAsia="zh-CN"/>
              </w:rPr>
              <w:t>m</w:t>
            </w:r>
            <w:r>
              <w:rPr>
                <w:rFonts w:hint="default" w:ascii="Times New Roman" w:hAnsi="Times New Roman" w:eastAsia="宋体" w:cs="Times New Roman"/>
                <w:bCs/>
                <w:color w:val="auto"/>
                <w:sz w:val="24"/>
                <w:highlight w:val="none"/>
                <w:vertAlign w:val="superscript"/>
                <w:lang w:val="en-US" w:eastAsia="zh-CN"/>
              </w:rPr>
              <w:t>3</w:t>
            </w:r>
            <w:r>
              <w:rPr>
                <w:rFonts w:hint="default" w:ascii="Times New Roman" w:hAnsi="Times New Roman" w:cs="Times New Roman"/>
                <w:bCs/>
                <w:color w:val="auto"/>
                <w:sz w:val="24"/>
                <w:highlight w:val="none"/>
                <w:vertAlign w:val="baseline"/>
                <w:lang w:val="en-US" w:eastAsia="zh-CN"/>
              </w:rPr>
              <w:t>初期</w:t>
            </w:r>
            <w:r>
              <w:rPr>
                <w:rFonts w:hint="default" w:ascii="Times New Roman" w:hAnsi="Times New Roman" w:eastAsia="宋体" w:cs="Times New Roman"/>
                <w:bCs/>
                <w:color w:val="auto"/>
                <w:sz w:val="24"/>
                <w:highlight w:val="none"/>
                <w:lang w:val="en-US" w:eastAsia="zh-CN"/>
              </w:rPr>
              <w:t>雨水收集池用于收集</w:t>
            </w:r>
            <w:r>
              <w:rPr>
                <w:rFonts w:hint="default" w:ascii="Times New Roman" w:hAnsi="Times New Roman" w:cs="Times New Roman"/>
                <w:bCs/>
                <w:color w:val="auto"/>
                <w:sz w:val="24"/>
                <w:highlight w:val="none"/>
                <w:lang w:val="en-US" w:eastAsia="zh-CN"/>
              </w:rPr>
              <w:t>初期</w:t>
            </w:r>
            <w:r>
              <w:rPr>
                <w:rFonts w:hint="default" w:ascii="Times New Roman" w:hAnsi="Times New Roman" w:eastAsia="宋体" w:cs="Times New Roman"/>
                <w:bCs/>
                <w:color w:val="auto"/>
                <w:sz w:val="24"/>
                <w:highlight w:val="none"/>
                <w:lang w:val="en-US" w:eastAsia="zh-CN"/>
              </w:rPr>
              <w:t>雨水，收集沉淀后用于降尘用水。</w:t>
            </w:r>
            <w:r>
              <w:rPr>
                <w:rFonts w:hint="default" w:ascii="Times New Roman" w:hAnsi="Times New Roman" w:cs="Times New Roman"/>
                <w:bCs/>
                <w:color w:val="auto"/>
                <w:sz w:val="24"/>
                <w:highlight w:val="none"/>
                <w:lang w:val="en-US" w:eastAsia="zh-CN"/>
              </w:rPr>
              <w:t>初期雨水收集池满后，非初期雨水随地势流出厂区。</w:t>
            </w:r>
          </w:p>
          <w:p w14:paraId="69973A80">
            <w:pPr>
              <w:pStyle w:val="8"/>
              <w:ind w:firstLine="0" w:firstLineChars="0"/>
              <w:jc w:val="center"/>
              <w:rPr>
                <w:rFonts w:hint="default" w:ascii="Times New Roman" w:hAnsi="Times New Roman" w:cs="Times New Roman"/>
                <w:color w:val="auto"/>
                <w:highlight w:val="none"/>
              </w:rPr>
            </w:pPr>
            <w:r>
              <w:rPr>
                <w:color w:val="auto"/>
              </w:rPr>
              <w:drawing>
                <wp:inline distT="0" distB="0" distL="114300" distR="114300">
                  <wp:extent cx="4752975" cy="4600575"/>
                  <wp:effectExtent l="0" t="0" r="9525" b="9525"/>
                  <wp:docPr id="1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
                          <pic:cNvPicPr>
                            <a:picLocks noChangeAspect="1"/>
                          </pic:cNvPicPr>
                        </pic:nvPicPr>
                        <pic:blipFill>
                          <a:blip r:embed="rId16"/>
                          <a:stretch>
                            <a:fillRect/>
                          </a:stretch>
                        </pic:blipFill>
                        <pic:spPr>
                          <a:xfrm>
                            <a:off x="0" y="0"/>
                            <a:ext cx="4752975" cy="4600575"/>
                          </a:xfrm>
                          <a:prstGeom prst="rect">
                            <a:avLst/>
                          </a:prstGeom>
                          <a:noFill/>
                          <a:ln>
                            <a:noFill/>
                          </a:ln>
                        </pic:spPr>
                      </pic:pic>
                    </a:graphicData>
                  </a:graphic>
                </wp:inline>
              </w:drawing>
            </w:r>
          </w:p>
          <w:p w14:paraId="17C59336">
            <w:pPr>
              <w:adjustRightInd w:val="0"/>
              <w:snapToGrid w:val="0"/>
              <w:jc w:val="center"/>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图</w:t>
            </w:r>
            <w:r>
              <w:rPr>
                <w:rFonts w:hint="eastAsia"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en-US" w:eastAsia="zh-CN" w:bidi="ar-SA"/>
              </w:rPr>
              <w:t>-1  暴雨强度及雨水流量计算截图</w:t>
            </w:r>
          </w:p>
          <w:p w14:paraId="1D6F40E3">
            <w:pPr>
              <w:tabs>
                <w:tab w:val="left" w:pos="630"/>
              </w:tabs>
              <w:spacing w:line="360" w:lineRule="auto"/>
              <w:ind w:firstLine="480" w:firstLineChars="200"/>
              <w:rPr>
                <w:rFonts w:hint="default" w:ascii="Times New Roman" w:hAnsi="Times New Roman" w:eastAsia="宋体" w:cs="Times New Roman"/>
                <w:color w:val="auto"/>
                <w:sz w:val="24"/>
                <w:highlight w:val="none"/>
                <w:lang w:val="en-US" w:eastAsia="zh-CN"/>
              </w:rPr>
            </w:pPr>
          </w:p>
          <w:p w14:paraId="02AC2052">
            <w:pPr>
              <w:pStyle w:val="30"/>
              <w:spacing w:line="360" w:lineRule="auto"/>
              <w:ind w:left="0" w:leftChars="0" w:firstLine="0" w:firstLineChars="0"/>
              <w:jc w:val="center"/>
              <w:rPr>
                <w:rFonts w:hint="default" w:ascii="Times New Roman" w:hAnsi="Times New Roman" w:cs="Times New Roman"/>
                <w:color w:val="auto"/>
                <w:highlight w:val="none"/>
              </w:rPr>
            </w:pPr>
            <w:r>
              <w:rPr>
                <w:color w:val="auto"/>
                <w:sz w:val="24"/>
              </w:rPr>
              <mc:AlternateContent>
                <mc:Choice Requires="wps">
                  <w:drawing>
                    <wp:anchor distT="0" distB="0" distL="114300" distR="114300" simplePos="0" relativeHeight="251693056" behindDoc="0" locked="0" layoutInCell="1" allowOverlap="1">
                      <wp:simplePos x="0" y="0"/>
                      <wp:positionH relativeFrom="column">
                        <wp:posOffset>191135</wp:posOffset>
                      </wp:positionH>
                      <wp:positionV relativeFrom="paragraph">
                        <wp:posOffset>1390015</wp:posOffset>
                      </wp:positionV>
                      <wp:extent cx="659765" cy="289560"/>
                      <wp:effectExtent l="0" t="0" r="635" b="2540"/>
                      <wp:wrapNone/>
                      <wp:docPr id="5" name="文本框 5"/>
                      <wp:cNvGraphicFramePr/>
                      <a:graphic xmlns:a="http://schemas.openxmlformats.org/drawingml/2006/main">
                        <a:graphicData uri="http://schemas.microsoft.com/office/word/2010/wordprocessingShape">
                          <wps:wsp>
                            <wps:cNvSpPr txBox="1"/>
                            <wps:spPr>
                              <a:xfrm>
                                <a:off x="1493520" y="3018790"/>
                                <a:ext cx="659765" cy="2895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B85F10F">
                                  <w:pPr>
                                    <w:jc w:val="center"/>
                                    <w:rPr>
                                      <w:rFonts w:hint="eastAsia" w:ascii="微软雅黑" w:hAnsi="微软雅黑" w:eastAsia="微软雅黑" w:cs="微软雅黑"/>
                                      <w:sz w:val="15"/>
                                      <w:szCs w:val="15"/>
                                      <w:lang w:val="en-US" w:eastAsia="zh-CN"/>
                                    </w:rPr>
                                  </w:pPr>
                                  <w:r>
                                    <w:rPr>
                                      <w:rFonts w:hint="eastAsia" w:ascii="微软雅黑" w:hAnsi="微软雅黑" w:eastAsia="微软雅黑" w:cs="微软雅黑"/>
                                      <w:sz w:val="15"/>
                                      <w:szCs w:val="15"/>
                                      <w:lang w:val="en-US" w:eastAsia="zh-CN"/>
                                    </w:rPr>
                                    <w:t>初期雨水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05pt;margin-top:109.45pt;height:22.8pt;width:51.95pt;z-index:251693056;mso-width-relative:page;mso-height-relative:page;" fillcolor="#FFFFFF [3201]" filled="t" stroked="f" coordsize="21600,21600" o:gfxdata="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8XLzW&#10;AAAACgEAAA8AAAAAAAAAAQAgAAAAIgAAAGRycy9kb3ducmV2LnhtbFBLAQIUABQAAAAIAIdO4kBg&#10;LlZCWwIAAJoEAAAOAAAAAAAAAAEAIAAAACUBAABkcnMvZTJvRG9jLnhtbFBLBQYAAAAABgAGAFkB&#10;AADyBQAAAAA=&#10;">
                      <v:fill on="t" focussize="0,0"/>
                      <v:stroke on="f" weight="0.5pt"/>
                      <v:imagedata o:title=""/>
                      <o:lock v:ext="edit" aspectratio="f"/>
                      <v:textbox>
                        <w:txbxContent>
                          <w:p w14:paraId="7B85F10F">
                            <w:pPr>
                              <w:jc w:val="center"/>
                              <w:rPr>
                                <w:rFonts w:hint="eastAsia" w:ascii="微软雅黑" w:hAnsi="微软雅黑" w:eastAsia="微软雅黑" w:cs="微软雅黑"/>
                                <w:sz w:val="15"/>
                                <w:szCs w:val="15"/>
                                <w:lang w:val="en-US" w:eastAsia="zh-CN"/>
                              </w:rPr>
                            </w:pPr>
                            <w:r>
                              <w:rPr>
                                <w:rFonts w:hint="eastAsia" w:ascii="微软雅黑" w:hAnsi="微软雅黑" w:eastAsia="微软雅黑" w:cs="微软雅黑"/>
                                <w:sz w:val="15"/>
                                <w:szCs w:val="15"/>
                                <w:lang w:val="en-US" w:eastAsia="zh-CN"/>
                              </w:rPr>
                              <w:t>初期雨水</w:t>
                            </w:r>
                          </w:p>
                        </w:txbxContent>
                      </v:textbox>
                    </v:shape>
                  </w:pict>
                </mc:Fallback>
              </mc:AlternateContent>
            </w:r>
            <w:r>
              <w:rPr>
                <w:color w:val="auto"/>
              </w:rPr>
              <w:drawing>
                <wp:inline distT="0" distB="0" distL="114300" distR="114300">
                  <wp:extent cx="5419725" cy="2635250"/>
                  <wp:effectExtent l="0" t="0" r="9525" b="12700"/>
                  <wp:docPr id="1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
                          <pic:cNvPicPr>
                            <a:picLocks noChangeAspect="1"/>
                          </pic:cNvPicPr>
                        </pic:nvPicPr>
                        <pic:blipFill>
                          <a:blip r:embed="rId17"/>
                          <a:stretch>
                            <a:fillRect/>
                          </a:stretch>
                        </pic:blipFill>
                        <pic:spPr>
                          <a:xfrm>
                            <a:off x="0" y="0"/>
                            <a:ext cx="5419725" cy="2635250"/>
                          </a:xfrm>
                          <a:prstGeom prst="rect">
                            <a:avLst/>
                          </a:prstGeom>
                          <a:noFill/>
                          <a:ln>
                            <a:noFill/>
                          </a:ln>
                        </pic:spPr>
                      </pic:pic>
                    </a:graphicData>
                  </a:graphic>
                </wp:inline>
              </w:drawing>
            </w:r>
          </w:p>
          <w:p w14:paraId="30DE41A5">
            <w:pPr>
              <w:jc w:val="center"/>
              <w:rPr>
                <w:rFonts w:hint="default" w:ascii="Times New Roman" w:hAnsi="Times New Roman" w:cs="Times New Roman"/>
                <w:color w:val="auto"/>
                <w:highlight w:val="none"/>
              </w:rPr>
            </w:pPr>
            <w:r>
              <w:rPr>
                <w:rFonts w:hint="default" w:ascii="Times New Roman" w:hAnsi="Times New Roman"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en-US" w:eastAsia="zh-CN"/>
              </w:rPr>
              <w:t>图2-</w:t>
            </w: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水平衡图</w:t>
            </w:r>
            <w:r>
              <w:rPr>
                <w:rFonts w:hint="default" w:ascii="Times New Roman" w:hAnsi="Times New Roman"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单位：m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a</w:t>
            </w:r>
          </w:p>
          <w:p w14:paraId="03D40B25">
            <w:pPr>
              <w:pStyle w:val="30"/>
              <w:spacing w:line="360" w:lineRule="auto"/>
              <w:ind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（3）供热</w:t>
            </w:r>
          </w:p>
          <w:p w14:paraId="24C5D57B">
            <w:pPr>
              <w:pStyle w:val="30"/>
              <w:spacing w:line="360" w:lineRule="auto"/>
              <w:ind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冬季供暖为电采暖</w:t>
            </w:r>
            <w:r>
              <w:rPr>
                <w:rFonts w:hint="default" w:ascii="Times New Roman" w:hAnsi="Times New Roman" w:cs="Times New Roman"/>
                <w:color w:val="auto"/>
                <w:highlight w:val="none"/>
              </w:rPr>
              <w:t>。</w:t>
            </w:r>
          </w:p>
          <w:p w14:paraId="6FC8DE90">
            <w:pPr>
              <w:pStyle w:val="30"/>
              <w:numPr>
                <w:ilvl w:val="0"/>
                <w:numId w:val="0"/>
              </w:num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供电</w:t>
            </w:r>
          </w:p>
          <w:p w14:paraId="001B332D">
            <w:pPr>
              <w:pStyle w:val="30"/>
              <w:numPr>
                <w:ilvl w:val="0"/>
                <w:numId w:val="0"/>
              </w:numPr>
              <w:spacing w:line="360" w:lineRule="auto"/>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本项目供电由当地供电局提供</w:t>
            </w:r>
            <w:r>
              <w:rPr>
                <w:rFonts w:hint="default" w:ascii="Times New Roman" w:hAnsi="Times New Roman" w:cs="Times New Roman"/>
                <w:color w:val="auto"/>
                <w:highlight w:val="none"/>
                <w:lang w:eastAsia="zh-CN"/>
              </w:rPr>
              <w:t>。</w:t>
            </w:r>
          </w:p>
          <w:p w14:paraId="661128ED">
            <w:pPr>
              <w:widowControl/>
              <w:numPr>
                <w:ilvl w:val="0"/>
                <w:numId w:val="0"/>
              </w:numPr>
              <w:spacing w:line="360" w:lineRule="auto"/>
              <w:jc w:val="left"/>
              <w:rPr>
                <w:rFonts w:hint="default" w:ascii="Times New Roman" w:hAnsi="Times New Roman" w:cs="Times New Roman"/>
                <w:b/>
                <w:color w:val="auto"/>
                <w:kern w:val="0"/>
                <w:sz w:val="24"/>
                <w:highlight w:val="none"/>
                <w:lang w:val="en-US" w:eastAsia="zh-CN" w:bidi="ar"/>
              </w:rPr>
            </w:pPr>
            <w:r>
              <w:rPr>
                <w:rFonts w:hint="eastAsia" w:cs="Times New Roman"/>
                <w:b/>
                <w:color w:val="auto"/>
                <w:kern w:val="0"/>
                <w:sz w:val="24"/>
                <w:highlight w:val="none"/>
                <w:lang w:val="en-US" w:eastAsia="zh-CN" w:bidi="ar"/>
              </w:rPr>
              <w:t>5</w:t>
            </w:r>
            <w:r>
              <w:rPr>
                <w:rFonts w:hint="default" w:ascii="Times New Roman" w:hAnsi="Times New Roman" w:cs="Times New Roman"/>
                <w:b/>
                <w:color w:val="auto"/>
                <w:kern w:val="0"/>
                <w:sz w:val="24"/>
                <w:highlight w:val="none"/>
                <w:lang w:val="en-US" w:eastAsia="zh-CN" w:bidi="ar"/>
              </w:rPr>
              <w:t>、平面布置</w:t>
            </w:r>
          </w:p>
          <w:p w14:paraId="6C66AA8E">
            <w:pPr>
              <w:pStyle w:val="30"/>
              <w:numPr>
                <w:ilvl w:val="0"/>
                <w:numId w:val="0"/>
              </w:numPr>
              <w:spacing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本项目厂区呈东西走向的长方形形状，项目总占地</w:t>
            </w:r>
            <w:r>
              <w:rPr>
                <w:rFonts w:hint="eastAsia" w:cs="Times New Roman"/>
                <w:color w:val="auto"/>
                <w:highlight w:val="none"/>
                <w:lang w:val="en-US" w:eastAsia="zh-CN"/>
              </w:rPr>
              <w:t>13155</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，厂区四周建设闭合的防风抑尘网，</w:t>
            </w:r>
            <w:r>
              <w:rPr>
                <w:rFonts w:hint="default" w:ascii="Times New Roman" w:hAnsi="Times New Roman" w:cs="Times New Roman"/>
                <w:color w:val="auto"/>
                <w:highlight w:val="none"/>
                <w:lang w:val="en-US" w:eastAsia="zh-CN"/>
              </w:rPr>
              <w:t>初期雨水收集池</w:t>
            </w:r>
            <w:r>
              <w:rPr>
                <w:rFonts w:hint="default" w:ascii="Times New Roman" w:hAnsi="Times New Roman" w:eastAsia="宋体" w:cs="Times New Roman"/>
                <w:color w:val="auto"/>
                <w:highlight w:val="none"/>
                <w:lang w:val="en-US" w:eastAsia="zh-CN"/>
              </w:rPr>
              <w:t>建设</w:t>
            </w:r>
            <w:r>
              <w:rPr>
                <w:rFonts w:hint="default" w:ascii="Times New Roman" w:hAnsi="Times New Roman" w:cs="Times New Roman"/>
                <w:color w:val="auto"/>
                <w:highlight w:val="none"/>
                <w:lang w:val="en-US" w:eastAsia="zh-CN"/>
              </w:rPr>
              <w:t>于</w:t>
            </w: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北</w:t>
            </w:r>
            <w:r>
              <w:rPr>
                <w:rFonts w:hint="default" w:ascii="Times New Roman" w:hAnsi="Times New Roman" w:cs="Times New Roman"/>
                <w:color w:val="auto"/>
                <w:highlight w:val="none"/>
                <w:lang w:val="en-US" w:eastAsia="zh-CN"/>
              </w:rPr>
              <w:t>侧</w:t>
            </w:r>
            <w:r>
              <w:rPr>
                <w:rFonts w:hint="default" w:ascii="Times New Roman" w:hAnsi="Times New Roman" w:eastAsia="宋体" w:cs="Times New Roman"/>
                <w:color w:val="auto"/>
                <w:highlight w:val="none"/>
                <w:lang w:val="en-US" w:eastAsia="zh-CN"/>
              </w:rPr>
              <w:t>，项目厂区设置合理。厂区目前为</w:t>
            </w:r>
            <w:r>
              <w:rPr>
                <w:rFonts w:hint="eastAsia" w:cs="Times New Roman"/>
                <w:color w:val="auto"/>
                <w:highlight w:val="none"/>
                <w:lang w:val="en-US" w:eastAsia="zh-CN"/>
              </w:rPr>
              <w:t>空地</w:t>
            </w:r>
            <w:r>
              <w:rPr>
                <w:rFonts w:hint="default" w:ascii="Times New Roman" w:hAnsi="Times New Roman" w:eastAsia="宋体" w:cs="Times New Roman"/>
                <w:color w:val="auto"/>
                <w:highlight w:val="none"/>
                <w:lang w:val="en-US" w:eastAsia="zh-CN"/>
              </w:rPr>
              <w:t>。</w:t>
            </w:r>
          </w:p>
          <w:p w14:paraId="4624C234">
            <w:pPr>
              <w:widowControl/>
              <w:spacing w:line="360" w:lineRule="auto"/>
              <w:jc w:val="left"/>
              <w:rPr>
                <w:rFonts w:hint="default" w:ascii="Times New Roman" w:hAnsi="Times New Roman" w:cs="Times New Roman"/>
                <w:color w:val="auto"/>
                <w:sz w:val="24"/>
                <w:highlight w:val="none"/>
              </w:rPr>
            </w:pPr>
            <w:r>
              <w:rPr>
                <w:rFonts w:hint="eastAsia" w:cs="Times New Roman"/>
                <w:b/>
                <w:color w:val="auto"/>
                <w:kern w:val="0"/>
                <w:sz w:val="24"/>
                <w:highlight w:val="none"/>
                <w:lang w:val="en-US" w:eastAsia="zh-CN" w:bidi="ar"/>
              </w:rPr>
              <w:t>6</w:t>
            </w:r>
            <w:r>
              <w:rPr>
                <w:rFonts w:hint="default" w:ascii="Times New Roman" w:hAnsi="Times New Roman" w:cs="Times New Roman"/>
                <w:b/>
                <w:color w:val="auto"/>
                <w:kern w:val="0"/>
                <w:sz w:val="24"/>
                <w:highlight w:val="none"/>
                <w:lang w:val="en-US" w:eastAsia="zh-CN" w:bidi="ar"/>
              </w:rPr>
              <w:t>、</w:t>
            </w:r>
            <w:r>
              <w:rPr>
                <w:rFonts w:hint="default" w:ascii="Times New Roman" w:hAnsi="Times New Roman" w:cs="Times New Roman"/>
                <w:b/>
                <w:color w:val="auto"/>
                <w:kern w:val="0"/>
                <w:sz w:val="24"/>
                <w:highlight w:val="none"/>
                <w:lang w:bidi="ar"/>
              </w:rPr>
              <w:t xml:space="preserve">环保投资 </w:t>
            </w:r>
          </w:p>
          <w:p w14:paraId="72BE560B">
            <w:pPr>
              <w:widowControl/>
              <w:spacing w:line="360" w:lineRule="auto"/>
              <w:ind w:firstLine="480" w:firstLineChars="200"/>
              <w:jc w:val="left"/>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本项目环保投资具体情况见表2-</w:t>
            </w:r>
            <w:r>
              <w:rPr>
                <w:rFonts w:hint="default" w:ascii="Times New Roman" w:hAnsi="Times New Roman" w:cs="Times New Roman"/>
                <w:color w:val="auto"/>
                <w:kern w:val="0"/>
                <w:sz w:val="24"/>
                <w:highlight w:val="none"/>
                <w:lang w:val="en-US" w:eastAsia="zh-CN" w:bidi="ar"/>
              </w:rPr>
              <w:t>3</w:t>
            </w:r>
            <w:r>
              <w:rPr>
                <w:rFonts w:hint="default" w:ascii="Times New Roman" w:hAnsi="Times New Roman" w:cs="Times New Roman"/>
                <w:color w:val="auto"/>
                <w:kern w:val="0"/>
                <w:sz w:val="24"/>
                <w:highlight w:val="none"/>
                <w:lang w:bidi="ar"/>
              </w:rPr>
              <w:t>。</w:t>
            </w:r>
          </w:p>
          <w:p w14:paraId="41905F12">
            <w:pPr>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w:t>
            </w:r>
            <w:r>
              <w:rPr>
                <w:rFonts w:hint="default" w:ascii="Times New Roman" w:hAnsi="Times New Roman"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 xml:space="preserve"> 环保投资一览表</w:t>
            </w:r>
          </w:p>
          <w:tbl>
            <w:tblPr>
              <w:tblStyle w:val="20"/>
              <w:tblW w:w="86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5670"/>
              <w:gridCol w:w="1433"/>
            </w:tblGrid>
            <w:tr w14:paraId="0BB96B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5CB383BA">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类别</w:t>
                  </w:r>
                </w:p>
              </w:tc>
              <w:tc>
                <w:tcPr>
                  <w:tcW w:w="5670" w:type="dxa"/>
                  <w:tcBorders>
                    <w:bottom w:val="single" w:color="auto" w:sz="4" w:space="0"/>
                  </w:tcBorders>
                  <w:vAlign w:val="center"/>
                </w:tcPr>
                <w:p w14:paraId="676D8B01">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防治措施</w:t>
                  </w:r>
                </w:p>
              </w:tc>
              <w:tc>
                <w:tcPr>
                  <w:tcW w:w="1433" w:type="dxa"/>
                  <w:tcBorders>
                    <w:bottom w:val="single" w:color="auto" w:sz="4" w:space="0"/>
                  </w:tcBorders>
                  <w:vAlign w:val="center"/>
                </w:tcPr>
                <w:p w14:paraId="450893EF">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投资（万元）</w:t>
                  </w:r>
                </w:p>
              </w:tc>
            </w:tr>
            <w:tr w14:paraId="7E37E5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restart"/>
                  <w:vAlign w:val="center"/>
                </w:tcPr>
                <w:p w14:paraId="0502D958">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废气治理措施</w:t>
                  </w:r>
                </w:p>
              </w:tc>
              <w:tc>
                <w:tcPr>
                  <w:tcW w:w="5670" w:type="dxa"/>
                  <w:vAlign w:val="center"/>
                </w:tcPr>
                <w:p w14:paraId="6CD557B7">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防风抑尘网</w:t>
                  </w:r>
                </w:p>
              </w:tc>
              <w:tc>
                <w:tcPr>
                  <w:tcW w:w="1433" w:type="dxa"/>
                  <w:vAlign w:val="center"/>
                </w:tcPr>
                <w:p w14:paraId="01731F38">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0</w:t>
                  </w:r>
                </w:p>
              </w:tc>
            </w:tr>
            <w:tr w14:paraId="403699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139C0B34">
                  <w:pPr>
                    <w:pStyle w:val="34"/>
                    <w:rPr>
                      <w:rFonts w:hint="default" w:ascii="Times New Roman" w:hAnsi="Times New Roman" w:cs="Times New Roman"/>
                      <w:color w:val="auto"/>
                      <w:szCs w:val="21"/>
                      <w:highlight w:val="none"/>
                    </w:rPr>
                  </w:pPr>
                </w:p>
              </w:tc>
              <w:tc>
                <w:tcPr>
                  <w:tcW w:w="5670" w:type="dxa"/>
                  <w:vAlign w:val="center"/>
                </w:tcPr>
                <w:p w14:paraId="35401A07">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洒水车</w:t>
                  </w:r>
                </w:p>
              </w:tc>
              <w:tc>
                <w:tcPr>
                  <w:tcW w:w="1433" w:type="dxa"/>
                  <w:vAlign w:val="center"/>
                </w:tcPr>
                <w:p w14:paraId="59038621">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w:t>
                  </w:r>
                </w:p>
              </w:tc>
            </w:tr>
            <w:tr w14:paraId="270EC0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5218A1DD">
                  <w:pPr>
                    <w:pStyle w:val="34"/>
                    <w:rPr>
                      <w:rFonts w:hint="default" w:ascii="Times New Roman" w:hAnsi="Times New Roman" w:cs="Times New Roman"/>
                      <w:color w:val="auto"/>
                      <w:szCs w:val="21"/>
                      <w:highlight w:val="none"/>
                    </w:rPr>
                  </w:pPr>
                </w:p>
              </w:tc>
              <w:tc>
                <w:tcPr>
                  <w:tcW w:w="5670" w:type="dxa"/>
                  <w:vAlign w:val="center"/>
                </w:tcPr>
                <w:p w14:paraId="79B97A7F">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煤炭绿网苫盖</w:t>
                  </w:r>
                </w:p>
              </w:tc>
              <w:tc>
                <w:tcPr>
                  <w:tcW w:w="1433" w:type="dxa"/>
                  <w:vAlign w:val="center"/>
                </w:tcPr>
                <w:p w14:paraId="5372EF88">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0.5</w:t>
                  </w:r>
                </w:p>
              </w:tc>
            </w:tr>
            <w:tr w14:paraId="7EE75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4F2B8CEE">
                  <w:pPr>
                    <w:pStyle w:val="34"/>
                    <w:rPr>
                      <w:rFonts w:hint="default" w:ascii="Times New Roman" w:hAnsi="Times New Roman" w:cs="Times New Roman"/>
                      <w:color w:val="auto"/>
                      <w:szCs w:val="21"/>
                      <w:highlight w:val="none"/>
                    </w:rPr>
                  </w:pPr>
                </w:p>
              </w:tc>
              <w:tc>
                <w:tcPr>
                  <w:tcW w:w="5670" w:type="dxa"/>
                  <w:vAlign w:val="center"/>
                </w:tcPr>
                <w:p w14:paraId="5836EDEC">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运输车辆苫盖</w:t>
                  </w:r>
                </w:p>
              </w:tc>
              <w:tc>
                <w:tcPr>
                  <w:tcW w:w="1433" w:type="dxa"/>
                  <w:vAlign w:val="center"/>
                </w:tcPr>
                <w:p w14:paraId="54A90332">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0.5</w:t>
                  </w:r>
                </w:p>
              </w:tc>
            </w:tr>
            <w:tr w14:paraId="6AB452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restart"/>
                  <w:vAlign w:val="center"/>
                </w:tcPr>
                <w:p w14:paraId="7B103350">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废水治理措施</w:t>
                  </w:r>
                </w:p>
              </w:tc>
              <w:tc>
                <w:tcPr>
                  <w:tcW w:w="5670" w:type="dxa"/>
                  <w:vAlign w:val="center"/>
                </w:tcPr>
                <w:p w14:paraId="4B9CDDE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lang w:val="en-US" w:eastAsia="zh-CN"/>
                    </w:rPr>
                    <w:t>初期雨水收集池</w:t>
                  </w:r>
                  <w:r>
                    <w:rPr>
                      <w:rFonts w:hint="default" w:ascii="Times New Roman" w:hAnsi="Times New Roman" w:cs="Times New Roman"/>
                      <w:color w:val="auto"/>
                      <w:kern w:val="0"/>
                      <w:szCs w:val="21"/>
                      <w:highlight w:val="none"/>
                      <w:lang w:val="en-US" w:eastAsia="zh-CN" w:bidi="ar"/>
                    </w:rPr>
                    <w:t>（包含防渗措施）、雨水导流沟</w:t>
                  </w:r>
                </w:p>
              </w:tc>
              <w:tc>
                <w:tcPr>
                  <w:tcW w:w="1433" w:type="dxa"/>
                  <w:vAlign w:val="center"/>
                </w:tcPr>
                <w:p w14:paraId="3B7DC031">
                  <w:pPr>
                    <w:keepNext w:val="0"/>
                    <w:keepLines w:val="0"/>
                    <w:widowControl/>
                    <w:suppressLineNumbers w:val="0"/>
                    <w:jc w:val="center"/>
                    <w:textAlignment w:val="center"/>
                    <w:rPr>
                      <w:rFonts w:hint="default" w:ascii="Times New Roman" w:hAnsi="Times New Roman" w:eastAsia="宋体" w:cs="Times New Roman"/>
                      <w:color w:val="auto"/>
                      <w:szCs w:val="22"/>
                      <w:highlight w:val="none"/>
                      <w:lang w:eastAsia="zh-CN"/>
                    </w:rPr>
                  </w:pPr>
                  <w:r>
                    <w:rPr>
                      <w:rFonts w:hint="eastAsia" w:cs="Times New Roman"/>
                      <w:i w:val="0"/>
                      <w:iCs w:val="0"/>
                      <w:color w:val="auto"/>
                      <w:kern w:val="0"/>
                      <w:sz w:val="21"/>
                      <w:szCs w:val="21"/>
                      <w:u w:val="none"/>
                      <w:lang w:val="en-US" w:eastAsia="zh-CN" w:bidi="ar"/>
                    </w:rPr>
                    <w:t>8</w:t>
                  </w:r>
                </w:p>
              </w:tc>
            </w:tr>
            <w:tr w14:paraId="5CF489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4361174A">
                  <w:pPr>
                    <w:pStyle w:val="34"/>
                    <w:rPr>
                      <w:rFonts w:hint="default" w:ascii="Times New Roman" w:hAnsi="Times New Roman" w:cs="Times New Roman"/>
                      <w:color w:val="auto"/>
                      <w:szCs w:val="21"/>
                      <w:highlight w:val="none"/>
                    </w:rPr>
                  </w:pPr>
                </w:p>
              </w:tc>
              <w:tc>
                <w:tcPr>
                  <w:tcW w:w="5670" w:type="dxa"/>
                  <w:vAlign w:val="center"/>
                </w:tcPr>
                <w:p w14:paraId="0EFF1270">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防渗旱厕</w:t>
                  </w:r>
                  <w:r>
                    <w:rPr>
                      <w:rFonts w:hint="default" w:ascii="Times New Roman" w:hAnsi="Times New Roman" w:cs="Times New Roman"/>
                      <w:color w:val="auto"/>
                      <w:kern w:val="0"/>
                      <w:szCs w:val="21"/>
                      <w:highlight w:val="none"/>
                      <w:lang w:val="en-US" w:eastAsia="zh-CN" w:bidi="ar"/>
                    </w:rPr>
                    <w:t>（包含防渗措施）</w:t>
                  </w:r>
                </w:p>
              </w:tc>
              <w:tc>
                <w:tcPr>
                  <w:tcW w:w="1433" w:type="dxa"/>
                  <w:vAlign w:val="center"/>
                </w:tcPr>
                <w:p w14:paraId="54B0E8A9">
                  <w:pPr>
                    <w:keepNext w:val="0"/>
                    <w:keepLines w:val="0"/>
                    <w:widowControl/>
                    <w:suppressLineNumbers w:val="0"/>
                    <w:jc w:val="center"/>
                    <w:textAlignment w:val="center"/>
                    <w:rPr>
                      <w:rFonts w:hint="default" w:ascii="Times New Roman" w:hAnsi="Times New Roman" w:cs="Times New Roman"/>
                      <w:color w:val="auto"/>
                      <w:szCs w:val="22"/>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0.7</w:t>
                  </w:r>
                </w:p>
              </w:tc>
            </w:tr>
            <w:tr w14:paraId="72708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39A389DE">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噪声治理措施</w:t>
                  </w:r>
                </w:p>
              </w:tc>
              <w:tc>
                <w:tcPr>
                  <w:tcW w:w="5670" w:type="dxa"/>
                  <w:vAlign w:val="center"/>
                </w:tcPr>
                <w:p w14:paraId="1809E22E">
                  <w:pPr>
                    <w:pStyle w:val="34"/>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选取低噪声设备</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定期维护</w:t>
                  </w:r>
                </w:p>
              </w:tc>
              <w:tc>
                <w:tcPr>
                  <w:tcW w:w="1433" w:type="dxa"/>
                  <w:vAlign w:val="center"/>
                </w:tcPr>
                <w:p w14:paraId="7CEF3423">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r>
            <w:tr w14:paraId="7A861D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0514020C">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固废治理措施</w:t>
                  </w:r>
                </w:p>
              </w:tc>
              <w:tc>
                <w:tcPr>
                  <w:tcW w:w="5670" w:type="dxa"/>
                  <w:vAlign w:val="center"/>
                </w:tcPr>
                <w:p w14:paraId="5A3F6FD4">
                  <w:pPr>
                    <w:pStyle w:val="34"/>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生活垃圾</w:t>
                  </w:r>
                  <w:r>
                    <w:rPr>
                      <w:rFonts w:hint="default" w:ascii="Times New Roman" w:hAnsi="Times New Roman" w:cs="Times New Roman"/>
                      <w:color w:val="auto"/>
                      <w:kern w:val="0"/>
                      <w:szCs w:val="21"/>
                      <w:highlight w:val="none"/>
                      <w:lang w:val="en-US" w:eastAsia="zh-CN" w:bidi="ar"/>
                    </w:rPr>
                    <w:t>收集箱</w:t>
                  </w:r>
                </w:p>
              </w:tc>
              <w:tc>
                <w:tcPr>
                  <w:tcW w:w="1433" w:type="dxa"/>
                  <w:vAlign w:val="center"/>
                </w:tcPr>
                <w:p w14:paraId="2819C495">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0.3</w:t>
                  </w:r>
                </w:p>
              </w:tc>
            </w:tr>
            <w:tr w14:paraId="44232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766BD093">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土壤治理措施</w:t>
                  </w:r>
                </w:p>
              </w:tc>
              <w:tc>
                <w:tcPr>
                  <w:tcW w:w="5670" w:type="dxa"/>
                  <w:vAlign w:val="center"/>
                </w:tcPr>
                <w:p w14:paraId="02D566BA">
                  <w:pPr>
                    <w:pStyle w:val="34"/>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cs="Times New Roman"/>
                      <w:color w:val="auto"/>
                      <w:kern w:val="0"/>
                      <w:szCs w:val="21"/>
                      <w:highlight w:val="none"/>
                      <w:lang w:val="en-US" w:eastAsia="zh-CN" w:bidi="ar"/>
                    </w:rPr>
                    <w:t>厂区地面硬化</w:t>
                  </w:r>
                </w:p>
              </w:tc>
              <w:tc>
                <w:tcPr>
                  <w:tcW w:w="1433" w:type="dxa"/>
                  <w:vAlign w:val="center"/>
                </w:tcPr>
                <w:p w14:paraId="53A23544">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r>
            <w:tr w14:paraId="5239B7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7820C915">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环保设施</w:t>
                  </w:r>
                </w:p>
                <w:p w14:paraId="51A7BB14">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运行费用</w:t>
                  </w:r>
                </w:p>
              </w:tc>
              <w:tc>
                <w:tcPr>
                  <w:tcW w:w="5670" w:type="dxa"/>
                  <w:vAlign w:val="center"/>
                </w:tcPr>
                <w:p w14:paraId="4B963F5A">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环保设施的运行、维护、维修费用</w:t>
                  </w:r>
                </w:p>
              </w:tc>
              <w:tc>
                <w:tcPr>
                  <w:tcW w:w="1433" w:type="dxa"/>
                  <w:vAlign w:val="center"/>
                </w:tcPr>
                <w:p w14:paraId="5CCCFB2F">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i w:val="0"/>
                      <w:iCs w:val="0"/>
                      <w:color w:val="auto"/>
                      <w:kern w:val="0"/>
                      <w:sz w:val="21"/>
                      <w:szCs w:val="21"/>
                      <w:u w:val="none"/>
                      <w:lang w:val="en-US" w:eastAsia="zh-CN" w:bidi="ar"/>
                    </w:rPr>
                    <w:t>1</w:t>
                  </w:r>
                </w:p>
              </w:tc>
            </w:tr>
            <w:tr w14:paraId="42BDC3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60600F2C">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日常</w:t>
                  </w:r>
                </w:p>
              </w:tc>
              <w:tc>
                <w:tcPr>
                  <w:tcW w:w="5670" w:type="dxa"/>
                  <w:vAlign w:val="center"/>
                </w:tcPr>
                <w:p w14:paraId="33EA67FE">
                  <w:pPr>
                    <w:pStyle w:val="34"/>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例行监测</w:t>
                  </w:r>
                </w:p>
              </w:tc>
              <w:tc>
                <w:tcPr>
                  <w:tcW w:w="1433" w:type="dxa"/>
                  <w:vAlign w:val="center"/>
                </w:tcPr>
                <w:p w14:paraId="7CED3DE1">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r>
            <w:tr w14:paraId="1A8516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84" w:type="dxa"/>
                  <w:gridSpan w:val="2"/>
                  <w:vAlign w:val="center"/>
                </w:tcPr>
                <w:p w14:paraId="4F63A8C9">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环保投资（万元）</w:t>
                  </w:r>
                </w:p>
              </w:tc>
              <w:tc>
                <w:tcPr>
                  <w:tcW w:w="1433" w:type="dxa"/>
                  <w:vAlign w:val="center"/>
                </w:tcPr>
                <w:p w14:paraId="50FEF6DB">
                  <w:pPr>
                    <w:pStyle w:val="34"/>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35</w:t>
                  </w:r>
                </w:p>
              </w:tc>
            </w:tr>
            <w:tr w14:paraId="09D31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84" w:type="dxa"/>
                  <w:gridSpan w:val="2"/>
                  <w:vAlign w:val="center"/>
                </w:tcPr>
                <w:p w14:paraId="13AE9676">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总</w:t>
                  </w:r>
                  <w:r>
                    <w:rPr>
                      <w:rFonts w:hint="default" w:ascii="Times New Roman" w:hAnsi="Times New Roman" w:cs="Times New Roman"/>
                      <w:color w:val="auto"/>
                      <w:szCs w:val="21"/>
                      <w:highlight w:val="none"/>
                    </w:rPr>
                    <w:t>投资（万元）</w:t>
                  </w:r>
                </w:p>
              </w:tc>
              <w:tc>
                <w:tcPr>
                  <w:tcW w:w="1433" w:type="dxa"/>
                  <w:vAlign w:val="center"/>
                </w:tcPr>
                <w:p w14:paraId="1C3907D0">
                  <w:pPr>
                    <w:pStyle w:val="34"/>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50</w:t>
                  </w:r>
                </w:p>
              </w:tc>
            </w:tr>
            <w:tr w14:paraId="668A8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84" w:type="dxa"/>
                  <w:gridSpan w:val="2"/>
                  <w:vAlign w:val="center"/>
                </w:tcPr>
                <w:p w14:paraId="1D5E9E84">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占总投资比例（%）</w:t>
                  </w:r>
                </w:p>
              </w:tc>
              <w:tc>
                <w:tcPr>
                  <w:tcW w:w="1433" w:type="dxa"/>
                  <w:vAlign w:val="center"/>
                </w:tcPr>
                <w:p w14:paraId="01E3F7FD">
                  <w:pPr>
                    <w:pStyle w:val="34"/>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70</w:t>
                  </w:r>
                </w:p>
              </w:tc>
            </w:tr>
          </w:tbl>
          <w:p w14:paraId="3A3A5CF2">
            <w:pPr>
              <w:pStyle w:val="30"/>
              <w:spacing w:line="360" w:lineRule="auto"/>
              <w:ind w:firstLine="0"/>
              <w:rPr>
                <w:rFonts w:hint="default" w:ascii="Times New Roman" w:hAnsi="Times New Roman" w:cs="Times New Roman"/>
                <w:color w:val="auto"/>
                <w:highlight w:val="none"/>
              </w:rPr>
            </w:pPr>
          </w:p>
        </w:tc>
      </w:tr>
      <w:tr w14:paraId="380DC6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6233" w:hRule="atLeast"/>
          <w:jc w:val="center"/>
        </w:trPr>
        <w:tc>
          <w:tcPr>
            <w:tcW w:w="731" w:type="dxa"/>
            <w:vAlign w:val="center"/>
          </w:tcPr>
          <w:p w14:paraId="7B3C06D5">
            <w:pPr>
              <w:pStyle w:val="18"/>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工艺流程和产排污环节</w:t>
            </w:r>
          </w:p>
        </w:tc>
        <w:tc>
          <w:tcPr>
            <w:tcW w:w="8705" w:type="dxa"/>
          </w:tcPr>
          <w:p w14:paraId="5B19E8BD">
            <w:pPr>
              <w:pStyle w:val="5"/>
              <w:spacing w:after="0" w:line="360" w:lineRule="auto"/>
              <w:ind w:left="0" w:leftChars="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工艺流程简述：</w:t>
            </w:r>
          </w:p>
          <w:p w14:paraId="51F781F2">
            <w:pPr>
              <w:pStyle w:val="30"/>
              <w:spacing w:line="360" w:lineRule="auto"/>
              <w:ind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、施工期</w:t>
            </w:r>
          </w:p>
          <w:p w14:paraId="4443D9DE">
            <w:pPr>
              <w:adjustRightInd w:val="0"/>
              <w:snapToGrid w:val="0"/>
              <w:spacing w:line="360" w:lineRule="auto"/>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Cs/>
                <w:color w:val="auto"/>
                <w:sz w:val="24"/>
                <w:highlight w:val="none"/>
                <w:lang w:val="en-US" w:eastAsia="zh-CN"/>
              </w:rPr>
              <w:t>本次主要建设内容为场地平整、地面硬化，建设煤炭储存配套相应环保设施。</w:t>
            </w:r>
            <w:r>
              <w:rPr>
                <w:rFonts w:hint="default" w:ascii="Times New Roman" w:hAnsi="Times New Roman" w:eastAsia="宋体" w:cs="Times New Roman"/>
                <w:bCs/>
                <w:color w:val="auto"/>
                <w:sz w:val="24"/>
                <w:highlight w:val="none"/>
              </w:rPr>
              <w:t>主要影</w:t>
            </w:r>
            <w:r>
              <w:rPr>
                <w:rFonts w:hint="default" w:ascii="Times New Roman" w:hAnsi="Times New Roman" w:cs="Times New Roman"/>
                <w:bCs/>
                <w:color w:val="auto"/>
                <w:sz w:val="24"/>
                <w:highlight w:val="none"/>
              </w:rPr>
              <w:t>响范围为项目场区区域，施工过程将产生施工扬尘、施工废水、施工噪声、施工固废及生活垃圾等污染物，主要环境影响因子包括环境空气、水环境、声环境、生态环境等</w:t>
            </w:r>
            <w:r>
              <w:rPr>
                <w:rFonts w:hint="default" w:ascii="Times New Roman" w:hAnsi="Times New Roman" w:cs="Times New Roman"/>
                <w:bCs/>
                <w:color w:val="auto"/>
                <w:sz w:val="24"/>
                <w:highlight w:val="none"/>
                <w:lang w:eastAsia="zh-CN"/>
              </w:rPr>
              <w:t>。</w:t>
            </w:r>
          </w:p>
          <w:p w14:paraId="2AE18220">
            <w:pPr>
              <w:pStyle w:val="30"/>
              <w:spacing w:line="360" w:lineRule="auto"/>
              <w:ind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、营运期</w:t>
            </w:r>
          </w:p>
          <w:p w14:paraId="513A92E2">
            <w:pPr>
              <w:pStyle w:val="30"/>
              <w:spacing w:line="360" w:lineRule="auto"/>
              <w:ind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本项目属于煤炭经营销售，只是利用固定场所贮存和销售。主要工艺流程为</w:t>
            </w:r>
            <w:r>
              <w:rPr>
                <w:rFonts w:hint="eastAsia" w:cs="Times New Roman"/>
                <w:color w:val="auto"/>
                <w:highlight w:val="none"/>
                <w:lang w:val="en-US" w:eastAsia="zh-CN"/>
              </w:rPr>
              <w:t>带苫盖</w:t>
            </w:r>
            <w:r>
              <w:rPr>
                <w:rFonts w:hint="default" w:ascii="Times New Roman" w:hAnsi="Times New Roman" w:eastAsia="宋体" w:cs="Times New Roman"/>
                <w:color w:val="auto"/>
                <w:highlight w:val="none"/>
                <w:lang w:val="en-US" w:eastAsia="zh-CN"/>
              </w:rPr>
              <w:t>汽车运至煤炭场内贮存，根据客户要求，将煤炭装</w:t>
            </w:r>
            <w:r>
              <w:rPr>
                <w:rFonts w:hint="eastAsia" w:cs="Times New Roman"/>
                <w:color w:val="auto"/>
                <w:highlight w:val="none"/>
                <w:lang w:val="en-US" w:eastAsia="zh-CN"/>
              </w:rPr>
              <w:t>带苫盖</w:t>
            </w:r>
            <w:r>
              <w:rPr>
                <w:rFonts w:hint="default" w:ascii="Times New Roman" w:hAnsi="Times New Roman" w:eastAsia="宋体" w:cs="Times New Roman"/>
                <w:color w:val="auto"/>
                <w:highlight w:val="none"/>
                <w:lang w:val="en-US" w:eastAsia="zh-CN"/>
              </w:rPr>
              <w:t>汽车运出即可。</w:t>
            </w:r>
            <w:r>
              <w:rPr>
                <w:rFonts w:hint="default" w:ascii="Times New Roman" w:hAnsi="Times New Roman" w:eastAsia="宋体" w:cs="Times New Roman"/>
                <w:color w:val="auto"/>
                <w:highlight w:val="none"/>
              </w:rPr>
              <w:t>项目主要生产工艺流程及产污环节见下图2-</w:t>
            </w:r>
            <w:r>
              <w:rPr>
                <w:rFonts w:hint="default"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lang w:val="en-US" w:eastAsia="zh-CN"/>
              </w:rPr>
              <w:t>。</w:t>
            </w:r>
          </w:p>
          <w:p w14:paraId="0F8F6D4B">
            <w:pPr>
              <w:pStyle w:val="30"/>
              <w:spacing w:line="360" w:lineRule="auto"/>
              <w:ind w:left="0" w:leftChars="0" w:firstLine="0" w:firstLineChars="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4565650" cy="3013075"/>
                  <wp:effectExtent l="0" t="0" r="6350" b="9525"/>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18"/>
                          <a:srcRect l="14317" t="9183" r="10324" b="7615"/>
                          <a:stretch>
                            <a:fillRect/>
                          </a:stretch>
                        </pic:blipFill>
                        <pic:spPr>
                          <a:xfrm>
                            <a:off x="0" y="0"/>
                            <a:ext cx="4565650" cy="3013075"/>
                          </a:xfrm>
                          <a:prstGeom prst="rect">
                            <a:avLst/>
                          </a:prstGeom>
                          <a:noFill/>
                          <a:ln>
                            <a:noFill/>
                          </a:ln>
                        </pic:spPr>
                      </pic:pic>
                    </a:graphicData>
                  </a:graphic>
                </wp:inline>
              </w:drawing>
            </w:r>
          </w:p>
          <w:p w14:paraId="3C2DCEAE">
            <w:pPr>
              <w:jc w:val="center"/>
              <w:rPr>
                <w:rFonts w:hint="default" w:ascii="Times New Roman" w:hAnsi="Times New Roman" w:cs="Times New Roman"/>
                <w:color w:val="auto"/>
                <w:highlight w:val="none"/>
              </w:rPr>
            </w:pPr>
            <w:r>
              <w:rPr>
                <w:rFonts w:hint="default" w:ascii="Times New Roman" w:hAnsi="Times New Roman" w:eastAsia="宋体" w:cs="Times New Roman"/>
                <w:b/>
                <w:bCs/>
                <w:color w:val="auto"/>
                <w:sz w:val="24"/>
                <w:szCs w:val="24"/>
                <w:highlight w:val="none"/>
                <w:lang w:val="en-US" w:eastAsia="zh-CN"/>
              </w:rPr>
              <w:t>图2-</w:t>
            </w:r>
            <w:r>
              <w:rPr>
                <w:rFonts w:hint="default" w:ascii="Times New Roman" w:hAnsi="Times New Roman"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 xml:space="preserve">  工艺流程及产污节点图</w:t>
            </w:r>
          </w:p>
        </w:tc>
      </w:tr>
      <w:tr w14:paraId="22B28A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052" w:hRule="atLeast"/>
          <w:jc w:val="center"/>
        </w:trPr>
        <w:tc>
          <w:tcPr>
            <w:tcW w:w="731" w:type="dxa"/>
            <w:vAlign w:val="center"/>
          </w:tcPr>
          <w:p w14:paraId="0465BE1D">
            <w:pPr>
              <w:pStyle w:val="18"/>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bCs/>
                <w:color w:val="auto"/>
                <w:kern w:val="2"/>
                <w:szCs w:val="24"/>
                <w:highlight w:val="none"/>
              </w:rPr>
              <w:t>与项目有关的原有环境污染问题</w:t>
            </w:r>
          </w:p>
        </w:tc>
        <w:tc>
          <w:tcPr>
            <w:tcW w:w="8705" w:type="dxa"/>
            <w:vAlign w:val="center"/>
          </w:tcPr>
          <w:p w14:paraId="2CA00A4C">
            <w:pPr>
              <w:keepNext w:val="0"/>
              <w:keepLines w:val="0"/>
              <w:pageBreakBefore w:val="0"/>
              <w:widowControl w:val="0"/>
              <w:kinsoku/>
              <w:wordWrap/>
              <w:overflowPunct w:val="0"/>
              <w:topLinePunct w:val="0"/>
              <w:autoSpaceDE/>
              <w:autoSpaceDN/>
              <w:bidi w:val="0"/>
              <w:adjustRightInd/>
              <w:snapToGrid/>
              <w:spacing w:line="240" w:lineRule="auto"/>
              <w:ind w:firstLine="48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本项目为新建项目，</w:t>
            </w:r>
            <w:r>
              <w:rPr>
                <w:rFonts w:hint="default" w:ascii="Times New Roman" w:hAnsi="Times New Roman" w:cs="Times New Roman"/>
                <w:color w:val="auto"/>
                <w:sz w:val="24"/>
                <w:highlight w:val="none"/>
                <w:lang w:val="en-US" w:eastAsia="zh-CN"/>
              </w:rPr>
              <w:t>项目无原有环境问题</w:t>
            </w:r>
            <w:r>
              <w:rPr>
                <w:rFonts w:hint="default" w:ascii="Times New Roman" w:hAnsi="Times New Roman" w:cs="Times New Roman"/>
                <w:color w:val="auto"/>
                <w:sz w:val="24"/>
                <w:highlight w:val="none"/>
                <w:lang w:eastAsia="zh-CN"/>
              </w:rPr>
              <w:t>。</w:t>
            </w:r>
          </w:p>
        </w:tc>
      </w:tr>
    </w:tbl>
    <w:p w14:paraId="0715B5FE">
      <w:pPr>
        <w:pStyle w:val="18"/>
        <w:jc w:val="center"/>
        <w:rPr>
          <w:rFonts w:hint="default" w:ascii="Times New Roman" w:hAnsi="Times New Roman" w:eastAsia="黑体" w:cs="Times New Roman"/>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253B6B1">
      <w:pPr>
        <w:pStyle w:val="18"/>
        <w:jc w:val="center"/>
        <w:outlineLvl w:val="0"/>
        <w:rPr>
          <w:rFonts w:hint="eastAsia" w:ascii="宋体" w:hAnsi="宋体" w:eastAsia="宋体" w:cs="宋体"/>
          <w:snapToGrid w:val="0"/>
          <w:color w:val="auto"/>
          <w:sz w:val="30"/>
          <w:szCs w:val="30"/>
          <w:highlight w:val="none"/>
        </w:rPr>
      </w:pPr>
      <w:bookmarkStart w:id="25" w:name="_Toc4206"/>
      <w:bookmarkStart w:id="26" w:name="_Toc21528"/>
      <w:bookmarkStart w:id="27" w:name="_Toc31415"/>
      <w:bookmarkStart w:id="28" w:name="_Toc5692"/>
      <w:r>
        <w:rPr>
          <w:rFonts w:hint="eastAsia" w:ascii="宋体" w:hAnsi="宋体" w:eastAsia="宋体" w:cs="宋体"/>
          <w:snapToGrid w:val="0"/>
          <w:color w:val="auto"/>
          <w:sz w:val="30"/>
          <w:szCs w:val="30"/>
          <w:highlight w:val="none"/>
        </w:rPr>
        <w:t>三、区域环境质量现状、环境保护目标及评价标准</w:t>
      </w:r>
      <w:bookmarkEnd w:id="25"/>
      <w:bookmarkEnd w:id="26"/>
      <w:bookmarkEnd w:id="27"/>
      <w:bookmarkEnd w:id="28"/>
    </w:p>
    <w:tbl>
      <w:tblPr>
        <w:tblStyle w:val="20"/>
        <w:tblW w:w="979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25"/>
        <w:gridCol w:w="9067"/>
      </w:tblGrid>
      <w:tr w14:paraId="10CA0F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5" w:type="dxa"/>
            <w:vAlign w:val="center"/>
          </w:tcPr>
          <w:p w14:paraId="5FEC0BD1">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区域</w:t>
            </w:r>
          </w:p>
          <w:p w14:paraId="08BFFF1F">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54A55B02">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质量</w:t>
            </w:r>
          </w:p>
          <w:p w14:paraId="21930806">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现状</w:t>
            </w:r>
          </w:p>
        </w:tc>
        <w:tc>
          <w:tcPr>
            <w:tcW w:w="9067" w:type="dxa"/>
          </w:tcPr>
          <w:p w14:paraId="3B0DF9B4">
            <w:pPr>
              <w:spacing w:line="360" w:lineRule="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1、大气环境</w:t>
            </w:r>
          </w:p>
          <w:p w14:paraId="692732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21"/>
                <w:sz w:val="24"/>
                <w:szCs w:val="24"/>
              </w:rPr>
            </w:pPr>
            <w:r>
              <w:rPr>
                <w:rFonts w:hint="default" w:ascii="Times New Roman" w:hAnsi="Times New Roman" w:cs="Times New Roman"/>
                <w:color w:val="auto"/>
                <w:sz w:val="24"/>
                <w:szCs w:val="24"/>
                <w:highlight w:val="none"/>
              </w:rPr>
              <w:t>根据《202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年黑龙江省生态环境</w:t>
            </w:r>
            <w:r>
              <w:rPr>
                <w:rFonts w:hint="default" w:ascii="Times New Roman" w:hAnsi="Times New Roman" w:cs="Times New Roman"/>
                <w:color w:val="auto"/>
                <w:sz w:val="24"/>
                <w:szCs w:val="24"/>
                <w:highlight w:val="none"/>
                <w:lang w:val="en-US" w:eastAsia="zh-CN"/>
              </w:rPr>
              <w:t>质量</w:t>
            </w:r>
            <w:r>
              <w:rPr>
                <w:rFonts w:hint="default" w:ascii="Times New Roman" w:hAnsi="Times New Roman" w:cs="Times New Roman"/>
                <w:color w:val="auto"/>
                <w:sz w:val="24"/>
                <w:szCs w:val="24"/>
                <w:highlight w:val="none"/>
              </w:rPr>
              <w:t>状况》（202</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val="en-US" w:eastAsia="zh-CN"/>
              </w:rPr>
              <w:t>鸡西市空气质量级别达二级标准，PM</w:t>
            </w:r>
            <w:r>
              <w:rPr>
                <w:rFonts w:hint="default" w:ascii="Times New Roman" w:hAnsi="Times New Roman" w:cs="Times New Roman"/>
                <w:color w:val="auto"/>
                <w:sz w:val="24"/>
                <w:szCs w:val="24"/>
                <w:highlight w:val="none"/>
                <w:vertAlign w:val="subscript"/>
                <w:lang w:val="en-US" w:eastAsia="zh-CN"/>
              </w:rPr>
              <w:t>2.5</w:t>
            </w:r>
            <w:r>
              <w:rPr>
                <w:rFonts w:hint="default" w:ascii="Times New Roman" w:hAnsi="Times New Roman" w:cs="Times New Roman"/>
                <w:color w:val="auto"/>
                <w:sz w:val="24"/>
                <w:szCs w:val="24"/>
                <w:highlight w:val="none"/>
                <w:lang w:val="en-US" w:eastAsia="zh-CN"/>
              </w:rPr>
              <w:t>、PM</w:t>
            </w:r>
            <w:r>
              <w:rPr>
                <w:rFonts w:hint="default" w:ascii="Times New Roman" w:hAnsi="Times New Roman" w:cs="Times New Roman"/>
                <w:color w:val="auto"/>
                <w:sz w:val="24"/>
                <w:szCs w:val="24"/>
                <w:highlight w:val="none"/>
                <w:vertAlign w:val="subscript"/>
                <w:lang w:val="en-US" w:eastAsia="zh-CN"/>
              </w:rPr>
              <w:t>10</w:t>
            </w:r>
            <w:r>
              <w:rPr>
                <w:rFonts w:hint="default" w:ascii="Times New Roman" w:hAnsi="Times New Roman" w:cs="Times New Roman"/>
                <w:color w:val="auto"/>
                <w:sz w:val="24"/>
                <w:szCs w:val="24"/>
                <w:highlight w:val="none"/>
                <w:lang w:val="en-US" w:eastAsia="zh-CN"/>
              </w:rPr>
              <w:t>、SO</w:t>
            </w:r>
            <w:r>
              <w:rPr>
                <w:rFonts w:hint="default" w:ascii="Times New Roman" w:hAnsi="Times New Roman" w:cs="Times New Roman"/>
                <w:color w:val="auto"/>
                <w:sz w:val="24"/>
                <w:szCs w:val="24"/>
                <w:highlight w:val="none"/>
                <w:vertAlign w:val="subscript"/>
                <w:lang w:val="en-US" w:eastAsia="zh-CN"/>
              </w:rPr>
              <w:t>2</w:t>
            </w:r>
            <w:r>
              <w:rPr>
                <w:rFonts w:hint="default" w:ascii="Times New Roman" w:hAnsi="Times New Roman" w:cs="Times New Roman"/>
                <w:color w:val="auto"/>
                <w:sz w:val="24"/>
                <w:szCs w:val="24"/>
                <w:highlight w:val="none"/>
                <w:lang w:val="en-US" w:eastAsia="zh-CN"/>
              </w:rPr>
              <w:t>、NO</w:t>
            </w:r>
            <w:r>
              <w:rPr>
                <w:rFonts w:hint="default" w:ascii="Times New Roman" w:hAnsi="Times New Roman" w:cs="Times New Roman"/>
                <w:color w:val="auto"/>
                <w:sz w:val="24"/>
                <w:szCs w:val="24"/>
                <w:highlight w:val="none"/>
                <w:vertAlign w:val="subscript"/>
                <w:lang w:val="en-US" w:eastAsia="zh-CN"/>
              </w:rPr>
              <w:t>2</w:t>
            </w:r>
            <w:r>
              <w:rPr>
                <w:rFonts w:hint="default" w:ascii="Times New Roman" w:hAnsi="Times New Roman" w:cs="Times New Roman"/>
                <w:color w:val="auto"/>
                <w:sz w:val="24"/>
                <w:szCs w:val="24"/>
                <w:highlight w:val="none"/>
                <w:lang w:val="en-US" w:eastAsia="zh-CN"/>
              </w:rPr>
              <w:t>、CO-95per、O</w:t>
            </w:r>
            <w:r>
              <w:rPr>
                <w:rFonts w:hint="default" w:ascii="Times New Roman" w:hAnsi="Times New Roman" w:cs="Times New Roman"/>
                <w:color w:val="auto"/>
                <w:sz w:val="24"/>
                <w:szCs w:val="24"/>
                <w:highlight w:val="none"/>
                <w:vertAlign w:val="subscript"/>
                <w:lang w:val="en-US" w:eastAsia="zh-CN"/>
              </w:rPr>
              <w:t>3</w:t>
            </w:r>
            <w:r>
              <w:rPr>
                <w:rFonts w:hint="default" w:ascii="Times New Roman" w:hAnsi="Times New Roman" w:cs="Times New Roman"/>
                <w:color w:val="auto"/>
                <w:sz w:val="24"/>
                <w:szCs w:val="24"/>
                <w:highlight w:val="none"/>
                <w:lang w:val="en-US" w:eastAsia="zh-CN"/>
              </w:rPr>
              <w:t>-8h-90per年均浓度分别为27</w:t>
            </w:r>
            <w:r>
              <w:rPr>
                <w:rFonts w:hint="default" w:ascii="Times New Roman" w:hAnsi="Times New Roman" w:eastAsia="宋体" w:cs="Times New Roman"/>
                <w:color w:val="auto"/>
                <w:sz w:val="24"/>
                <w:szCs w:val="24"/>
                <w:highlight w:val="none"/>
                <w:lang w:val="en-US" w:eastAsia="zh-CN"/>
              </w:rPr>
              <w:t>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w:t>
            </w:r>
            <w:r>
              <w:rPr>
                <w:rFonts w:hint="default" w:ascii="Times New Roman" w:hAnsi="Times New Roman" w:cs="Times New Roman"/>
                <w:color w:val="auto"/>
                <w:sz w:val="24"/>
                <w:szCs w:val="24"/>
                <w:highlight w:val="none"/>
                <w:lang w:val="en-US" w:eastAsia="zh-CN"/>
              </w:rPr>
              <w:t>46</w:t>
            </w:r>
            <w:r>
              <w:rPr>
                <w:rFonts w:hint="default" w:ascii="Times New Roman" w:hAnsi="Times New Roman" w:eastAsia="宋体" w:cs="Times New Roman"/>
                <w:color w:val="auto"/>
                <w:sz w:val="24"/>
                <w:szCs w:val="24"/>
                <w:highlight w:val="none"/>
                <w:lang w:val="en-US" w:eastAsia="zh-CN"/>
              </w:rPr>
              <w:t>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、8</w:t>
            </w:r>
            <w:r>
              <w:rPr>
                <w:rFonts w:hint="default" w:ascii="Times New Roman" w:hAnsi="Times New Roman" w:eastAsia="宋体" w:cs="Times New Roman"/>
                <w:color w:val="auto"/>
                <w:sz w:val="24"/>
                <w:szCs w:val="24"/>
                <w:highlight w:val="none"/>
                <w:lang w:val="en-US" w:eastAsia="zh-CN"/>
              </w:rPr>
              <w:t>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、1</w:t>
            </w:r>
            <w:r>
              <w:rPr>
                <w:rFonts w:hint="default"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、1.0</w:t>
            </w:r>
            <w:r>
              <w:rPr>
                <w:rFonts w:hint="default" w:ascii="Times New Roman" w:hAnsi="Times New Roman" w:eastAsia="宋体" w:cs="Times New Roman"/>
                <w:color w:val="auto"/>
                <w:sz w:val="24"/>
                <w:szCs w:val="24"/>
                <w:highlight w:val="none"/>
                <w:lang w:val="en-US" w:eastAsia="zh-CN"/>
              </w:rPr>
              <w:t>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、和90</w:t>
            </w:r>
            <w:r>
              <w:rPr>
                <w:rFonts w:hint="default" w:ascii="Times New Roman" w:hAnsi="Times New Roman" w:eastAsia="宋体" w:cs="Times New Roman"/>
                <w:color w:val="auto"/>
                <w:sz w:val="24"/>
                <w:szCs w:val="24"/>
                <w:highlight w:val="none"/>
                <w:lang w:val="en-US" w:eastAsia="zh-CN"/>
              </w:rPr>
              <w:t>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kern w:val="21"/>
                <w:sz w:val="24"/>
                <w:szCs w:val="24"/>
                <w:highlight w:val="none"/>
                <w:lang w:eastAsia="zh-CN"/>
              </w:rPr>
              <w:t>，</w:t>
            </w:r>
            <w:r>
              <w:rPr>
                <w:rFonts w:hint="default" w:ascii="Times New Roman" w:hAnsi="Times New Roman" w:eastAsia="宋体" w:cs="Times New Roman"/>
                <w:color w:val="auto"/>
                <w:kern w:val="21"/>
                <w:sz w:val="24"/>
                <w:szCs w:val="24"/>
                <w:highlight w:val="none"/>
              </w:rPr>
              <w:t>项目所在区域为达标区。</w:t>
            </w:r>
          </w:p>
          <w:p w14:paraId="28D94A57">
            <w:pPr>
              <w:pStyle w:val="16"/>
              <w:rPr>
                <w:rFonts w:hint="default" w:ascii="Times New Roman" w:hAnsi="Times New Roman" w:eastAsia="宋体" w:cs="Times New Roman"/>
                <w:b/>
                <w:bCs/>
                <w:color w:val="auto"/>
                <w:szCs w:val="24"/>
              </w:rPr>
            </w:pPr>
            <w:r>
              <w:rPr>
                <w:rFonts w:hint="default" w:ascii="Times New Roman" w:hAnsi="Times New Roman" w:cs="Times New Roman"/>
                <w:color w:val="auto"/>
              </w:rPr>
              <w:drawing>
                <wp:inline distT="0" distB="0" distL="114300" distR="114300">
                  <wp:extent cx="5647690" cy="4730115"/>
                  <wp:effectExtent l="0" t="0" r="10160" b="13335"/>
                  <wp:docPr id="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
                          <pic:cNvPicPr>
                            <a:picLocks noChangeAspect="1"/>
                          </pic:cNvPicPr>
                        </pic:nvPicPr>
                        <pic:blipFill>
                          <a:blip r:embed="rId19"/>
                          <a:stretch>
                            <a:fillRect/>
                          </a:stretch>
                        </pic:blipFill>
                        <pic:spPr>
                          <a:xfrm>
                            <a:off x="0" y="0"/>
                            <a:ext cx="5647690" cy="4730115"/>
                          </a:xfrm>
                          <a:prstGeom prst="rect">
                            <a:avLst/>
                          </a:prstGeom>
                          <a:noFill/>
                          <a:ln>
                            <a:noFill/>
                          </a:ln>
                        </pic:spPr>
                      </pic:pic>
                    </a:graphicData>
                  </a:graphic>
                </wp:inline>
              </w:drawing>
            </w:r>
          </w:p>
          <w:p w14:paraId="15A2B3A1">
            <w:pPr>
              <w:pStyle w:val="45"/>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b/>
                <w:bCs/>
                <w:color w:val="auto"/>
                <w:szCs w:val="24"/>
              </w:rPr>
              <w:t>图3-1  202</w:t>
            </w:r>
            <w:r>
              <w:rPr>
                <w:rFonts w:hint="default" w:ascii="Times New Roman" w:hAnsi="Times New Roman" w:eastAsia="宋体" w:cs="Times New Roman"/>
                <w:b/>
                <w:bCs/>
                <w:color w:val="auto"/>
                <w:szCs w:val="24"/>
                <w:lang w:val="en-US" w:eastAsia="zh-CN"/>
              </w:rPr>
              <w:t>4</w:t>
            </w:r>
            <w:r>
              <w:rPr>
                <w:rFonts w:hint="default" w:ascii="Times New Roman" w:hAnsi="Times New Roman" w:eastAsia="宋体" w:cs="Times New Roman"/>
                <w:b/>
                <w:bCs/>
                <w:color w:val="auto"/>
                <w:szCs w:val="24"/>
              </w:rPr>
              <w:t>年全省及各市（地）污染物浓度达标情况图</w:t>
            </w:r>
          </w:p>
          <w:p w14:paraId="57E95094">
            <w:pPr>
              <w:pStyle w:val="59"/>
              <w:numPr>
                <w:ilvl w:val="0"/>
                <w:numId w:val="1"/>
              </w:numPr>
              <w:spacing w:before="36" w:line="360" w:lineRule="auto"/>
              <w:ind w:left="120" w:leftChars="0" w:right="103" w:firstLine="510" w:firstLineChars="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en-US" w:eastAsia="zh-CN"/>
              </w:rPr>
              <w:t>其他污染物</w:t>
            </w:r>
          </w:p>
          <w:p w14:paraId="6BE8870A">
            <w:pPr>
              <w:adjustRightInd w:val="0"/>
              <w:snapToGrid w:val="0"/>
              <w:spacing w:line="360" w:lineRule="auto"/>
              <w:ind w:firstLine="480" w:firstLineChars="200"/>
              <w:rPr>
                <w:color w:val="auto"/>
                <w:sz w:val="24"/>
                <w:lang w:val="zh-CN"/>
              </w:rPr>
            </w:pPr>
            <w:r>
              <w:rPr>
                <w:color w:val="auto"/>
                <w:sz w:val="24"/>
                <w:lang w:val="zh-CN"/>
              </w:rPr>
              <w:t>本项目大气环境空气质量特征因子引自黑龙江省</w:t>
            </w:r>
            <w:r>
              <w:rPr>
                <w:rFonts w:hint="eastAsia"/>
                <w:color w:val="auto"/>
                <w:sz w:val="24"/>
                <w:lang w:val="en-US" w:eastAsia="zh-CN"/>
              </w:rPr>
              <w:t>汉风环境检测技术</w:t>
            </w:r>
            <w:r>
              <w:rPr>
                <w:color w:val="auto"/>
                <w:sz w:val="24"/>
                <w:lang w:val="zh-CN"/>
              </w:rPr>
              <w:t>有限公司于202</w:t>
            </w:r>
            <w:r>
              <w:rPr>
                <w:rFonts w:hint="eastAsia"/>
                <w:color w:val="auto"/>
                <w:sz w:val="24"/>
                <w:lang w:val="en-US" w:eastAsia="zh-CN"/>
              </w:rPr>
              <w:t>5</w:t>
            </w:r>
            <w:r>
              <w:rPr>
                <w:color w:val="auto"/>
                <w:sz w:val="24"/>
                <w:lang w:val="zh-CN"/>
              </w:rPr>
              <w:t>年</w:t>
            </w:r>
            <w:r>
              <w:rPr>
                <w:rFonts w:hint="eastAsia"/>
                <w:color w:val="auto"/>
                <w:sz w:val="24"/>
                <w:lang w:val="en-US" w:eastAsia="zh-CN"/>
              </w:rPr>
              <w:t>5</w:t>
            </w:r>
            <w:r>
              <w:rPr>
                <w:color w:val="auto"/>
                <w:sz w:val="24"/>
                <w:lang w:val="zh-CN"/>
              </w:rPr>
              <w:t>月</w:t>
            </w:r>
            <w:r>
              <w:rPr>
                <w:rFonts w:hint="eastAsia"/>
                <w:color w:val="auto"/>
                <w:sz w:val="24"/>
                <w:lang w:val="en-US" w:eastAsia="zh-CN"/>
              </w:rPr>
              <w:t>15</w:t>
            </w:r>
            <w:r>
              <w:rPr>
                <w:color w:val="auto"/>
                <w:sz w:val="24"/>
                <w:lang w:val="zh-CN"/>
              </w:rPr>
              <w:t>日出具的《检测报告》（报告编号：</w:t>
            </w:r>
            <w:r>
              <w:rPr>
                <w:rFonts w:hint="eastAsia" w:ascii="Times New Roman" w:hAnsi="Times New Roman" w:cs="Times New Roman"/>
                <w:b w:val="0"/>
                <w:bCs/>
                <w:color w:val="auto"/>
                <w:sz w:val="24"/>
                <w:lang w:eastAsia="zh-CN"/>
              </w:rPr>
              <w:t>HFJC-TRG-250</w:t>
            </w:r>
            <w:r>
              <w:rPr>
                <w:rFonts w:hint="eastAsia" w:cs="Times New Roman"/>
                <w:b w:val="0"/>
                <w:bCs/>
                <w:color w:val="auto"/>
                <w:sz w:val="24"/>
                <w:lang w:val="en-US" w:eastAsia="zh-CN"/>
              </w:rPr>
              <w:t>508</w:t>
            </w:r>
            <w:r>
              <w:rPr>
                <w:rFonts w:hint="eastAsia" w:ascii="Times New Roman" w:hAnsi="Times New Roman" w:cs="Times New Roman"/>
                <w:b w:val="0"/>
                <w:bCs/>
                <w:color w:val="auto"/>
                <w:sz w:val="24"/>
                <w:lang w:eastAsia="zh-CN"/>
              </w:rPr>
              <w:t>-0</w:t>
            </w:r>
            <w:r>
              <w:rPr>
                <w:rFonts w:hint="eastAsia" w:cs="Times New Roman"/>
                <w:b w:val="0"/>
                <w:bCs/>
                <w:color w:val="auto"/>
                <w:sz w:val="24"/>
                <w:lang w:val="en-US" w:eastAsia="zh-CN"/>
              </w:rPr>
              <w:t>8</w:t>
            </w:r>
            <w:r>
              <w:rPr>
                <w:color w:val="auto"/>
                <w:sz w:val="24"/>
                <w:lang w:val="zh-CN"/>
              </w:rPr>
              <w:t>）。</w:t>
            </w:r>
          </w:p>
          <w:p w14:paraId="3AB336EC">
            <w:pPr>
              <w:adjustRightInd w:val="0"/>
              <w:snapToGrid w:val="0"/>
              <w:spacing w:line="360" w:lineRule="auto"/>
              <w:ind w:firstLine="480" w:firstLineChars="200"/>
              <w:rPr>
                <w:color w:val="auto"/>
                <w:sz w:val="24"/>
                <w:lang w:val="zh-CN"/>
              </w:rPr>
            </w:pPr>
            <w:r>
              <w:rPr>
                <w:color w:val="auto"/>
                <w:sz w:val="24"/>
                <w:lang w:val="zh-CN"/>
              </w:rPr>
              <w:t>①监测项目</w:t>
            </w:r>
          </w:p>
          <w:p w14:paraId="55989AD5">
            <w:pPr>
              <w:adjustRightInd w:val="0"/>
              <w:snapToGrid w:val="0"/>
              <w:spacing w:line="360" w:lineRule="auto"/>
              <w:ind w:firstLine="480" w:firstLineChars="200"/>
              <w:rPr>
                <w:color w:val="auto"/>
                <w:sz w:val="24"/>
                <w:lang w:val="zh-CN"/>
              </w:rPr>
            </w:pPr>
            <w:r>
              <w:rPr>
                <w:color w:val="auto"/>
                <w:sz w:val="24"/>
                <w:lang w:val="zh-CN"/>
              </w:rPr>
              <w:t>总悬浮颗粒物。</w:t>
            </w:r>
          </w:p>
          <w:p w14:paraId="1C625CCE">
            <w:pPr>
              <w:adjustRightInd w:val="0"/>
              <w:snapToGrid w:val="0"/>
              <w:spacing w:line="360" w:lineRule="auto"/>
              <w:ind w:firstLine="480" w:firstLineChars="200"/>
              <w:rPr>
                <w:color w:val="auto"/>
                <w:sz w:val="24"/>
                <w:lang w:val="zh-CN"/>
              </w:rPr>
            </w:pPr>
            <w:r>
              <w:rPr>
                <w:color w:val="auto"/>
                <w:sz w:val="24"/>
                <w:lang w:val="zh-CN"/>
              </w:rPr>
              <w:t>②监测时间</w:t>
            </w:r>
          </w:p>
          <w:p w14:paraId="205A7959">
            <w:pPr>
              <w:adjustRightInd w:val="0"/>
              <w:snapToGrid w:val="0"/>
              <w:spacing w:line="360" w:lineRule="auto"/>
              <w:ind w:firstLine="480" w:firstLineChars="200"/>
              <w:rPr>
                <w:color w:val="auto"/>
                <w:sz w:val="24"/>
                <w:lang w:val="zh-CN"/>
              </w:rPr>
            </w:pPr>
            <w:r>
              <w:rPr>
                <w:color w:val="auto"/>
                <w:sz w:val="24"/>
                <w:lang w:val="zh-CN"/>
              </w:rPr>
              <w:t>监测时间：</w:t>
            </w:r>
            <w:r>
              <w:rPr>
                <w:rFonts w:hint="default" w:ascii="Times New Roman" w:hAnsi="Times New Roman" w:eastAsia="宋体" w:cs="Times New Roman"/>
                <w:color w:val="auto"/>
                <w:sz w:val="24"/>
                <w:lang w:val="en-US" w:eastAsia="zh-CN"/>
              </w:rPr>
              <w:t>2025年</w:t>
            </w:r>
            <w:r>
              <w:rPr>
                <w:rFonts w:hint="eastAsia" w:cs="Times New Roman"/>
                <w:color w:val="auto"/>
                <w:sz w:val="24"/>
                <w:lang w:val="en-US" w:eastAsia="zh-CN"/>
              </w:rPr>
              <w:t>5</w:t>
            </w:r>
            <w:r>
              <w:rPr>
                <w:rFonts w:hint="default" w:ascii="Times New Roman" w:hAnsi="Times New Roman" w:eastAsia="宋体" w:cs="Times New Roman"/>
                <w:color w:val="auto"/>
                <w:sz w:val="24"/>
                <w:lang w:val="en-US" w:eastAsia="zh-CN"/>
              </w:rPr>
              <w:t>月</w:t>
            </w:r>
            <w:r>
              <w:rPr>
                <w:rFonts w:hint="eastAsia" w:cs="Times New Roman"/>
                <w:color w:val="auto"/>
                <w:sz w:val="24"/>
                <w:lang w:val="en-US" w:eastAsia="zh-CN"/>
              </w:rPr>
              <w:t>10</w:t>
            </w:r>
            <w:r>
              <w:rPr>
                <w:rFonts w:hint="default" w:ascii="Times New Roman" w:hAnsi="Times New Roman" w:eastAsia="宋体" w:cs="Times New Roman"/>
                <w:color w:val="auto"/>
                <w:sz w:val="24"/>
                <w:lang w:val="en-US" w:eastAsia="zh-CN"/>
              </w:rPr>
              <w:t>日-</w:t>
            </w:r>
            <w:r>
              <w:rPr>
                <w:rFonts w:hint="eastAsia" w:cs="Times New Roman"/>
                <w:color w:val="auto"/>
                <w:sz w:val="24"/>
                <w:lang w:val="en-US" w:eastAsia="zh-CN"/>
              </w:rPr>
              <w:t>5</w:t>
            </w:r>
            <w:r>
              <w:rPr>
                <w:rFonts w:hint="default" w:ascii="Times New Roman" w:hAnsi="Times New Roman" w:eastAsia="宋体" w:cs="Times New Roman"/>
                <w:color w:val="auto"/>
                <w:sz w:val="24"/>
                <w:lang w:val="en-US" w:eastAsia="zh-CN"/>
              </w:rPr>
              <w:t>月</w:t>
            </w:r>
            <w:r>
              <w:rPr>
                <w:rFonts w:hint="eastAsia" w:cs="Times New Roman"/>
                <w:color w:val="auto"/>
                <w:sz w:val="24"/>
                <w:lang w:val="en-US" w:eastAsia="zh-CN"/>
              </w:rPr>
              <w:t>12</w:t>
            </w:r>
            <w:r>
              <w:rPr>
                <w:rFonts w:hint="default" w:ascii="Times New Roman" w:hAnsi="Times New Roman" w:eastAsia="宋体" w:cs="Times New Roman"/>
                <w:color w:val="auto"/>
                <w:sz w:val="24"/>
                <w:lang w:val="en-US" w:eastAsia="zh-CN"/>
              </w:rPr>
              <w:t>日</w:t>
            </w:r>
            <w:r>
              <w:rPr>
                <w:rFonts w:ascii="Times New Roman" w:hAnsi="Times New Roman" w:eastAsia="宋体" w:cs="Times New Roman"/>
                <w:color w:val="auto"/>
                <w:sz w:val="24"/>
                <w:lang w:val="zh-CN"/>
              </w:rPr>
              <w:t>，</w:t>
            </w:r>
            <w:r>
              <w:rPr>
                <w:color w:val="auto"/>
                <w:sz w:val="24"/>
                <w:lang w:val="zh-CN"/>
              </w:rPr>
              <w:t>连续监测</w:t>
            </w:r>
            <w:r>
              <w:rPr>
                <w:rFonts w:hint="eastAsia"/>
                <w:color w:val="auto"/>
                <w:sz w:val="24"/>
              </w:rPr>
              <w:t>3</w:t>
            </w:r>
            <w:r>
              <w:rPr>
                <w:color w:val="auto"/>
                <w:sz w:val="24"/>
                <w:lang w:val="zh-CN"/>
              </w:rPr>
              <w:t>天。</w:t>
            </w:r>
          </w:p>
          <w:p w14:paraId="7B53C963">
            <w:pPr>
              <w:adjustRightInd w:val="0"/>
              <w:snapToGrid w:val="0"/>
              <w:spacing w:line="360" w:lineRule="auto"/>
              <w:ind w:firstLine="480" w:firstLineChars="200"/>
              <w:rPr>
                <w:color w:val="auto"/>
                <w:sz w:val="24"/>
                <w:lang w:val="zh-CN"/>
              </w:rPr>
            </w:pPr>
            <w:r>
              <w:rPr>
                <w:color w:val="auto"/>
                <w:sz w:val="24"/>
                <w:lang w:val="zh-CN"/>
              </w:rPr>
              <w:t>③监测频率</w:t>
            </w:r>
          </w:p>
          <w:p w14:paraId="081F14E0">
            <w:pPr>
              <w:adjustRightInd w:val="0"/>
              <w:snapToGrid w:val="0"/>
              <w:spacing w:line="360" w:lineRule="auto"/>
              <w:ind w:firstLine="480" w:firstLineChars="200"/>
              <w:rPr>
                <w:color w:val="auto"/>
                <w:sz w:val="24"/>
                <w:lang w:val="zh-CN"/>
              </w:rPr>
            </w:pPr>
            <w:r>
              <w:rPr>
                <w:color w:val="auto"/>
                <w:sz w:val="24"/>
                <w:lang w:val="zh-CN"/>
              </w:rPr>
              <w:t>连续监测</w:t>
            </w:r>
            <w:r>
              <w:rPr>
                <w:rFonts w:hint="eastAsia"/>
                <w:color w:val="auto"/>
                <w:sz w:val="24"/>
              </w:rPr>
              <w:t>3</w:t>
            </w:r>
            <w:r>
              <w:rPr>
                <w:color w:val="auto"/>
                <w:sz w:val="24"/>
                <w:lang w:val="zh-CN"/>
              </w:rPr>
              <w:t>天，每天取日均值。</w:t>
            </w:r>
          </w:p>
          <w:p w14:paraId="4DB9EDD1">
            <w:pPr>
              <w:adjustRightInd w:val="0"/>
              <w:snapToGrid w:val="0"/>
              <w:spacing w:line="360" w:lineRule="auto"/>
              <w:ind w:firstLine="480" w:firstLineChars="200"/>
              <w:rPr>
                <w:color w:val="auto"/>
                <w:sz w:val="24"/>
                <w:lang w:val="zh-CN"/>
              </w:rPr>
            </w:pPr>
            <w:r>
              <w:rPr>
                <w:color w:val="auto"/>
                <w:sz w:val="24"/>
                <w:lang w:val="zh-CN"/>
              </w:rPr>
              <w:t>④监测点位</w:t>
            </w:r>
          </w:p>
          <w:p w14:paraId="1C47A302">
            <w:pPr>
              <w:adjustRightInd w:val="0"/>
              <w:snapToGrid w:val="0"/>
              <w:spacing w:line="360" w:lineRule="auto"/>
              <w:ind w:firstLine="480" w:firstLineChars="200"/>
              <w:rPr>
                <w:color w:val="auto"/>
                <w:sz w:val="24"/>
                <w:lang w:val="zh-CN"/>
              </w:rPr>
            </w:pPr>
            <w:r>
              <w:rPr>
                <w:color w:val="auto"/>
                <w:sz w:val="24"/>
                <w:lang w:val="zh-CN"/>
              </w:rPr>
              <w:t>监测点位置具体见表</w:t>
            </w:r>
            <w:r>
              <w:rPr>
                <w:color w:val="auto"/>
                <w:sz w:val="24"/>
              </w:rPr>
              <w:t>3</w:t>
            </w:r>
            <w:r>
              <w:rPr>
                <w:color w:val="auto"/>
                <w:sz w:val="24"/>
                <w:lang w:val="zh-CN"/>
              </w:rPr>
              <w:t>-</w:t>
            </w:r>
            <w:r>
              <w:rPr>
                <w:rFonts w:hint="eastAsia"/>
                <w:color w:val="auto"/>
                <w:sz w:val="24"/>
                <w:lang w:val="en-US" w:eastAsia="zh-CN"/>
              </w:rPr>
              <w:t>1</w:t>
            </w:r>
            <w:r>
              <w:rPr>
                <w:color w:val="auto"/>
                <w:sz w:val="24"/>
                <w:lang w:val="zh-CN"/>
              </w:rPr>
              <w:t>和图</w:t>
            </w:r>
            <w:r>
              <w:rPr>
                <w:color w:val="auto"/>
                <w:sz w:val="24"/>
              </w:rPr>
              <w:t>3</w:t>
            </w:r>
            <w:r>
              <w:rPr>
                <w:color w:val="auto"/>
                <w:sz w:val="24"/>
                <w:lang w:val="zh-CN"/>
              </w:rPr>
              <w:t>-</w:t>
            </w:r>
            <w:r>
              <w:rPr>
                <w:rFonts w:hint="eastAsia"/>
                <w:color w:val="auto"/>
                <w:sz w:val="24"/>
                <w:lang w:val="en-US" w:eastAsia="zh-CN"/>
              </w:rPr>
              <w:t>2</w:t>
            </w:r>
            <w:r>
              <w:rPr>
                <w:rFonts w:hint="eastAsia"/>
                <w:color w:val="auto"/>
                <w:sz w:val="24"/>
                <w:lang w:val="zh-CN"/>
              </w:rPr>
              <w:t>。</w:t>
            </w:r>
          </w:p>
          <w:p w14:paraId="18CF68DD">
            <w:pPr>
              <w:spacing w:line="360" w:lineRule="auto"/>
              <w:jc w:val="center"/>
              <w:rPr>
                <w:color w:val="auto"/>
                <w:szCs w:val="21"/>
              </w:rPr>
            </w:pPr>
            <w:r>
              <w:rPr>
                <w:b/>
                <w:bCs/>
                <w:color w:val="auto"/>
                <w:szCs w:val="21"/>
              </w:rPr>
              <w:t>表3-</w:t>
            </w:r>
            <w:r>
              <w:rPr>
                <w:rFonts w:hint="eastAsia"/>
                <w:b/>
                <w:bCs/>
                <w:color w:val="auto"/>
                <w:szCs w:val="21"/>
                <w:lang w:val="en-US" w:eastAsia="zh-CN"/>
              </w:rPr>
              <w:t>1</w:t>
            </w:r>
            <w:r>
              <w:rPr>
                <w:b/>
                <w:bCs/>
                <w:color w:val="auto"/>
                <w:szCs w:val="21"/>
              </w:rPr>
              <w:t>项目环境空气现状监测布点一览表</w:t>
            </w:r>
          </w:p>
          <w:tbl>
            <w:tblPr>
              <w:tblStyle w:val="21"/>
              <w:tblW w:w="841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0"/>
              <w:gridCol w:w="1080"/>
              <w:gridCol w:w="1270"/>
              <w:gridCol w:w="1310"/>
              <w:gridCol w:w="1265"/>
              <w:gridCol w:w="1180"/>
              <w:gridCol w:w="1268"/>
            </w:tblGrid>
            <w:tr w14:paraId="704DA1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1040" w:type="dxa"/>
                  <w:vAlign w:val="center"/>
                </w:tcPr>
                <w:p w14:paraId="1469BF5D">
                  <w:pPr>
                    <w:pStyle w:val="28"/>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监测点名称</w:t>
                  </w:r>
                </w:p>
              </w:tc>
              <w:tc>
                <w:tcPr>
                  <w:tcW w:w="2350" w:type="dxa"/>
                  <w:gridSpan w:val="2"/>
                  <w:vAlign w:val="center"/>
                </w:tcPr>
                <w:p w14:paraId="5B198651">
                  <w:pPr>
                    <w:spacing w:line="240" w:lineRule="auto"/>
                    <w:jc w:val="center"/>
                    <w:rPr>
                      <w:color w:val="auto"/>
                      <w:szCs w:val="21"/>
                    </w:rPr>
                  </w:pPr>
                  <w:r>
                    <w:rPr>
                      <w:color w:val="auto"/>
                      <w:szCs w:val="21"/>
                    </w:rPr>
                    <w:t>坐标/</w:t>
                  </w:r>
                  <w:r>
                    <w:rPr>
                      <w:color w:val="auto"/>
                    </w:rPr>
                    <w:t>°</w:t>
                  </w:r>
                </w:p>
              </w:tc>
              <w:tc>
                <w:tcPr>
                  <w:tcW w:w="1310" w:type="dxa"/>
                  <w:vAlign w:val="center"/>
                </w:tcPr>
                <w:p w14:paraId="7302402C">
                  <w:pPr>
                    <w:pStyle w:val="28"/>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监测因子</w:t>
                  </w:r>
                </w:p>
              </w:tc>
              <w:tc>
                <w:tcPr>
                  <w:tcW w:w="1265" w:type="dxa"/>
                  <w:vAlign w:val="center"/>
                </w:tcPr>
                <w:p w14:paraId="34D2F4E0">
                  <w:pPr>
                    <w:pStyle w:val="28"/>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监测时段</w:t>
                  </w:r>
                </w:p>
              </w:tc>
              <w:tc>
                <w:tcPr>
                  <w:tcW w:w="1180" w:type="dxa"/>
                  <w:vAlign w:val="center"/>
                </w:tcPr>
                <w:p w14:paraId="0AB37F75">
                  <w:pPr>
                    <w:pStyle w:val="28"/>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相对厂址方位</w:t>
                  </w:r>
                </w:p>
              </w:tc>
              <w:tc>
                <w:tcPr>
                  <w:tcW w:w="1268" w:type="dxa"/>
                  <w:vAlign w:val="center"/>
                </w:tcPr>
                <w:p w14:paraId="3F9312A0">
                  <w:pPr>
                    <w:pStyle w:val="28"/>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相对厂界距离（m）</w:t>
                  </w:r>
                </w:p>
              </w:tc>
            </w:tr>
            <w:tr w14:paraId="5CB6D4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040" w:type="dxa"/>
                  <w:vAlign w:val="center"/>
                </w:tcPr>
                <w:p w14:paraId="52B6B95E">
                  <w:pPr>
                    <w:autoSpaceDE w:val="0"/>
                    <w:autoSpaceDN w:val="0"/>
                    <w:adjustRightInd w:val="0"/>
                    <w:spacing w:line="240" w:lineRule="auto"/>
                    <w:jc w:val="center"/>
                    <w:rPr>
                      <w:color w:val="auto"/>
                      <w:szCs w:val="21"/>
                    </w:rPr>
                  </w:pPr>
                  <w:r>
                    <w:rPr>
                      <w:color w:val="auto"/>
                      <w:szCs w:val="21"/>
                    </w:rPr>
                    <w:t>厂址</w:t>
                  </w:r>
                  <w:r>
                    <w:rPr>
                      <w:rFonts w:hint="eastAsia"/>
                      <w:color w:val="auto"/>
                      <w:szCs w:val="21"/>
                    </w:rPr>
                    <w:t>下风向</w:t>
                  </w:r>
                </w:p>
              </w:tc>
              <w:tc>
                <w:tcPr>
                  <w:tcW w:w="1080" w:type="dxa"/>
                  <w:shd w:val="clear" w:color="auto" w:fill="auto"/>
                  <w:vAlign w:val="center"/>
                </w:tcPr>
                <w:p w14:paraId="181098B3">
                  <w:pPr>
                    <w:pStyle w:val="60"/>
                    <w:spacing w:line="300" w:lineRule="exact"/>
                    <w:rPr>
                      <w:rFonts w:ascii="宋体" w:hAnsi="宋体" w:eastAsia="宋体" w:cs="Times New Roman"/>
                      <w:b/>
                      <w:color w:val="auto"/>
                      <w:kern w:val="2"/>
                      <w:sz w:val="21"/>
                      <w:szCs w:val="21"/>
                      <w:highlight w:val="yellow"/>
                      <w:lang w:val="en-US" w:eastAsia="zh-CN" w:bidi="ar-SA"/>
                    </w:rPr>
                  </w:pPr>
                  <w:r>
                    <w:rPr>
                      <w:rFonts w:hint="default" w:ascii="Times New Roman" w:hAnsi="Times New Roman" w:eastAsiaTheme="minorEastAsia"/>
                      <w:b w:val="0"/>
                      <w:color w:val="auto"/>
                      <w:szCs w:val="21"/>
                      <w:lang w:val="en-US" w:eastAsia="zh-CN"/>
                    </w:rPr>
                    <w:t>131.07103</w:t>
                  </w:r>
                  <w:r>
                    <w:rPr>
                      <w:rFonts w:hint="eastAsia" w:ascii="Times New Roman" w:hAnsi="Times New Roman"/>
                      <w:b w:val="0"/>
                      <w:color w:val="auto"/>
                      <w:szCs w:val="21"/>
                      <w:lang w:val="en-US" w:eastAsia="zh-CN"/>
                    </w:rPr>
                    <w:t>4</w:t>
                  </w:r>
                </w:p>
              </w:tc>
              <w:tc>
                <w:tcPr>
                  <w:tcW w:w="1270" w:type="dxa"/>
                  <w:shd w:val="clear" w:color="auto" w:fill="auto"/>
                  <w:vAlign w:val="center"/>
                </w:tcPr>
                <w:p w14:paraId="441AD82B">
                  <w:pPr>
                    <w:autoSpaceDE w:val="0"/>
                    <w:autoSpaceDN w:val="0"/>
                    <w:adjustRightInd w:val="0"/>
                    <w:spacing w:line="240" w:lineRule="auto"/>
                    <w:jc w:val="center"/>
                    <w:rPr>
                      <w:rFonts w:ascii="Times New Roman" w:hAnsi="Times New Roman" w:eastAsia="宋体" w:cs="Times New Roman"/>
                      <w:color w:val="auto"/>
                      <w:kern w:val="2"/>
                      <w:sz w:val="21"/>
                      <w:szCs w:val="21"/>
                      <w:highlight w:val="yellow"/>
                      <w:lang w:val="en-US" w:eastAsia="zh-CN" w:bidi="ar-SA"/>
                    </w:rPr>
                  </w:pPr>
                  <w:r>
                    <w:rPr>
                      <w:rFonts w:hint="default" w:ascii="Times New Roman" w:hAnsi="Times New Roman" w:eastAsiaTheme="minorEastAsia"/>
                      <w:b w:val="0"/>
                      <w:color w:val="auto"/>
                      <w:szCs w:val="21"/>
                      <w:lang w:val="en-US" w:eastAsia="zh-CN"/>
                    </w:rPr>
                    <w:t>45.35608</w:t>
                  </w:r>
                  <w:r>
                    <w:rPr>
                      <w:rFonts w:hint="eastAsia" w:ascii="Times New Roman" w:hAnsi="Times New Roman"/>
                      <w:b w:val="0"/>
                      <w:color w:val="auto"/>
                      <w:szCs w:val="21"/>
                      <w:lang w:val="en-US" w:eastAsia="zh-CN"/>
                    </w:rPr>
                    <w:t>8</w:t>
                  </w:r>
                </w:p>
              </w:tc>
              <w:tc>
                <w:tcPr>
                  <w:tcW w:w="1310" w:type="dxa"/>
                  <w:vAlign w:val="center"/>
                </w:tcPr>
                <w:p w14:paraId="7C69C85A">
                  <w:pPr>
                    <w:pStyle w:val="28"/>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总悬浮颗粒物</w:t>
                  </w:r>
                </w:p>
              </w:tc>
              <w:tc>
                <w:tcPr>
                  <w:tcW w:w="1265" w:type="dxa"/>
                  <w:vAlign w:val="center"/>
                </w:tcPr>
                <w:p w14:paraId="4EEDF1B5">
                  <w:pPr>
                    <w:pStyle w:val="28"/>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rPr>
                    <w:t>202</w:t>
                  </w:r>
                  <w:r>
                    <w:rPr>
                      <w:rFonts w:hint="eastAsia" w:ascii="Times New Roman" w:hAnsi="Times New Roman" w:cs="Times New Roman"/>
                      <w:color w:val="auto"/>
                      <w:sz w:val="21"/>
                      <w:szCs w:val="21"/>
                      <w:lang w:val="en-US" w:eastAsia="zh-CN"/>
                    </w:rPr>
                    <w:t>5</w:t>
                  </w:r>
                  <w:r>
                    <w:rPr>
                      <w:rFonts w:hint="eastAsia" w:ascii="Times New Roman" w:hAnsi="Times New Roman" w:cs="Times New Roman"/>
                      <w:color w:val="auto"/>
                      <w:sz w:val="21"/>
                      <w:szCs w:val="21"/>
                    </w:rPr>
                    <w:t>.0</w:t>
                  </w:r>
                  <w:r>
                    <w:rPr>
                      <w:rFonts w:hint="eastAsia" w:ascii="Times New Roman" w:hAnsi="Times New Roman" w:cs="Times New Roman"/>
                      <w:color w:val="auto"/>
                      <w:sz w:val="21"/>
                      <w:szCs w:val="21"/>
                      <w:lang w:val="en-US" w:eastAsia="zh-CN"/>
                    </w:rPr>
                    <w:t>5</w:t>
                  </w:r>
                  <w:r>
                    <w:rPr>
                      <w:rFonts w:hint="eastAsia"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10</w:t>
                  </w:r>
                  <w:r>
                    <w:rPr>
                      <w:rFonts w:hint="eastAsia" w:ascii="Times New Roman" w:hAnsi="Times New Roman" w:cs="Times New Roman"/>
                      <w:color w:val="auto"/>
                      <w:sz w:val="21"/>
                      <w:szCs w:val="21"/>
                    </w:rPr>
                    <w:t>～202</w:t>
                  </w:r>
                  <w:r>
                    <w:rPr>
                      <w:rFonts w:hint="eastAsia" w:ascii="Times New Roman" w:hAnsi="Times New Roman" w:cs="Times New Roman"/>
                      <w:color w:val="auto"/>
                      <w:sz w:val="21"/>
                      <w:szCs w:val="21"/>
                      <w:lang w:val="en-US" w:eastAsia="zh-CN"/>
                    </w:rPr>
                    <w:t>5</w:t>
                  </w:r>
                  <w:r>
                    <w:rPr>
                      <w:rFonts w:hint="eastAsia" w:ascii="Times New Roman" w:hAnsi="Times New Roman" w:cs="Times New Roman"/>
                      <w:color w:val="auto"/>
                      <w:sz w:val="21"/>
                      <w:szCs w:val="21"/>
                    </w:rPr>
                    <w:t>.0</w:t>
                  </w:r>
                  <w:r>
                    <w:rPr>
                      <w:rFonts w:hint="eastAsia" w:ascii="Times New Roman" w:hAnsi="Times New Roman" w:cs="Times New Roman"/>
                      <w:color w:val="auto"/>
                      <w:sz w:val="21"/>
                      <w:szCs w:val="21"/>
                      <w:lang w:val="en-US" w:eastAsia="zh-CN"/>
                    </w:rPr>
                    <w:t>5</w:t>
                  </w:r>
                  <w:r>
                    <w:rPr>
                      <w:rFonts w:hint="eastAsia"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12</w:t>
                  </w:r>
                </w:p>
              </w:tc>
              <w:tc>
                <w:tcPr>
                  <w:tcW w:w="1180" w:type="dxa"/>
                  <w:vAlign w:val="center"/>
                </w:tcPr>
                <w:p w14:paraId="35E3057D">
                  <w:pPr>
                    <w:pStyle w:val="28"/>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E</w:t>
                  </w:r>
                </w:p>
              </w:tc>
              <w:tc>
                <w:tcPr>
                  <w:tcW w:w="1268" w:type="dxa"/>
                  <w:vAlign w:val="center"/>
                </w:tcPr>
                <w:p w14:paraId="5439E7D4">
                  <w:pPr>
                    <w:pStyle w:val="28"/>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68</w:t>
                  </w:r>
                </w:p>
              </w:tc>
            </w:tr>
          </w:tbl>
          <w:p w14:paraId="090DF497">
            <w:pPr>
              <w:jc w:val="center"/>
              <w:rPr>
                <w:color w:val="auto"/>
              </w:rPr>
            </w:pPr>
          </w:p>
          <w:p w14:paraId="2B6BC5B7">
            <w:pPr>
              <w:jc w:val="center"/>
              <w:rPr>
                <w:color w:val="auto"/>
                <w:sz w:val="24"/>
                <w:highlight w:val="yellow"/>
              </w:rPr>
            </w:pPr>
            <w:r>
              <w:rPr>
                <w:color w:val="auto"/>
                <w:sz w:val="21"/>
              </w:rPr>
              <mc:AlternateContent>
                <mc:Choice Requires="wps">
                  <w:drawing>
                    <wp:anchor distT="0" distB="0" distL="114300" distR="114300" simplePos="0" relativeHeight="251722752" behindDoc="0" locked="0" layoutInCell="1" allowOverlap="1">
                      <wp:simplePos x="0" y="0"/>
                      <wp:positionH relativeFrom="column">
                        <wp:posOffset>4180205</wp:posOffset>
                      </wp:positionH>
                      <wp:positionV relativeFrom="paragraph">
                        <wp:posOffset>3121660</wp:posOffset>
                      </wp:positionV>
                      <wp:extent cx="180975" cy="161925"/>
                      <wp:effectExtent l="6350" t="6350" r="22225" b="22225"/>
                      <wp:wrapNone/>
                      <wp:docPr id="101" name="同心圆 101"/>
                      <wp:cNvGraphicFramePr/>
                      <a:graphic xmlns:a="http://schemas.openxmlformats.org/drawingml/2006/main">
                        <a:graphicData uri="http://schemas.microsoft.com/office/word/2010/wordprocessingShape">
                          <wps:wsp>
                            <wps:cNvSpPr/>
                            <wps:spPr>
                              <a:xfrm>
                                <a:off x="0" y="0"/>
                                <a:ext cx="180975" cy="161925"/>
                              </a:xfrm>
                              <a:prstGeom prst="donu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29.15pt;margin-top:245.8pt;height:12.75pt;width:14.25pt;z-index:251722752;v-text-anchor:middle;mso-width-relative:page;mso-height-relative:page;" fillcolor="#FF0000" filled="t" stroked="t" coordsize="21600,21600" o:gfxdata="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rpTvnbAAAACwEAAA8AAAAAAAAAAQAgAAAAIgAAAGRycy9k&#10;b3ducmV2LnhtbFBLAQIUABQAAAAIAIdO4kDul5pYcQIAAPsEAAAOAAAAAAAAAAEAIAAAACoBAABk&#10;cnMvZTJvRG9jLnhtbFBLBQYAAAAABgAGAFkBAAANBgAAAAA=&#10;" adj="4831">
                      <v:fill on="t" focussize="0,0"/>
                      <v:stroke weight="1pt" color="#FF0000 [24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21728" behindDoc="0" locked="0" layoutInCell="1" allowOverlap="1">
                      <wp:simplePos x="0" y="0"/>
                      <wp:positionH relativeFrom="column">
                        <wp:posOffset>4094480</wp:posOffset>
                      </wp:positionH>
                      <wp:positionV relativeFrom="paragraph">
                        <wp:posOffset>2755900</wp:posOffset>
                      </wp:positionV>
                      <wp:extent cx="1476375" cy="686435"/>
                      <wp:effectExtent l="4445" t="4445" r="5080" b="13970"/>
                      <wp:wrapNone/>
                      <wp:docPr id="97" name="文本框 97"/>
                      <wp:cNvGraphicFramePr/>
                      <a:graphic xmlns:a="http://schemas.openxmlformats.org/drawingml/2006/main">
                        <a:graphicData uri="http://schemas.microsoft.com/office/word/2010/wordprocessingShape">
                          <wps:wsp>
                            <wps:cNvSpPr txBox="1"/>
                            <wps:spPr>
                              <a:xfrm>
                                <a:off x="5523230" y="7207250"/>
                                <a:ext cx="1476375" cy="686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A8A5F0A">
                                  <w:pPr>
                                    <w:jc w:val="center"/>
                                    <w:rPr>
                                      <w:rFonts w:hint="eastAsia"/>
                                      <w:lang w:val="en-US" w:eastAsia="zh-CN"/>
                                    </w:rPr>
                                  </w:pPr>
                                  <w:r>
                                    <w:rPr>
                                      <w:rFonts w:hint="eastAsia"/>
                                      <w:lang w:val="en-US" w:eastAsia="zh-CN"/>
                                    </w:rPr>
                                    <w:t>图例</w:t>
                                  </w:r>
                                </w:p>
                                <w:p w14:paraId="4EFDBCD6">
                                  <w:pPr>
                                    <w:jc w:val="center"/>
                                    <w:rPr>
                                      <w:rFonts w:hint="eastAsia"/>
                                      <w:lang w:val="en-US" w:eastAsia="zh-CN"/>
                                    </w:rPr>
                                  </w:pPr>
                                </w:p>
                                <w:p w14:paraId="5CA25E2A">
                                  <w:pPr>
                                    <w:jc w:val="right"/>
                                    <w:rPr>
                                      <w:rFonts w:hint="default"/>
                                      <w:lang w:val="en-US" w:eastAsia="zh-CN"/>
                                    </w:rPr>
                                  </w:pPr>
                                  <w:r>
                                    <w:rPr>
                                      <w:rFonts w:hint="eastAsia"/>
                                      <w:lang w:val="en-US" w:eastAsia="zh-CN"/>
                                    </w:rPr>
                                    <w:t>环境空气监测点位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2.4pt;margin-top:217pt;height:54.05pt;width:116.25pt;z-index:251721728;mso-width-relative:page;mso-height-relative:page;" fillcolor="#FFFFFF [3201]" filled="t" stroked="t" coordsize="21600,21600" o:gfxdata="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OV+UL2AAAAAsBAAAPAAAAAAAAAAEAIAAAACIAAABkcnMvZG93bnJldi54bWxQSwECFAAU&#10;AAAACACHTuJAeSLyVGMCAADFBAAADgAAAAAAAAABACAAAAAnAQAAZHJzL2Uyb0RvYy54bWxQSwUG&#10;AAAAAAYABgBZAQAA/AUAAAAA&#10;">
                      <v:fill on="t" focussize="0,0"/>
                      <v:stroke weight="0.5pt" color="#000000 [3204]" joinstyle="round"/>
                      <v:imagedata o:title=""/>
                      <o:lock v:ext="edit" aspectratio="f"/>
                      <v:textbox>
                        <w:txbxContent>
                          <w:p w14:paraId="1A8A5F0A">
                            <w:pPr>
                              <w:jc w:val="center"/>
                              <w:rPr>
                                <w:rFonts w:hint="eastAsia"/>
                                <w:lang w:val="en-US" w:eastAsia="zh-CN"/>
                              </w:rPr>
                            </w:pPr>
                            <w:r>
                              <w:rPr>
                                <w:rFonts w:hint="eastAsia"/>
                                <w:lang w:val="en-US" w:eastAsia="zh-CN"/>
                              </w:rPr>
                              <w:t>图例</w:t>
                            </w:r>
                          </w:p>
                          <w:p w14:paraId="4EFDBCD6">
                            <w:pPr>
                              <w:jc w:val="center"/>
                              <w:rPr>
                                <w:rFonts w:hint="eastAsia"/>
                                <w:lang w:val="en-US" w:eastAsia="zh-CN"/>
                              </w:rPr>
                            </w:pPr>
                          </w:p>
                          <w:p w14:paraId="5CA25E2A">
                            <w:pPr>
                              <w:jc w:val="right"/>
                              <w:rPr>
                                <w:rFonts w:hint="default"/>
                                <w:lang w:val="en-US" w:eastAsia="zh-CN"/>
                              </w:rPr>
                            </w:pPr>
                            <w:r>
                              <w:rPr>
                                <w:rFonts w:hint="eastAsia"/>
                                <w:lang w:val="en-US" w:eastAsia="zh-CN"/>
                              </w:rPr>
                              <w:t>环境空气监测点位</w:t>
                            </w:r>
                          </w:p>
                        </w:txbxContent>
                      </v:textbox>
                    </v:shape>
                  </w:pict>
                </mc:Fallback>
              </mc:AlternateContent>
            </w:r>
            <w:r>
              <w:rPr>
                <w:color w:val="auto"/>
              </w:rPr>
              <w:drawing>
                <wp:anchor distT="0" distB="0" distL="114300" distR="114300" simplePos="0" relativeHeight="251720704" behindDoc="0" locked="0" layoutInCell="1" allowOverlap="1">
                  <wp:simplePos x="0" y="0"/>
                  <wp:positionH relativeFrom="column">
                    <wp:posOffset>28575</wp:posOffset>
                  </wp:positionH>
                  <wp:positionV relativeFrom="paragraph">
                    <wp:posOffset>47625</wp:posOffset>
                  </wp:positionV>
                  <wp:extent cx="904875" cy="828675"/>
                  <wp:effectExtent l="0" t="0" r="9525" b="9525"/>
                  <wp:wrapNone/>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20"/>
                          <a:stretch>
                            <a:fillRect/>
                          </a:stretch>
                        </pic:blipFill>
                        <pic:spPr>
                          <a:xfrm>
                            <a:off x="0" y="0"/>
                            <a:ext cx="904875" cy="82867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719680" behindDoc="0" locked="0" layoutInCell="1" allowOverlap="1">
                      <wp:simplePos x="0" y="0"/>
                      <wp:positionH relativeFrom="column">
                        <wp:posOffset>4675505</wp:posOffset>
                      </wp:positionH>
                      <wp:positionV relativeFrom="paragraph">
                        <wp:posOffset>568960</wp:posOffset>
                      </wp:positionV>
                      <wp:extent cx="180975" cy="161925"/>
                      <wp:effectExtent l="6350" t="6350" r="22225" b="22225"/>
                      <wp:wrapNone/>
                      <wp:docPr id="34" name="同心圆 34"/>
                      <wp:cNvGraphicFramePr/>
                      <a:graphic xmlns:a="http://schemas.openxmlformats.org/drawingml/2006/main">
                        <a:graphicData uri="http://schemas.microsoft.com/office/word/2010/wordprocessingShape">
                          <wps:wsp>
                            <wps:cNvSpPr/>
                            <wps:spPr>
                              <a:xfrm>
                                <a:off x="5970905" y="5220335"/>
                                <a:ext cx="180975" cy="161925"/>
                              </a:xfrm>
                              <a:prstGeom prst="donu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68.15pt;margin-top:44.8pt;height:12.75pt;width:14.25pt;z-index:251719680;v-text-anchor:middle;mso-width-relative:page;mso-height-relative:page;" fillcolor="#FF0000" filled="t" stroked="t" coordsize="21600,21600" o:gfxdata="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GFjFuvZAAAACgEAAA8AAAAAAAAAAQAg&#10;AAAAIgAAAGRycy9kb3ducmV2LnhtbFBLAQIUABQAAAAIAIdO4kBN4xuVfwIAAAUFAAAOAAAAAAAA&#10;AAEAIAAAACgBAABkcnMvZTJvRG9jLnhtbFBLBQYAAAAABgAGAFkBAAAZBgAAAAA=&#10;" adj="4831">
                      <v:fill on="t" focussize="0,0"/>
                      <v:stroke weight="1pt" color="#FF0000 [2404]" miterlimit="8" joinstyle="miter"/>
                      <v:imagedata o:title=""/>
                      <o:lock v:ext="edit" aspectratio="f"/>
                    </v:shape>
                  </w:pict>
                </mc:Fallback>
              </mc:AlternateContent>
            </w:r>
            <w:r>
              <w:rPr>
                <w:color w:val="auto"/>
              </w:rPr>
              <w:drawing>
                <wp:inline distT="0" distB="0" distL="114300" distR="114300">
                  <wp:extent cx="5619115" cy="3495040"/>
                  <wp:effectExtent l="0" t="0" r="635" b="10160"/>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21"/>
                          <a:stretch>
                            <a:fillRect/>
                          </a:stretch>
                        </pic:blipFill>
                        <pic:spPr>
                          <a:xfrm>
                            <a:off x="0" y="0"/>
                            <a:ext cx="5619115" cy="3495040"/>
                          </a:xfrm>
                          <a:prstGeom prst="rect">
                            <a:avLst/>
                          </a:prstGeom>
                          <a:noFill/>
                          <a:ln>
                            <a:noFill/>
                          </a:ln>
                        </pic:spPr>
                      </pic:pic>
                    </a:graphicData>
                  </a:graphic>
                </wp:inline>
              </w:drawing>
            </w:r>
          </w:p>
          <w:p w14:paraId="1D80CA40">
            <w:pPr>
              <w:spacing w:line="360" w:lineRule="auto"/>
              <w:jc w:val="center"/>
              <w:rPr>
                <w:b/>
                <w:bCs/>
                <w:color w:val="auto"/>
                <w:szCs w:val="21"/>
                <w:lang w:val="zh-CN"/>
              </w:rPr>
            </w:pPr>
            <w:r>
              <w:rPr>
                <w:b/>
                <w:bCs/>
                <w:color w:val="auto"/>
                <w:szCs w:val="21"/>
              </w:rPr>
              <w:t>图3-</w:t>
            </w:r>
            <w:r>
              <w:rPr>
                <w:rFonts w:hint="eastAsia"/>
                <w:b/>
                <w:bCs/>
                <w:color w:val="auto"/>
                <w:szCs w:val="21"/>
                <w:lang w:val="en-US" w:eastAsia="zh-CN"/>
              </w:rPr>
              <w:t>2</w:t>
            </w:r>
            <w:r>
              <w:rPr>
                <w:b/>
                <w:bCs/>
                <w:color w:val="auto"/>
                <w:szCs w:val="21"/>
              </w:rPr>
              <w:t>环境质量现状监测布点图</w:t>
            </w:r>
          </w:p>
          <w:p w14:paraId="5663FF59">
            <w:pPr>
              <w:spacing w:line="360" w:lineRule="auto"/>
              <w:ind w:firstLine="480" w:firstLineChars="200"/>
              <w:rPr>
                <w:color w:val="auto"/>
                <w:sz w:val="24"/>
              </w:rPr>
            </w:pPr>
            <w:r>
              <w:rPr>
                <w:color w:val="auto"/>
                <w:sz w:val="24"/>
              </w:rPr>
              <w:t>⑤监测结果</w:t>
            </w:r>
          </w:p>
          <w:p w14:paraId="072191E9">
            <w:pPr>
              <w:spacing w:line="360" w:lineRule="auto"/>
              <w:ind w:firstLine="480" w:firstLineChars="200"/>
              <w:rPr>
                <w:color w:val="auto"/>
                <w:sz w:val="24"/>
              </w:rPr>
            </w:pPr>
            <w:r>
              <w:rPr>
                <w:color w:val="auto"/>
                <w:sz w:val="24"/>
              </w:rPr>
              <w:t>本次环境空气质量现状监测结果见表3-</w:t>
            </w:r>
            <w:r>
              <w:rPr>
                <w:rFonts w:hint="eastAsia"/>
                <w:color w:val="auto"/>
                <w:sz w:val="24"/>
                <w:lang w:val="en-US" w:eastAsia="zh-CN"/>
              </w:rPr>
              <w:t>2</w:t>
            </w:r>
            <w:r>
              <w:rPr>
                <w:color w:val="auto"/>
                <w:sz w:val="24"/>
              </w:rPr>
              <w:t>。</w:t>
            </w:r>
          </w:p>
          <w:p w14:paraId="31F860E4">
            <w:pPr>
              <w:spacing w:line="360" w:lineRule="auto"/>
              <w:jc w:val="center"/>
              <w:rPr>
                <w:b/>
                <w:bCs/>
                <w:color w:val="auto"/>
                <w:szCs w:val="21"/>
              </w:rPr>
            </w:pPr>
          </w:p>
          <w:p w14:paraId="600AAAA8">
            <w:pPr>
              <w:spacing w:line="360" w:lineRule="auto"/>
              <w:jc w:val="center"/>
              <w:rPr>
                <w:b/>
                <w:bCs/>
                <w:color w:val="auto"/>
                <w:szCs w:val="21"/>
              </w:rPr>
            </w:pPr>
            <w:r>
              <w:rPr>
                <w:b/>
                <w:bCs/>
                <w:color w:val="auto"/>
                <w:szCs w:val="21"/>
              </w:rPr>
              <w:t>表3-</w:t>
            </w:r>
            <w:r>
              <w:rPr>
                <w:rFonts w:hint="eastAsia"/>
                <w:b/>
                <w:bCs/>
                <w:color w:val="auto"/>
                <w:szCs w:val="21"/>
                <w:lang w:val="en-US" w:eastAsia="zh-CN"/>
              </w:rPr>
              <w:t>2</w:t>
            </w:r>
            <w:r>
              <w:rPr>
                <w:b/>
                <w:bCs/>
                <w:color w:val="auto"/>
                <w:szCs w:val="21"/>
              </w:rPr>
              <w:t>其他污染物环境质量现状监测结果表</w:t>
            </w:r>
          </w:p>
          <w:tbl>
            <w:tblPr>
              <w:tblStyle w:val="20"/>
              <w:tblW w:w="884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834"/>
              <w:gridCol w:w="825"/>
              <w:gridCol w:w="742"/>
              <w:gridCol w:w="725"/>
              <w:gridCol w:w="991"/>
              <w:gridCol w:w="1034"/>
              <w:gridCol w:w="1100"/>
              <w:gridCol w:w="800"/>
              <w:gridCol w:w="891"/>
            </w:tblGrid>
            <w:tr w14:paraId="481835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8" w:hRule="atLeast"/>
              </w:trPr>
              <w:tc>
                <w:tcPr>
                  <w:tcW w:w="900" w:type="dxa"/>
                  <w:vAlign w:val="center"/>
                </w:tcPr>
                <w:p w14:paraId="02C3409A">
                  <w:pPr>
                    <w:autoSpaceDE w:val="0"/>
                    <w:autoSpaceDN w:val="0"/>
                    <w:adjustRightInd w:val="0"/>
                    <w:spacing w:line="240" w:lineRule="auto"/>
                    <w:jc w:val="center"/>
                    <w:rPr>
                      <w:color w:val="auto"/>
                      <w:szCs w:val="21"/>
                    </w:rPr>
                  </w:pPr>
                  <w:r>
                    <w:rPr>
                      <w:color w:val="auto"/>
                      <w:szCs w:val="21"/>
                    </w:rPr>
                    <w:t>监测</w:t>
                  </w:r>
                </w:p>
                <w:p w14:paraId="086459B5">
                  <w:pPr>
                    <w:autoSpaceDE w:val="0"/>
                    <w:autoSpaceDN w:val="0"/>
                    <w:adjustRightInd w:val="0"/>
                    <w:spacing w:line="240" w:lineRule="auto"/>
                    <w:jc w:val="center"/>
                    <w:rPr>
                      <w:color w:val="auto"/>
                      <w:szCs w:val="21"/>
                    </w:rPr>
                  </w:pPr>
                  <w:r>
                    <w:rPr>
                      <w:color w:val="auto"/>
                      <w:szCs w:val="21"/>
                    </w:rPr>
                    <w:t>点位</w:t>
                  </w:r>
                </w:p>
              </w:tc>
              <w:tc>
                <w:tcPr>
                  <w:tcW w:w="1659" w:type="dxa"/>
                  <w:gridSpan w:val="2"/>
                  <w:vAlign w:val="center"/>
                </w:tcPr>
                <w:p w14:paraId="53834141">
                  <w:pPr>
                    <w:spacing w:line="240" w:lineRule="auto"/>
                    <w:jc w:val="center"/>
                    <w:rPr>
                      <w:color w:val="auto"/>
                      <w:szCs w:val="21"/>
                    </w:rPr>
                  </w:pPr>
                  <w:r>
                    <w:rPr>
                      <w:color w:val="auto"/>
                      <w:szCs w:val="21"/>
                    </w:rPr>
                    <w:t>坐标/</w:t>
                  </w:r>
                  <w:r>
                    <w:rPr>
                      <w:color w:val="auto"/>
                    </w:rPr>
                    <w:t>°</w:t>
                  </w:r>
                </w:p>
              </w:tc>
              <w:tc>
                <w:tcPr>
                  <w:tcW w:w="742" w:type="dxa"/>
                  <w:vAlign w:val="center"/>
                </w:tcPr>
                <w:p w14:paraId="3A674F0F">
                  <w:pPr>
                    <w:autoSpaceDE w:val="0"/>
                    <w:autoSpaceDN w:val="0"/>
                    <w:adjustRightInd w:val="0"/>
                    <w:spacing w:line="240" w:lineRule="auto"/>
                    <w:jc w:val="center"/>
                    <w:rPr>
                      <w:color w:val="auto"/>
                      <w:szCs w:val="21"/>
                    </w:rPr>
                  </w:pPr>
                  <w:r>
                    <w:rPr>
                      <w:color w:val="auto"/>
                      <w:szCs w:val="21"/>
                    </w:rPr>
                    <w:t>污染物</w:t>
                  </w:r>
                </w:p>
              </w:tc>
              <w:tc>
                <w:tcPr>
                  <w:tcW w:w="725" w:type="dxa"/>
                  <w:vAlign w:val="center"/>
                </w:tcPr>
                <w:p w14:paraId="39E5308F">
                  <w:pPr>
                    <w:autoSpaceDE w:val="0"/>
                    <w:autoSpaceDN w:val="0"/>
                    <w:adjustRightInd w:val="0"/>
                    <w:spacing w:line="240" w:lineRule="auto"/>
                    <w:jc w:val="center"/>
                    <w:rPr>
                      <w:color w:val="auto"/>
                      <w:szCs w:val="21"/>
                    </w:rPr>
                  </w:pPr>
                  <w:r>
                    <w:rPr>
                      <w:color w:val="auto"/>
                      <w:szCs w:val="21"/>
                    </w:rPr>
                    <w:t>评价时间</w:t>
                  </w:r>
                </w:p>
              </w:tc>
              <w:tc>
                <w:tcPr>
                  <w:tcW w:w="991" w:type="dxa"/>
                  <w:vAlign w:val="center"/>
                </w:tcPr>
                <w:p w14:paraId="6652D12B">
                  <w:pPr>
                    <w:autoSpaceDE w:val="0"/>
                    <w:autoSpaceDN w:val="0"/>
                    <w:adjustRightInd w:val="0"/>
                    <w:spacing w:line="240" w:lineRule="auto"/>
                    <w:jc w:val="center"/>
                    <w:rPr>
                      <w:color w:val="auto"/>
                      <w:szCs w:val="21"/>
                    </w:rPr>
                  </w:pPr>
                  <w:r>
                    <w:rPr>
                      <w:color w:val="auto"/>
                      <w:szCs w:val="21"/>
                    </w:rPr>
                    <w:t>评价标准/(mg/m</w:t>
                  </w:r>
                  <w:r>
                    <w:rPr>
                      <w:color w:val="auto"/>
                      <w:szCs w:val="21"/>
                      <w:vertAlign w:val="superscript"/>
                    </w:rPr>
                    <w:t>3</w:t>
                  </w:r>
                  <w:r>
                    <w:rPr>
                      <w:color w:val="auto"/>
                      <w:szCs w:val="21"/>
                    </w:rPr>
                    <w:t>)</w:t>
                  </w:r>
                </w:p>
              </w:tc>
              <w:tc>
                <w:tcPr>
                  <w:tcW w:w="1034" w:type="dxa"/>
                  <w:vAlign w:val="center"/>
                </w:tcPr>
                <w:p w14:paraId="26EE45BA">
                  <w:pPr>
                    <w:autoSpaceDE w:val="0"/>
                    <w:autoSpaceDN w:val="0"/>
                    <w:adjustRightInd w:val="0"/>
                    <w:spacing w:line="240" w:lineRule="auto"/>
                    <w:jc w:val="center"/>
                    <w:rPr>
                      <w:color w:val="auto"/>
                      <w:szCs w:val="21"/>
                    </w:rPr>
                  </w:pPr>
                  <w:r>
                    <w:rPr>
                      <w:color w:val="auto"/>
                      <w:szCs w:val="21"/>
                    </w:rPr>
                    <w:t>监测浓度范围</w:t>
                  </w:r>
                </w:p>
                <w:p w14:paraId="6AD58147">
                  <w:pPr>
                    <w:autoSpaceDE w:val="0"/>
                    <w:autoSpaceDN w:val="0"/>
                    <w:adjustRightInd w:val="0"/>
                    <w:spacing w:line="240" w:lineRule="auto"/>
                    <w:jc w:val="center"/>
                    <w:rPr>
                      <w:color w:val="auto"/>
                      <w:szCs w:val="21"/>
                    </w:rPr>
                  </w:pPr>
                  <w:r>
                    <w:rPr>
                      <w:color w:val="auto"/>
                      <w:szCs w:val="21"/>
                    </w:rPr>
                    <w:t>/(</w:t>
                  </w:r>
                  <w:r>
                    <w:rPr>
                      <w:color w:val="auto"/>
                    </w:rPr>
                    <w:t>μg/m</w:t>
                  </w:r>
                  <w:r>
                    <w:rPr>
                      <w:color w:val="auto"/>
                      <w:szCs w:val="21"/>
                      <w:vertAlign w:val="superscript"/>
                    </w:rPr>
                    <w:t>3</w:t>
                  </w:r>
                  <w:r>
                    <w:rPr>
                      <w:color w:val="auto"/>
                      <w:szCs w:val="21"/>
                    </w:rPr>
                    <w:t>)</w:t>
                  </w:r>
                </w:p>
              </w:tc>
              <w:tc>
                <w:tcPr>
                  <w:tcW w:w="1100" w:type="dxa"/>
                  <w:vAlign w:val="center"/>
                </w:tcPr>
                <w:p w14:paraId="574EA267">
                  <w:pPr>
                    <w:autoSpaceDE w:val="0"/>
                    <w:autoSpaceDN w:val="0"/>
                    <w:adjustRightInd w:val="0"/>
                    <w:spacing w:line="240" w:lineRule="auto"/>
                    <w:jc w:val="center"/>
                    <w:rPr>
                      <w:color w:val="auto"/>
                      <w:szCs w:val="21"/>
                    </w:rPr>
                  </w:pPr>
                  <w:r>
                    <w:rPr>
                      <w:color w:val="auto"/>
                      <w:szCs w:val="21"/>
                    </w:rPr>
                    <w:t>最大浓度占标率/%</w:t>
                  </w:r>
                </w:p>
              </w:tc>
              <w:tc>
                <w:tcPr>
                  <w:tcW w:w="800" w:type="dxa"/>
                  <w:vAlign w:val="center"/>
                </w:tcPr>
                <w:p w14:paraId="2706E4BD">
                  <w:pPr>
                    <w:autoSpaceDE w:val="0"/>
                    <w:autoSpaceDN w:val="0"/>
                    <w:adjustRightInd w:val="0"/>
                    <w:spacing w:line="240" w:lineRule="auto"/>
                    <w:jc w:val="center"/>
                    <w:rPr>
                      <w:color w:val="auto"/>
                      <w:szCs w:val="21"/>
                    </w:rPr>
                  </w:pPr>
                  <w:r>
                    <w:rPr>
                      <w:color w:val="auto"/>
                      <w:szCs w:val="21"/>
                    </w:rPr>
                    <w:t>超标率/%</w:t>
                  </w:r>
                </w:p>
              </w:tc>
              <w:tc>
                <w:tcPr>
                  <w:tcW w:w="891" w:type="dxa"/>
                  <w:vAlign w:val="center"/>
                </w:tcPr>
                <w:p w14:paraId="3835EE71">
                  <w:pPr>
                    <w:autoSpaceDE w:val="0"/>
                    <w:autoSpaceDN w:val="0"/>
                    <w:adjustRightInd w:val="0"/>
                    <w:spacing w:line="240" w:lineRule="auto"/>
                    <w:jc w:val="center"/>
                    <w:rPr>
                      <w:color w:val="auto"/>
                      <w:szCs w:val="21"/>
                    </w:rPr>
                  </w:pPr>
                  <w:r>
                    <w:rPr>
                      <w:color w:val="auto"/>
                      <w:szCs w:val="21"/>
                    </w:rPr>
                    <w:t>达标情况</w:t>
                  </w:r>
                </w:p>
              </w:tc>
            </w:tr>
            <w:tr w14:paraId="3D6EAD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trPr>
              <w:tc>
                <w:tcPr>
                  <w:tcW w:w="900" w:type="dxa"/>
                  <w:vAlign w:val="center"/>
                </w:tcPr>
                <w:p w14:paraId="61A24394">
                  <w:pPr>
                    <w:autoSpaceDE w:val="0"/>
                    <w:autoSpaceDN w:val="0"/>
                    <w:adjustRightInd w:val="0"/>
                    <w:spacing w:line="240" w:lineRule="auto"/>
                    <w:jc w:val="center"/>
                    <w:rPr>
                      <w:color w:val="auto"/>
                      <w:szCs w:val="21"/>
                    </w:rPr>
                  </w:pPr>
                  <w:r>
                    <w:rPr>
                      <w:color w:val="auto"/>
                      <w:szCs w:val="21"/>
                    </w:rPr>
                    <w:t>厂址</w:t>
                  </w:r>
                  <w:r>
                    <w:rPr>
                      <w:rFonts w:hint="eastAsia"/>
                      <w:color w:val="auto"/>
                      <w:szCs w:val="21"/>
                    </w:rPr>
                    <w:t>下风向</w:t>
                  </w:r>
                </w:p>
              </w:tc>
              <w:tc>
                <w:tcPr>
                  <w:tcW w:w="834" w:type="dxa"/>
                  <w:vAlign w:val="center"/>
                </w:tcPr>
                <w:p w14:paraId="077B8604">
                  <w:pPr>
                    <w:pStyle w:val="60"/>
                    <w:spacing w:line="300" w:lineRule="exact"/>
                    <w:rPr>
                      <w:color w:val="auto"/>
                      <w:szCs w:val="21"/>
                      <w:highlight w:val="yellow"/>
                    </w:rPr>
                  </w:pPr>
                  <w:r>
                    <w:rPr>
                      <w:rFonts w:hint="default" w:ascii="Times New Roman" w:hAnsi="Times New Roman" w:eastAsiaTheme="minorEastAsia"/>
                      <w:b w:val="0"/>
                      <w:color w:val="auto"/>
                      <w:szCs w:val="21"/>
                      <w:lang w:val="en-US" w:eastAsia="zh-CN"/>
                    </w:rPr>
                    <w:t>131.07103</w:t>
                  </w:r>
                  <w:r>
                    <w:rPr>
                      <w:rFonts w:hint="eastAsia" w:ascii="Times New Roman" w:hAnsi="Times New Roman"/>
                      <w:b w:val="0"/>
                      <w:color w:val="auto"/>
                      <w:szCs w:val="21"/>
                      <w:lang w:val="en-US" w:eastAsia="zh-CN"/>
                    </w:rPr>
                    <w:t>4</w:t>
                  </w:r>
                </w:p>
              </w:tc>
              <w:tc>
                <w:tcPr>
                  <w:tcW w:w="825" w:type="dxa"/>
                  <w:vAlign w:val="center"/>
                </w:tcPr>
                <w:p w14:paraId="772152AF">
                  <w:pPr>
                    <w:autoSpaceDE w:val="0"/>
                    <w:autoSpaceDN w:val="0"/>
                    <w:adjustRightInd w:val="0"/>
                    <w:spacing w:line="240" w:lineRule="auto"/>
                    <w:jc w:val="center"/>
                    <w:rPr>
                      <w:color w:val="auto"/>
                      <w:szCs w:val="21"/>
                      <w:highlight w:val="yellow"/>
                    </w:rPr>
                  </w:pPr>
                  <w:r>
                    <w:rPr>
                      <w:rFonts w:hint="default" w:ascii="Times New Roman" w:hAnsi="Times New Roman" w:eastAsiaTheme="minorEastAsia"/>
                      <w:b w:val="0"/>
                      <w:color w:val="auto"/>
                      <w:szCs w:val="21"/>
                      <w:lang w:val="en-US" w:eastAsia="zh-CN"/>
                    </w:rPr>
                    <w:t>45.35608</w:t>
                  </w:r>
                  <w:r>
                    <w:rPr>
                      <w:rFonts w:hint="eastAsia" w:ascii="Times New Roman" w:hAnsi="Times New Roman"/>
                      <w:b w:val="0"/>
                      <w:color w:val="auto"/>
                      <w:szCs w:val="21"/>
                      <w:lang w:val="en-US" w:eastAsia="zh-CN"/>
                    </w:rPr>
                    <w:t>8</w:t>
                  </w:r>
                </w:p>
              </w:tc>
              <w:tc>
                <w:tcPr>
                  <w:tcW w:w="742" w:type="dxa"/>
                  <w:vAlign w:val="center"/>
                </w:tcPr>
                <w:p w14:paraId="4A3429C4">
                  <w:pPr>
                    <w:spacing w:line="240" w:lineRule="auto"/>
                    <w:jc w:val="center"/>
                    <w:rPr>
                      <w:color w:val="auto"/>
                      <w:szCs w:val="21"/>
                    </w:rPr>
                  </w:pPr>
                  <w:r>
                    <w:rPr>
                      <w:color w:val="auto"/>
                      <w:szCs w:val="21"/>
                    </w:rPr>
                    <w:t>总悬浮颗粒物</w:t>
                  </w:r>
                </w:p>
              </w:tc>
              <w:tc>
                <w:tcPr>
                  <w:tcW w:w="725" w:type="dxa"/>
                  <w:vAlign w:val="center"/>
                </w:tcPr>
                <w:p w14:paraId="14281FF2">
                  <w:pPr>
                    <w:autoSpaceDE w:val="0"/>
                    <w:autoSpaceDN w:val="0"/>
                    <w:adjustRightInd w:val="0"/>
                    <w:spacing w:line="240" w:lineRule="auto"/>
                    <w:jc w:val="center"/>
                    <w:rPr>
                      <w:color w:val="auto"/>
                      <w:szCs w:val="21"/>
                    </w:rPr>
                  </w:pPr>
                  <w:r>
                    <w:rPr>
                      <w:color w:val="auto"/>
                      <w:kern w:val="0"/>
                      <w:szCs w:val="21"/>
                    </w:rPr>
                    <w:t>24小时平均值</w:t>
                  </w:r>
                </w:p>
              </w:tc>
              <w:tc>
                <w:tcPr>
                  <w:tcW w:w="991" w:type="dxa"/>
                  <w:vAlign w:val="center"/>
                </w:tcPr>
                <w:p w14:paraId="377D467D">
                  <w:pPr>
                    <w:autoSpaceDE w:val="0"/>
                    <w:autoSpaceDN w:val="0"/>
                    <w:adjustRightInd w:val="0"/>
                    <w:spacing w:line="240" w:lineRule="auto"/>
                    <w:jc w:val="center"/>
                    <w:rPr>
                      <w:color w:val="auto"/>
                      <w:szCs w:val="21"/>
                    </w:rPr>
                  </w:pPr>
                  <w:r>
                    <w:rPr>
                      <w:color w:val="auto"/>
                      <w:szCs w:val="21"/>
                    </w:rPr>
                    <w:t>3.0</w:t>
                  </w:r>
                </w:p>
              </w:tc>
              <w:tc>
                <w:tcPr>
                  <w:tcW w:w="1034" w:type="dxa"/>
                  <w:vAlign w:val="center"/>
                </w:tcPr>
                <w:p w14:paraId="0B4BB7FF">
                  <w:pPr>
                    <w:autoSpaceDE w:val="0"/>
                    <w:autoSpaceDN w:val="0"/>
                    <w:adjustRightInd w:val="0"/>
                    <w:spacing w:line="240" w:lineRule="auto"/>
                    <w:jc w:val="center"/>
                    <w:rPr>
                      <w:rFonts w:hint="default" w:eastAsia="宋体"/>
                      <w:color w:val="auto"/>
                      <w:szCs w:val="21"/>
                      <w:lang w:val="en-US" w:eastAsia="zh-CN"/>
                    </w:rPr>
                  </w:pPr>
                  <w:r>
                    <w:rPr>
                      <w:rFonts w:hint="eastAsia"/>
                      <w:color w:val="auto"/>
                      <w:szCs w:val="21"/>
                      <w:lang w:val="en-US" w:eastAsia="zh-CN"/>
                    </w:rPr>
                    <w:t>87-91</w:t>
                  </w:r>
                </w:p>
              </w:tc>
              <w:tc>
                <w:tcPr>
                  <w:tcW w:w="1100" w:type="dxa"/>
                  <w:vAlign w:val="center"/>
                </w:tcPr>
                <w:p w14:paraId="12EEEE68">
                  <w:pPr>
                    <w:autoSpaceDE w:val="0"/>
                    <w:autoSpaceDN w:val="0"/>
                    <w:adjustRightInd w:val="0"/>
                    <w:spacing w:line="240" w:lineRule="auto"/>
                    <w:jc w:val="center"/>
                    <w:rPr>
                      <w:rFonts w:hint="default" w:eastAsia="宋体"/>
                      <w:color w:val="auto"/>
                      <w:szCs w:val="21"/>
                      <w:lang w:val="en-US" w:eastAsia="zh-CN"/>
                    </w:rPr>
                  </w:pPr>
                  <w:r>
                    <w:rPr>
                      <w:rFonts w:hint="eastAsia"/>
                      <w:color w:val="auto"/>
                      <w:szCs w:val="21"/>
                      <w:lang w:val="en-US" w:eastAsia="zh-CN"/>
                    </w:rPr>
                    <w:t>3.03</w:t>
                  </w:r>
                </w:p>
              </w:tc>
              <w:tc>
                <w:tcPr>
                  <w:tcW w:w="800" w:type="dxa"/>
                  <w:vAlign w:val="center"/>
                </w:tcPr>
                <w:p w14:paraId="1AD66A05">
                  <w:pPr>
                    <w:autoSpaceDE w:val="0"/>
                    <w:autoSpaceDN w:val="0"/>
                    <w:adjustRightInd w:val="0"/>
                    <w:spacing w:line="240" w:lineRule="auto"/>
                    <w:jc w:val="center"/>
                    <w:rPr>
                      <w:color w:val="auto"/>
                      <w:szCs w:val="21"/>
                    </w:rPr>
                  </w:pPr>
                  <w:r>
                    <w:rPr>
                      <w:color w:val="auto"/>
                      <w:szCs w:val="21"/>
                    </w:rPr>
                    <w:t>0</w:t>
                  </w:r>
                </w:p>
              </w:tc>
              <w:tc>
                <w:tcPr>
                  <w:tcW w:w="891" w:type="dxa"/>
                  <w:vAlign w:val="center"/>
                </w:tcPr>
                <w:p w14:paraId="6B53073F">
                  <w:pPr>
                    <w:spacing w:line="240" w:lineRule="auto"/>
                    <w:jc w:val="center"/>
                    <w:rPr>
                      <w:color w:val="auto"/>
                      <w:szCs w:val="21"/>
                    </w:rPr>
                  </w:pPr>
                  <w:r>
                    <w:rPr>
                      <w:color w:val="auto"/>
                      <w:szCs w:val="21"/>
                    </w:rPr>
                    <w:t>达标</w:t>
                  </w:r>
                </w:p>
              </w:tc>
            </w:tr>
          </w:tbl>
          <w:p w14:paraId="699F37C6">
            <w:pPr>
              <w:spacing w:line="360" w:lineRule="auto"/>
              <w:ind w:firstLine="480" w:firstLineChars="200"/>
              <w:rPr>
                <w:bCs/>
                <w:color w:val="auto"/>
                <w:sz w:val="24"/>
              </w:rPr>
            </w:pPr>
            <w:r>
              <w:rPr>
                <w:color w:val="auto"/>
                <w:sz w:val="24"/>
              </w:rPr>
              <w:t>由</w:t>
            </w:r>
            <w:r>
              <w:rPr>
                <w:rFonts w:hint="eastAsia"/>
                <w:color w:val="auto"/>
                <w:sz w:val="24"/>
              </w:rPr>
              <w:t>上表</w:t>
            </w:r>
            <w:r>
              <w:rPr>
                <w:color w:val="auto"/>
                <w:sz w:val="24"/>
              </w:rPr>
              <w:t>可知，本项目所在区域在监测时段内</w:t>
            </w:r>
            <w:r>
              <w:rPr>
                <w:rFonts w:hint="eastAsia"/>
                <w:color w:val="auto"/>
                <w:sz w:val="24"/>
              </w:rPr>
              <w:t>特征污染物</w:t>
            </w:r>
            <w:r>
              <w:rPr>
                <w:color w:val="auto"/>
                <w:sz w:val="24"/>
              </w:rPr>
              <w:t>总悬浮颗粒物监测结果无超标现象，达到了《环境空气质量标准》（GB3095-2012）二级标准要求</w:t>
            </w:r>
            <w:r>
              <w:rPr>
                <w:bCs/>
                <w:color w:val="auto"/>
                <w:sz w:val="24"/>
              </w:rPr>
              <w:t>。</w:t>
            </w:r>
          </w:p>
          <w:p w14:paraId="60B4169B">
            <w:pPr>
              <w:spacing w:line="360" w:lineRule="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2、地表水环境</w:t>
            </w:r>
          </w:p>
          <w:p w14:paraId="10DB0BA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lang w:val="zh-TW" w:eastAsia="zh-TW"/>
              </w:rPr>
            </w:pPr>
            <w:bookmarkStart w:id="29" w:name="_Toc207005094"/>
            <w:bookmarkStart w:id="30" w:name="_Toc301514512"/>
            <w:bookmarkStart w:id="31" w:name="_Toc218321831"/>
            <w:bookmarkStart w:id="32" w:name="_Toc318898968"/>
            <w:r>
              <w:rPr>
                <w:rFonts w:hint="default" w:ascii="Times New Roman" w:hAnsi="Times New Roman" w:cs="Times New Roman"/>
                <w:bCs/>
                <w:color w:val="auto"/>
                <w:sz w:val="24"/>
                <w:highlight w:val="none"/>
                <w:lang w:val="en-US" w:eastAsia="zh-CN"/>
              </w:rPr>
              <w:t>根据《全国重要江河湖泊水功能区划（2011-2030）》（黑龙江省）可知，本项目涉及地表水体为穆棱河（碱场煤矿铁路大桥至206省道公路桥），属穆棱河饮用区，水质目标为</w:t>
            </w:r>
            <w:r>
              <w:rPr>
                <w:rFonts w:hint="default" w:ascii="Times New Roman" w:hAnsi="Times New Roman" w:cs="Times New Roman"/>
                <w:color w:val="auto"/>
                <w:sz w:val="24"/>
                <w:szCs w:val="24"/>
                <w:highlight w:val="none"/>
                <w:lang w:val="en-US" w:eastAsia="zh-CN"/>
              </w:rPr>
              <w:t>Ⅱ~Ⅲ</w:t>
            </w:r>
            <w:r>
              <w:rPr>
                <w:rFonts w:hint="default" w:ascii="Times New Roman" w:hAnsi="Times New Roman" w:cs="Times New Roman"/>
                <w:bCs/>
                <w:color w:val="auto"/>
                <w:sz w:val="24"/>
                <w:highlight w:val="none"/>
                <w:lang w:val="en-US" w:eastAsia="zh-CN"/>
              </w:rPr>
              <w:t>类</w:t>
            </w:r>
            <w:r>
              <w:rPr>
                <w:rFonts w:hint="default" w:ascii="Times New Roman" w:hAnsi="Times New Roman" w:cs="Times New Roman"/>
                <w:color w:val="auto"/>
                <w:sz w:val="24"/>
                <w:szCs w:val="24"/>
                <w:highlight w:val="none"/>
                <w:lang w:val="en-US" w:eastAsia="zh-CN"/>
              </w:rPr>
              <w:t>。根据鸡西市人民政府发布的《2024年1-12月地表水国控考核断面水质信息公开》，穆棱河达到Ⅲ类水质类别标准</w:t>
            </w:r>
            <w:r>
              <w:rPr>
                <w:rFonts w:hint="default" w:ascii="Times New Roman" w:hAnsi="Times New Roman" w:cs="Times New Roman"/>
                <w:color w:val="auto"/>
                <w:sz w:val="24"/>
                <w:szCs w:val="24"/>
                <w:highlight w:val="none"/>
                <w:lang w:val="zh-TW" w:eastAsia="zh-TW"/>
              </w:rPr>
              <w:t>。</w:t>
            </w:r>
          </w:p>
          <w:bookmarkEnd w:id="29"/>
          <w:bookmarkEnd w:id="30"/>
          <w:bookmarkEnd w:id="31"/>
          <w:bookmarkEnd w:id="32"/>
          <w:p w14:paraId="59C51403">
            <w:pPr>
              <w:spacing w:line="360" w:lineRule="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3、声环境</w:t>
            </w:r>
          </w:p>
          <w:p w14:paraId="70FE1E97">
            <w:pPr>
              <w:spacing w:line="360" w:lineRule="auto"/>
              <w:ind w:firstLine="480" w:firstLineChars="200"/>
              <w:rPr>
                <w:rFonts w:hint="default" w:ascii="Times New Roman" w:hAnsi="Times New Roman" w:eastAsia="宋体" w:cs="Times New Roman"/>
                <w:b w:val="0"/>
                <w:bCs/>
                <w:color w:val="auto"/>
                <w:kern w:val="0"/>
                <w:sz w:val="24"/>
                <w:szCs w:val="24"/>
                <w:lang w:val="en-US" w:eastAsia="zh-CN" w:bidi="ar-SA"/>
              </w:rPr>
            </w:pPr>
            <w:r>
              <w:rPr>
                <w:rFonts w:hint="default" w:ascii="Times New Roman" w:hAnsi="Times New Roman" w:cs="Times New Roman"/>
                <w:color w:val="auto"/>
                <w:sz w:val="24"/>
                <w:szCs w:val="24"/>
                <w:highlight w:val="none"/>
                <w:lang w:val="en-US" w:eastAsia="zh-CN"/>
              </w:rPr>
              <w:t>根据《</w:t>
            </w:r>
            <w:r>
              <w:rPr>
                <w:rFonts w:hint="default" w:ascii="Times New Roman" w:hAnsi="Times New Roman" w:cs="Times New Roman"/>
                <w:color w:val="auto"/>
                <w:sz w:val="24"/>
                <w:szCs w:val="24"/>
                <w:highlight w:val="none"/>
              </w:rPr>
              <w:t>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年黑龙江省生态环境</w:t>
            </w:r>
            <w:r>
              <w:rPr>
                <w:rFonts w:hint="default" w:ascii="Times New Roman" w:hAnsi="Times New Roman" w:cs="Times New Roman"/>
                <w:color w:val="auto"/>
                <w:sz w:val="24"/>
                <w:szCs w:val="24"/>
                <w:highlight w:val="none"/>
                <w:lang w:val="en-US" w:eastAsia="zh-CN"/>
              </w:rPr>
              <w:t>质量</w:t>
            </w:r>
            <w:r>
              <w:rPr>
                <w:rFonts w:hint="default" w:ascii="Times New Roman" w:hAnsi="Times New Roman" w:cs="Times New Roman"/>
                <w:color w:val="auto"/>
                <w:sz w:val="24"/>
                <w:szCs w:val="24"/>
                <w:highlight w:val="none"/>
              </w:rPr>
              <w:t>状况》（202</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鸡西市区域昼间声环境质量为二级，等效声级为53.6dB（A），道路交通昼间声环境质量为一级，等效声级为65.8dB（A），功能区昼间达标率100%，功能区夜间达标率100%。</w:t>
            </w:r>
            <w:r>
              <w:rPr>
                <w:rFonts w:hint="default" w:ascii="Times New Roman" w:hAnsi="Times New Roman" w:eastAsia="宋体" w:cs="Times New Roman"/>
                <w:color w:val="auto"/>
                <w:sz w:val="24"/>
                <w:szCs w:val="24"/>
                <w:highlight w:val="none"/>
                <w:lang w:val="en-US" w:eastAsia="zh-CN"/>
              </w:rPr>
              <w:t>区域声环境</w:t>
            </w:r>
            <w:r>
              <w:rPr>
                <w:rFonts w:hint="default" w:ascii="Times New Roman" w:hAnsi="Times New Roman" w:cs="Times New Roman"/>
                <w:color w:val="auto"/>
                <w:sz w:val="24"/>
                <w:szCs w:val="24"/>
                <w:highlight w:val="none"/>
                <w:lang w:val="en-US" w:eastAsia="zh-CN"/>
              </w:rPr>
              <w:t>满足</w:t>
            </w:r>
            <w:r>
              <w:rPr>
                <w:rFonts w:hint="default" w:ascii="Times New Roman" w:hAnsi="Times New Roman" w:eastAsia="宋体" w:cs="Times New Roman"/>
                <w:color w:val="auto"/>
                <w:sz w:val="24"/>
                <w:szCs w:val="24"/>
                <w:highlight w:val="none"/>
                <w:lang w:val="en-US" w:eastAsia="zh-CN"/>
              </w:rPr>
              <w:t>《声环境质量标准》（GB3096-2008）2类标准</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b w:val="0"/>
                <w:bCs/>
                <w:color w:val="auto"/>
                <w:kern w:val="0"/>
                <w:sz w:val="24"/>
                <w:szCs w:val="24"/>
                <w:lang w:val="en-US" w:eastAsia="zh-CN" w:bidi="ar-SA"/>
              </w:rPr>
              <w:t>本项目选址周围50m范围内无声环境保护目标，未进行声环境现状进行监测。</w:t>
            </w:r>
          </w:p>
          <w:p w14:paraId="6EA3B741">
            <w:pPr>
              <w:snapToGrid w:val="0"/>
              <w:spacing w:line="360" w:lineRule="auto"/>
              <w:rPr>
                <w:rFonts w:hint="default" w:ascii="Times New Roman" w:hAnsi="Times New Roman" w:cs="Times New Roman"/>
                <w:b/>
                <w:color w:val="auto"/>
                <w:sz w:val="24"/>
              </w:rPr>
            </w:pPr>
            <w:r>
              <w:rPr>
                <w:rFonts w:hint="default" w:ascii="Times New Roman" w:hAnsi="Times New Roman" w:cs="Times New Roman"/>
                <w:b/>
                <w:color w:val="auto"/>
                <w:sz w:val="24"/>
              </w:rPr>
              <w:t>4、生态环境</w:t>
            </w:r>
          </w:p>
          <w:p w14:paraId="3393DA62">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bCs/>
                <w:color w:val="auto"/>
                <w:kern w:val="0"/>
                <w:sz w:val="24"/>
              </w:rPr>
              <w:t>本项目</w:t>
            </w:r>
            <w:r>
              <w:rPr>
                <w:rFonts w:hint="default" w:ascii="Times New Roman" w:hAnsi="Times New Roman" w:cs="Times New Roman"/>
                <w:color w:val="auto"/>
                <w:spacing w:val="4"/>
                <w:sz w:val="24"/>
              </w:rPr>
              <w:t>占地面积</w:t>
            </w:r>
            <w:r>
              <w:rPr>
                <w:rFonts w:hint="eastAsia" w:cs="Times New Roman"/>
                <w:color w:val="auto"/>
                <w:sz w:val="24"/>
                <w:lang w:val="en-US" w:eastAsia="zh-CN"/>
              </w:rPr>
              <w:t>13155</w:t>
            </w:r>
            <w:r>
              <w:rPr>
                <w:rFonts w:hint="default" w:ascii="Times New Roman" w:hAnsi="Times New Roman" w:cs="Times New Roman"/>
                <w:color w:val="auto"/>
                <w:spacing w:val="4"/>
                <w:sz w:val="24"/>
              </w:rPr>
              <w:t>m</w:t>
            </w:r>
            <w:r>
              <w:rPr>
                <w:rFonts w:hint="default" w:ascii="Times New Roman" w:hAnsi="Times New Roman" w:cs="Times New Roman"/>
                <w:color w:val="auto"/>
                <w:spacing w:val="4"/>
                <w:sz w:val="24"/>
                <w:vertAlign w:val="superscript"/>
              </w:rPr>
              <w:t>2</w:t>
            </w:r>
            <w:r>
              <w:rPr>
                <w:rFonts w:hint="default" w:ascii="Times New Roman" w:hAnsi="Times New Roman" w:cs="Times New Roman"/>
                <w:bCs/>
                <w:color w:val="auto"/>
                <w:kern w:val="0"/>
                <w:sz w:val="24"/>
              </w:rPr>
              <w:t>，用地类型</w:t>
            </w:r>
            <w:r>
              <w:rPr>
                <w:rFonts w:hint="default" w:ascii="Times New Roman" w:hAnsi="Times New Roman" w:cs="Times New Roman"/>
                <w:bCs/>
                <w:color w:val="auto"/>
                <w:sz w:val="24"/>
              </w:rPr>
              <w:t>为</w:t>
            </w:r>
            <w:r>
              <w:rPr>
                <w:rFonts w:hint="eastAsia" w:cs="Times New Roman"/>
                <w:bCs/>
                <w:color w:val="auto"/>
                <w:sz w:val="24"/>
                <w:lang w:val="en-US" w:eastAsia="zh-CN"/>
              </w:rPr>
              <w:t>采矿用地</w:t>
            </w:r>
            <w:r>
              <w:rPr>
                <w:rFonts w:hint="default" w:ascii="Times New Roman" w:hAnsi="Times New Roman" w:cs="Times New Roman"/>
                <w:bCs/>
                <w:color w:val="auto"/>
                <w:sz w:val="24"/>
              </w:rPr>
              <w:t>，</w:t>
            </w:r>
            <w:r>
              <w:rPr>
                <w:rFonts w:hint="default" w:ascii="Times New Roman" w:hAnsi="Times New Roman" w:cs="Times New Roman"/>
                <w:bCs/>
                <w:color w:val="auto"/>
                <w:kern w:val="0"/>
                <w:sz w:val="24"/>
              </w:rPr>
              <w:t>地表无植被覆盖，本项目周边无国家</w:t>
            </w:r>
            <w:r>
              <w:rPr>
                <w:rFonts w:hint="default" w:ascii="Times New Roman" w:hAnsi="Times New Roman" w:cs="Times New Roman"/>
                <w:color w:val="auto"/>
                <w:sz w:val="24"/>
              </w:rPr>
              <w:t>级、省级、市级名胜古迹、自然保护区，生态敏感、脆弱区，故本项目不开展生态环境现状调查。</w:t>
            </w:r>
          </w:p>
          <w:p w14:paraId="21CF5D2C">
            <w:pPr>
              <w:snapToGrid w:val="0"/>
              <w:spacing w:line="360" w:lineRule="auto"/>
              <w:rPr>
                <w:rFonts w:hint="default" w:ascii="Times New Roman" w:hAnsi="Times New Roman" w:cs="Times New Roman"/>
                <w:b/>
                <w:color w:val="auto"/>
                <w:sz w:val="24"/>
              </w:rPr>
            </w:pPr>
            <w:r>
              <w:rPr>
                <w:rFonts w:hint="default" w:ascii="Times New Roman" w:hAnsi="Times New Roman" w:cs="Times New Roman"/>
                <w:b/>
                <w:color w:val="auto"/>
                <w:sz w:val="24"/>
              </w:rPr>
              <w:t>5、地下水和土壤环境</w:t>
            </w:r>
          </w:p>
          <w:p w14:paraId="26FA1A41">
            <w:pPr>
              <w:pStyle w:val="8"/>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cs="Times New Roman"/>
                <w:color w:val="auto"/>
                <w:lang w:val="en-US"/>
              </w:rPr>
            </w:pPr>
            <w:r>
              <w:rPr>
                <w:rFonts w:hint="default" w:ascii="Times New Roman" w:hAnsi="Times New Roman" w:cs="Times New Roman"/>
                <w:color w:val="auto"/>
                <w:kern w:val="0"/>
                <w:sz w:val="24"/>
              </w:rPr>
              <w:t>本项目属于</w:t>
            </w:r>
            <w:r>
              <w:rPr>
                <w:rFonts w:hint="default" w:ascii="Times New Roman" w:hAnsi="Times New Roman" w:cs="Times New Roman"/>
                <w:bCs/>
                <w:color w:val="auto"/>
                <w:kern w:val="0"/>
                <w:sz w:val="24"/>
              </w:rPr>
              <w:t>煤炭储存、集运项目</w:t>
            </w:r>
            <w:r>
              <w:rPr>
                <w:rFonts w:hint="default" w:ascii="Times New Roman" w:hAnsi="Times New Roman" w:cs="Times New Roman"/>
                <w:color w:val="auto"/>
                <w:kern w:val="0"/>
                <w:sz w:val="24"/>
              </w:rPr>
              <w:t>，</w:t>
            </w:r>
            <w:r>
              <w:rPr>
                <w:rFonts w:hint="default" w:ascii="Times New Roman" w:hAnsi="Times New Roman" w:cs="Times New Roman"/>
                <w:color w:val="auto"/>
                <w:kern w:val="0"/>
                <w:sz w:val="24"/>
                <w:lang w:val="en-US" w:eastAsia="zh-CN"/>
              </w:rPr>
              <w:t>厂区地面全部硬化，</w:t>
            </w:r>
            <w:r>
              <w:rPr>
                <w:rFonts w:hint="default" w:ascii="Times New Roman" w:hAnsi="Times New Roman" w:cs="Times New Roman"/>
                <w:color w:val="auto"/>
                <w:kern w:val="0"/>
                <w:sz w:val="24"/>
              </w:rPr>
              <w:t>不会对地下水产生影响，因此，不进行地下水环境质量现状监测。本项目废气不涉及重金属、持久性有机污染物，</w:t>
            </w:r>
            <w:r>
              <w:rPr>
                <w:rFonts w:hint="default" w:ascii="Times New Roman" w:hAnsi="Times New Roman" w:cs="Times New Roman"/>
                <w:color w:val="auto"/>
                <w:kern w:val="0"/>
                <w:sz w:val="24"/>
                <w:lang w:val="en-US" w:eastAsia="zh-CN"/>
              </w:rPr>
              <w:t>厂区路面全部水泥硬化，</w:t>
            </w:r>
            <w:r>
              <w:rPr>
                <w:rFonts w:hint="default" w:ascii="Times New Roman" w:hAnsi="Times New Roman" w:cs="Times New Roman"/>
                <w:color w:val="auto"/>
                <w:kern w:val="0"/>
                <w:sz w:val="24"/>
              </w:rPr>
              <w:t>无土壤污染途径</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sz w:val="24"/>
              </w:rPr>
              <w:t>根据《建设项目环境影响报告表编制技术指南（污染影响类）（试行）》中的相关要求，本项目不需开展环境质量现状调查。</w:t>
            </w:r>
          </w:p>
        </w:tc>
      </w:tr>
      <w:tr w14:paraId="380FB0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780" w:hRule="atLeast"/>
          <w:jc w:val="center"/>
        </w:trPr>
        <w:tc>
          <w:tcPr>
            <w:tcW w:w="725" w:type="dxa"/>
            <w:vAlign w:val="center"/>
          </w:tcPr>
          <w:p w14:paraId="3F4FC83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09F633D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保护</w:t>
            </w:r>
          </w:p>
          <w:p w14:paraId="278ACC0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目标</w:t>
            </w:r>
          </w:p>
        </w:tc>
        <w:tc>
          <w:tcPr>
            <w:tcW w:w="9067" w:type="dxa"/>
            <w:vAlign w:val="center"/>
          </w:tcPr>
          <w:p w14:paraId="196606A3">
            <w:pPr>
              <w:pStyle w:val="30"/>
              <w:adjustRightInd w:val="0"/>
              <w:snapToGrid w:val="0"/>
              <w:spacing w:line="360" w:lineRule="auto"/>
              <w:ind w:left="0" w:leftChars="0" w:firstLine="0" w:firstLineChars="0"/>
              <w:rPr>
                <w:rFonts w:hint="default" w:ascii="Times New Roman" w:hAnsi="Times New Roman" w:eastAsia="宋体" w:cs="Times New Roman"/>
                <w:b/>
                <w:color w:val="auto"/>
                <w:kern w:val="2"/>
                <w:sz w:val="24"/>
                <w:szCs w:val="24"/>
                <w:lang w:val="en-US" w:eastAsia="zh-CN" w:bidi="ar-SA"/>
              </w:rPr>
            </w:pPr>
            <w:bookmarkStart w:id="33" w:name="_Hlk72490597"/>
            <w:r>
              <w:rPr>
                <w:rFonts w:hint="default" w:ascii="Times New Roman" w:hAnsi="Times New Roman" w:eastAsia="宋体" w:cs="Times New Roman"/>
                <w:b/>
                <w:color w:val="auto"/>
                <w:kern w:val="2"/>
                <w:sz w:val="24"/>
                <w:szCs w:val="24"/>
                <w:lang w:val="en-US" w:eastAsia="zh-CN" w:bidi="ar-SA"/>
              </w:rPr>
              <w:t>1、大气环境保护目标</w:t>
            </w:r>
          </w:p>
          <w:p w14:paraId="0473499D">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本项目厂界外500米范围内无自然保护区、风景名胜区、居住区、文化区和农村地区中人群较集中的区域等保护目标。</w:t>
            </w:r>
          </w:p>
          <w:p w14:paraId="70B23382">
            <w:pPr>
              <w:spacing w:line="360" w:lineRule="auto"/>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2、声环境保护目标</w:t>
            </w:r>
          </w:p>
          <w:p w14:paraId="362F2F74">
            <w:pPr>
              <w:keepLines w:val="0"/>
              <w:pageBreakBefore w:val="0"/>
              <w:topLinePunct w:val="0"/>
              <w:bidi w:val="0"/>
              <w:spacing w:beforeAutospacing="0" w:afterAutospacing="0" w:line="360" w:lineRule="auto"/>
              <w:ind w:right="0" w:rightChars="0" w:firstLine="480" w:firstLineChars="200"/>
              <w:rPr>
                <w:rFonts w:hint="default" w:ascii="Times New Roman" w:hAnsi="Times New Roman" w:cs="Times New Roman" w:eastAsiaTheme="minorEastAsia"/>
                <w:color w:val="auto"/>
                <w:sz w:val="24"/>
                <w:highlight w:val="none"/>
                <w:lang w:val="en-US" w:eastAsia="zh-CN"/>
              </w:rPr>
            </w:pPr>
            <w:r>
              <w:rPr>
                <w:rFonts w:hint="default" w:ascii="Times New Roman" w:hAnsi="Times New Roman" w:cs="Times New Roman" w:eastAsiaTheme="minorEastAsia"/>
                <w:color w:val="auto"/>
                <w:sz w:val="24"/>
                <w:highlight w:val="none"/>
                <w:lang w:val="en-US" w:eastAsia="zh-CN"/>
              </w:rPr>
              <w:t>本项目厂界外50m范围内无声环境保护目标。</w:t>
            </w:r>
          </w:p>
          <w:p w14:paraId="57D3F8B4">
            <w:pPr>
              <w:spacing w:line="360" w:lineRule="auto"/>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3、地下水环境保护目标</w:t>
            </w:r>
          </w:p>
          <w:p w14:paraId="1D2E60B2">
            <w:pPr>
              <w:spacing w:line="360" w:lineRule="auto"/>
              <w:ind w:firstLine="480" w:firstLineChars="200"/>
              <w:rPr>
                <w:rFonts w:hint="default" w:ascii="Times New Roman" w:hAnsi="Times New Roman" w:cs="Times New Roman" w:eastAsiaTheme="minorEastAsia"/>
                <w:color w:val="auto"/>
                <w:sz w:val="24"/>
                <w:lang w:val="en-US" w:eastAsia="zh-CN"/>
              </w:rPr>
            </w:pPr>
            <w:r>
              <w:rPr>
                <w:rFonts w:hint="default" w:ascii="Times New Roman" w:hAnsi="Times New Roman" w:eastAsia="宋体" w:cs="Times New Roman"/>
                <w:snapToGrid w:val="0"/>
                <w:color w:val="auto"/>
                <w:kern w:val="2"/>
                <w:sz w:val="24"/>
                <w:szCs w:val="24"/>
                <w:highlight w:val="none"/>
                <w:lang w:val="en-US" w:eastAsia="zh-CN" w:bidi="ar-SA"/>
              </w:rPr>
              <w:t>本项目厂界外500米范围内无地下水集中式饮用水水源和热水、矿泉水、温泉等特殊地下水资源。</w:t>
            </w:r>
          </w:p>
          <w:p w14:paraId="0FA3FDEF">
            <w:pPr>
              <w:spacing w:line="360" w:lineRule="auto"/>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4、生态环境保护目标</w:t>
            </w:r>
          </w:p>
          <w:p w14:paraId="2B816709">
            <w:pPr>
              <w:spacing w:line="360" w:lineRule="auto"/>
              <w:ind w:firstLine="480" w:firstLineChars="200"/>
              <w:rPr>
                <w:rFonts w:hint="default" w:ascii="Times New Roman" w:hAnsi="Times New Roman" w:cs="Times New Roman"/>
                <w:color w:val="auto"/>
                <w:kern w:val="0"/>
                <w:sz w:val="24"/>
                <w:szCs w:val="24"/>
                <w:highlight w:val="none"/>
                <w:lang w:val="en-US" w:eastAsia="zh-CN"/>
              </w:rPr>
            </w:pPr>
            <w:r>
              <w:rPr>
                <w:rFonts w:hint="default" w:ascii="Times New Roman" w:hAnsi="Times New Roman" w:eastAsia="宋体" w:cs="Times New Roman"/>
                <w:snapToGrid w:val="0"/>
                <w:color w:val="auto"/>
                <w:kern w:val="2"/>
                <w:sz w:val="24"/>
                <w:szCs w:val="24"/>
                <w:highlight w:val="none"/>
                <w:lang w:val="en-US" w:eastAsia="zh-CN" w:bidi="ar-SA"/>
              </w:rPr>
              <w:t>本项目占地范围内无特殊生态敏感区及重要生态敏感区等生态环境保护目标。</w:t>
            </w:r>
            <w:bookmarkEnd w:id="33"/>
          </w:p>
        </w:tc>
      </w:tr>
      <w:tr w14:paraId="644B75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725" w:type="dxa"/>
            <w:tcMar>
              <w:left w:w="28" w:type="dxa"/>
              <w:right w:w="28" w:type="dxa"/>
            </w:tcMar>
            <w:vAlign w:val="center"/>
          </w:tcPr>
          <w:p w14:paraId="2E70AD62">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污染</w:t>
            </w:r>
          </w:p>
          <w:p w14:paraId="42D3FE5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物排</w:t>
            </w:r>
          </w:p>
          <w:p w14:paraId="115DE9FF">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放控</w:t>
            </w:r>
          </w:p>
          <w:p w14:paraId="32FDEC7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制标</w:t>
            </w:r>
          </w:p>
          <w:p w14:paraId="7E07E13A">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准</w:t>
            </w:r>
          </w:p>
        </w:tc>
        <w:tc>
          <w:tcPr>
            <w:tcW w:w="9067" w:type="dxa"/>
            <w:vAlign w:val="center"/>
          </w:tcPr>
          <w:p w14:paraId="5207A33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kern w:val="0"/>
                <w:sz w:val="24"/>
                <w:highlight w:val="none"/>
                <w:lang w:val="en-US" w:eastAsia="zh-CN"/>
              </w:rPr>
            </w:pPr>
            <w:r>
              <w:rPr>
                <w:rFonts w:hint="default" w:ascii="Times New Roman" w:hAnsi="Times New Roman" w:eastAsia="宋体" w:cs="Times New Roman"/>
                <w:b/>
                <w:bCs/>
                <w:color w:val="auto"/>
                <w:kern w:val="0"/>
                <w:sz w:val="24"/>
                <w:szCs w:val="24"/>
                <w:lang w:val="en-US" w:eastAsia="zh-CN" w:bidi="ar-SA"/>
              </w:rPr>
              <w:t>1、</w:t>
            </w:r>
            <w:r>
              <w:rPr>
                <w:rFonts w:hint="default" w:ascii="Times New Roman" w:hAnsi="Times New Roman" w:cs="Times New Roman"/>
                <w:b/>
                <w:bCs/>
                <w:color w:val="auto"/>
                <w:kern w:val="0"/>
                <w:sz w:val="24"/>
                <w:highlight w:val="none"/>
                <w:lang w:val="en-US" w:eastAsia="zh-CN"/>
              </w:rPr>
              <w:t>废气</w:t>
            </w:r>
          </w:p>
          <w:p w14:paraId="29C4862F">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bCs/>
                <w:color w:val="auto"/>
                <w:sz w:val="24"/>
              </w:rPr>
              <w:t>本项目</w:t>
            </w:r>
            <w:r>
              <w:rPr>
                <w:rFonts w:hint="default" w:ascii="Times New Roman" w:hAnsi="Times New Roman" w:cs="Times New Roman"/>
                <w:bCs/>
                <w:color w:val="auto"/>
                <w:sz w:val="24"/>
                <w:lang w:val="en-US" w:eastAsia="zh-CN"/>
              </w:rPr>
              <w:t>施工期无组织</w:t>
            </w:r>
            <w:r>
              <w:rPr>
                <w:rFonts w:hint="default" w:ascii="Times New Roman" w:hAnsi="Times New Roman" w:cs="Times New Roman"/>
                <w:bCs/>
                <w:color w:val="auto"/>
                <w:sz w:val="24"/>
              </w:rPr>
              <w:t>颗粒物执行《大气污染物综合排放标准》（GB16297-1996）表2中无组织排放监控浓度限值</w:t>
            </w:r>
            <w:r>
              <w:rPr>
                <w:rFonts w:hint="default" w:ascii="Times New Roman" w:hAnsi="Times New Roman" w:cs="Times New Roman"/>
                <w:color w:val="auto"/>
                <w:sz w:val="24"/>
              </w:rPr>
              <w:t>要求</w:t>
            </w:r>
            <w:r>
              <w:rPr>
                <w:rFonts w:hint="default" w:ascii="Times New Roman" w:hAnsi="Times New Roman" w:cs="Times New Roman"/>
                <w:color w:val="auto"/>
                <w:sz w:val="24"/>
                <w:lang w:eastAsia="zh-CN"/>
              </w:rPr>
              <w:t>，</w:t>
            </w:r>
            <w:r>
              <w:rPr>
                <w:rFonts w:hint="default" w:ascii="Times New Roman" w:hAnsi="Times New Roman" w:cs="Times New Roman"/>
                <w:bCs/>
                <w:color w:val="auto"/>
                <w:sz w:val="24"/>
                <w:lang w:val="en-US" w:eastAsia="zh-CN"/>
              </w:rPr>
              <w:t>运营期无组织颗粒物执行《煤炭工业污染物排放标准》（</w:t>
            </w:r>
            <w:r>
              <w:rPr>
                <w:rFonts w:hint="default" w:ascii="Times New Roman" w:hAnsi="Times New Roman" w:cs="Times New Roman"/>
                <w:bCs/>
                <w:color w:val="auto"/>
                <w:sz w:val="24"/>
              </w:rPr>
              <w:t>GB20426-2006</w:t>
            </w:r>
            <w:r>
              <w:rPr>
                <w:rFonts w:hint="default" w:ascii="Times New Roman" w:hAnsi="Times New Roman" w:cs="Times New Roman"/>
                <w:bCs/>
                <w:color w:val="auto"/>
                <w:sz w:val="24"/>
                <w:lang w:val="en-US" w:eastAsia="zh-CN"/>
              </w:rPr>
              <w:t>）表5煤炭工业无组织排放限值</w:t>
            </w:r>
            <w:r>
              <w:rPr>
                <w:rFonts w:hint="default" w:ascii="Times New Roman" w:hAnsi="Times New Roman" w:cs="Times New Roman"/>
                <w:color w:val="auto"/>
                <w:sz w:val="24"/>
              </w:rPr>
              <w:t>。</w:t>
            </w:r>
            <w:r>
              <w:rPr>
                <w:rFonts w:hint="default" w:ascii="Times New Roman" w:hAnsi="Times New Roman" w:cs="Times New Roman"/>
                <w:bCs/>
                <w:color w:val="auto"/>
                <w:sz w:val="24"/>
                <w:lang w:val="en-US" w:eastAsia="zh-CN"/>
              </w:rPr>
              <w:t>大气污染物综合排放标准</w:t>
            </w:r>
            <w:r>
              <w:rPr>
                <w:rFonts w:hint="default" w:ascii="Times New Roman" w:hAnsi="Times New Roman" w:cs="Times New Roman"/>
                <w:bCs/>
                <w:color w:val="auto"/>
                <w:sz w:val="24"/>
              </w:rPr>
              <w:t>见表3-</w:t>
            </w:r>
            <w:r>
              <w:rPr>
                <w:rFonts w:hint="default" w:ascii="Times New Roman" w:hAnsi="Times New Roman" w:cs="Times New Roman"/>
                <w:bCs/>
                <w:color w:val="auto"/>
                <w:sz w:val="24"/>
                <w:lang w:val="en-US" w:eastAsia="zh-CN"/>
              </w:rPr>
              <w:t>2，煤炭工业污染物排放标准见表3-3</w:t>
            </w:r>
            <w:r>
              <w:rPr>
                <w:rFonts w:hint="default" w:ascii="Times New Roman" w:hAnsi="Times New Roman" w:cs="Times New Roman"/>
                <w:bCs/>
                <w:color w:val="auto"/>
                <w:sz w:val="24"/>
              </w:rPr>
              <w:t>。</w:t>
            </w:r>
          </w:p>
          <w:p w14:paraId="11D3838D">
            <w:pPr>
              <w:pStyle w:val="56"/>
              <w:rPr>
                <w:rFonts w:hint="default" w:ascii="Times New Roman" w:hAnsi="Times New Roman" w:cs="Times New Roman"/>
                <w:bCs/>
                <w:color w:val="auto"/>
                <w:kern w:val="2"/>
                <w:sz w:val="24"/>
                <w:szCs w:val="24"/>
              </w:rPr>
            </w:pPr>
            <w:r>
              <w:rPr>
                <w:rFonts w:hint="default" w:ascii="Times New Roman" w:hAnsi="Times New Roman" w:cs="Times New Roman"/>
                <w:bCs/>
                <w:color w:val="auto"/>
                <w:kern w:val="2"/>
                <w:sz w:val="24"/>
                <w:szCs w:val="24"/>
              </w:rPr>
              <w:t>表3-</w:t>
            </w:r>
            <w:r>
              <w:rPr>
                <w:rFonts w:hint="default" w:ascii="Times New Roman" w:hAnsi="Times New Roman" w:cs="Times New Roman"/>
                <w:bCs/>
                <w:color w:val="auto"/>
                <w:kern w:val="2"/>
                <w:sz w:val="24"/>
                <w:szCs w:val="24"/>
                <w:lang w:val="en-US" w:eastAsia="zh-CN"/>
              </w:rPr>
              <w:t>2</w:t>
            </w:r>
            <w:r>
              <w:rPr>
                <w:rFonts w:hint="default" w:ascii="Times New Roman" w:hAnsi="Times New Roman" w:cs="Times New Roman"/>
                <w:bCs/>
                <w:color w:val="auto"/>
                <w:kern w:val="2"/>
                <w:sz w:val="24"/>
                <w:szCs w:val="24"/>
              </w:rPr>
              <w:t xml:space="preserve">  大气污染物综合排放标准</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98"/>
              <w:gridCol w:w="4249"/>
            </w:tblGrid>
            <w:tr w14:paraId="5E441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98" w:type="pct"/>
                  <w:vAlign w:val="center"/>
                </w:tcPr>
                <w:p w14:paraId="25C69C8F">
                  <w:pPr>
                    <w:spacing w:line="240" w:lineRule="auto"/>
                    <w:jc w:val="center"/>
                    <w:rPr>
                      <w:rFonts w:hint="default" w:ascii="Times New Roman" w:hAnsi="Times New Roman" w:cs="Times New Roman"/>
                      <w:b/>
                      <w:bCs/>
                      <w:color w:val="auto"/>
                      <w:szCs w:val="21"/>
                    </w:rPr>
                  </w:pPr>
                  <w:r>
                    <w:rPr>
                      <w:rFonts w:hint="default" w:ascii="Times New Roman" w:hAnsi="Times New Roman" w:cs="Times New Roman"/>
                      <w:color w:val="auto"/>
                    </w:rPr>
                    <w:t>二级</w:t>
                  </w:r>
                </w:p>
              </w:tc>
              <w:tc>
                <w:tcPr>
                  <w:tcW w:w="2401" w:type="pct"/>
                  <w:vMerge w:val="restart"/>
                  <w:vAlign w:val="center"/>
                </w:tcPr>
                <w:p w14:paraId="01888968">
                  <w:pPr>
                    <w:spacing w:line="240" w:lineRule="auto"/>
                    <w:jc w:val="center"/>
                    <w:rPr>
                      <w:rFonts w:hint="default" w:ascii="Times New Roman" w:hAnsi="Times New Roman" w:cs="Times New Roman"/>
                      <w:b/>
                      <w:bCs/>
                      <w:color w:val="auto"/>
                      <w:szCs w:val="21"/>
                    </w:rPr>
                  </w:pPr>
                  <w:r>
                    <w:rPr>
                      <w:rFonts w:hint="default" w:ascii="Times New Roman" w:hAnsi="Times New Roman" w:cs="Times New Roman"/>
                      <w:color w:val="auto"/>
                    </w:rPr>
                    <w:t>无组织排放监控浓度限值（mg/m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r>
            <w:tr w14:paraId="2DFD9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598" w:type="pct"/>
                  <w:tcBorders>
                    <w:tl2br w:val="single" w:color="auto" w:sz="4" w:space="0"/>
                  </w:tcBorders>
                  <w:vAlign w:val="center"/>
                </w:tcPr>
                <w:p w14:paraId="23F98DE6">
                  <w:pPr>
                    <w:spacing w:line="240" w:lineRule="auto"/>
                    <w:jc w:val="right"/>
                    <w:rPr>
                      <w:rFonts w:hint="default" w:ascii="Times New Roman" w:hAnsi="Times New Roman" w:cs="Times New Roman"/>
                      <w:color w:val="auto"/>
                    </w:rPr>
                  </w:pPr>
                  <w:r>
                    <w:rPr>
                      <w:rFonts w:hint="default" w:ascii="Times New Roman" w:hAnsi="Times New Roman" w:cs="Times New Roman"/>
                      <w:color w:val="auto"/>
                    </w:rPr>
                    <w:t>指标</w:t>
                  </w:r>
                </w:p>
                <w:p w14:paraId="60A1DD14">
                  <w:pPr>
                    <w:pStyle w:val="8"/>
                    <w:spacing w:line="240" w:lineRule="auto"/>
                    <w:jc w:val="left"/>
                    <w:rPr>
                      <w:rFonts w:hint="default" w:ascii="Times New Roman" w:hAnsi="Times New Roman" w:cs="Times New Roman"/>
                      <w:color w:val="auto"/>
                      <w:szCs w:val="21"/>
                    </w:rPr>
                  </w:pPr>
                  <w:r>
                    <w:rPr>
                      <w:rFonts w:hint="default" w:ascii="Times New Roman" w:hAnsi="Times New Roman" w:eastAsia="宋体" w:cs="Times New Roman"/>
                      <w:color w:val="auto"/>
                      <w:sz w:val="21"/>
                    </w:rPr>
                    <w:t>污染物</w:t>
                  </w:r>
                </w:p>
              </w:tc>
              <w:tc>
                <w:tcPr>
                  <w:tcW w:w="2401" w:type="pct"/>
                  <w:vMerge w:val="continue"/>
                  <w:vAlign w:val="center"/>
                </w:tcPr>
                <w:p w14:paraId="5C423113">
                  <w:pPr>
                    <w:spacing w:line="240" w:lineRule="auto"/>
                    <w:jc w:val="center"/>
                    <w:rPr>
                      <w:rFonts w:hint="default" w:ascii="Times New Roman" w:hAnsi="Times New Roman" w:cs="Times New Roman"/>
                      <w:color w:val="auto"/>
                      <w:szCs w:val="21"/>
                    </w:rPr>
                  </w:pPr>
                </w:p>
              </w:tc>
            </w:tr>
            <w:tr w14:paraId="167FE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2598" w:type="pct"/>
                  <w:vAlign w:val="center"/>
                </w:tcPr>
                <w:p w14:paraId="4C44BED8">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kern w:val="0"/>
                    </w:rPr>
                    <w:t>颗粒物</w:t>
                  </w:r>
                </w:p>
              </w:tc>
              <w:tc>
                <w:tcPr>
                  <w:tcW w:w="2401" w:type="pct"/>
                  <w:vAlign w:val="center"/>
                </w:tcPr>
                <w:p w14:paraId="242ABACA">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rPr>
                    <w:t>1.0</w:t>
                  </w:r>
                </w:p>
              </w:tc>
            </w:tr>
          </w:tbl>
          <w:p w14:paraId="512E65AC">
            <w:pPr>
              <w:tabs>
                <w:tab w:val="left" w:pos="2397"/>
              </w:tabs>
              <w:spacing w:line="360" w:lineRule="auto"/>
              <w:ind w:firstLine="480" w:firstLineChars="200"/>
              <w:rPr>
                <w:rFonts w:hint="default" w:ascii="Times New Roman" w:hAnsi="Times New Roman" w:eastAsia="宋体" w:cs="Times New Roman"/>
                <w:color w:val="auto"/>
                <w:sz w:val="24"/>
              </w:rPr>
            </w:pPr>
          </w:p>
          <w:p w14:paraId="5C81EF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bCs w:val="0"/>
                <w:color w:val="auto"/>
                <w:kern w:val="2"/>
                <w:sz w:val="24"/>
                <w:szCs w:val="24"/>
                <w:highlight w:val="none"/>
                <w:lang w:val="en-US" w:eastAsia="zh-CN" w:bidi="ar-SA"/>
              </w:rPr>
            </w:pPr>
            <w:r>
              <w:rPr>
                <w:rFonts w:hint="default" w:ascii="Times New Roman" w:hAnsi="Times New Roman" w:cs="Times New Roman" w:eastAsiaTheme="minorEastAsia"/>
                <w:b/>
                <w:bCs w:val="0"/>
                <w:color w:val="auto"/>
                <w:kern w:val="2"/>
                <w:sz w:val="24"/>
                <w:szCs w:val="24"/>
                <w:highlight w:val="none"/>
                <w:lang w:val="en-US" w:eastAsia="zh-CN" w:bidi="ar-SA"/>
              </w:rPr>
              <w:t xml:space="preserve">表3-3 </w:t>
            </w:r>
            <w:r>
              <w:rPr>
                <w:rFonts w:hint="eastAsia" w:ascii="宋体" w:hAnsi="宋体" w:eastAsia="宋体" w:cs="宋体"/>
                <w:b/>
                <w:bCs w:val="0"/>
                <w:color w:val="auto"/>
                <w:kern w:val="2"/>
                <w:sz w:val="24"/>
                <w:szCs w:val="24"/>
                <w:highlight w:val="none"/>
                <w:lang w:val="en-US" w:eastAsia="zh-CN" w:bidi="ar-SA"/>
              </w:rPr>
              <w:t>煤炭工业无组织排放限值</w:t>
            </w:r>
          </w:p>
          <w:tbl>
            <w:tblPr>
              <w:tblStyle w:val="2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11"/>
              <w:gridCol w:w="3526"/>
              <w:gridCol w:w="3512"/>
            </w:tblGrid>
            <w:tr w14:paraId="06547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57" w:hRule="atLeast"/>
                <w:tblHeader/>
                <w:jc w:val="center"/>
              </w:trPr>
              <w:tc>
                <w:tcPr>
                  <w:tcW w:w="1023" w:type="pct"/>
                  <w:tcBorders>
                    <w:bottom w:val="single" w:color="000000" w:sz="8" w:space="0"/>
                    <w:right w:val="single" w:color="000000" w:sz="8" w:space="0"/>
                    <w:tl2br w:val="nil"/>
                    <w:tr2bl w:val="nil"/>
                  </w:tcBorders>
                  <w:shd w:val="clear" w:color="auto" w:fill="FFFFFF"/>
                  <w:vAlign w:val="center"/>
                </w:tcPr>
                <w:p w14:paraId="5DA5EBBB">
                  <w:pPr>
                    <w:pStyle w:val="40"/>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污染物</w:t>
                  </w:r>
                </w:p>
              </w:tc>
              <w:tc>
                <w:tcPr>
                  <w:tcW w:w="1992" w:type="pct"/>
                  <w:tcBorders>
                    <w:left w:val="single" w:color="000000" w:sz="8" w:space="0"/>
                    <w:bottom w:val="single" w:color="000000" w:sz="8" w:space="0"/>
                    <w:right w:val="single" w:color="000000" w:sz="8" w:space="0"/>
                    <w:tl2br w:val="nil"/>
                    <w:tr2bl w:val="nil"/>
                  </w:tcBorders>
                  <w:shd w:val="clear" w:color="auto" w:fill="FFFFFF"/>
                  <w:vAlign w:val="center"/>
                </w:tcPr>
                <w:p w14:paraId="5C69C654">
                  <w:pPr>
                    <w:pStyle w:val="40"/>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煤炭工业装卸场所无组织排放限值</w:t>
                  </w:r>
                  <w:r>
                    <w:rPr>
                      <w:rFonts w:hint="default" w:ascii="Times New Roman" w:hAnsi="Times New Roman" w:cs="Times New Roman"/>
                      <w:b w:val="0"/>
                      <w:bCs w:val="0"/>
                      <w:color w:val="auto"/>
                      <w:szCs w:val="21"/>
                      <w:lang w:eastAsia="zh-CN"/>
                    </w:rPr>
                    <w:t>（</w:t>
                  </w:r>
                  <w:r>
                    <w:rPr>
                      <w:rFonts w:hint="default" w:ascii="Times New Roman" w:hAnsi="Times New Roman" w:eastAsia="宋体" w:cs="Times New Roman"/>
                      <w:b w:val="0"/>
                      <w:bCs w:val="0"/>
                      <w:color w:val="auto"/>
                      <w:szCs w:val="21"/>
                    </w:rPr>
                    <w:t>mg/Nm</w:t>
                  </w:r>
                  <w:r>
                    <w:rPr>
                      <w:rFonts w:hint="default" w:ascii="Times New Roman" w:hAnsi="Times New Roman" w:eastAsia="宋体" w:cs="Times New Roman"/>
                      <w:b w:val="0"/>
                      <w:bCs w:val="0"/>
                      <w:color w:val="auto"/>
                      <w:szCs w:val="21"/>
                      <w:vertAlign w:val="superscript"/>
                    </w:rPr>
                    <w:t>3</w:t>
                  </w:r>
                  <w:r>
                    <w:rPr>
                      <w:rFonts w:hint="default" w:ascii="Times New Roman" w:hAnsi="Times New Roman" w:cs="Times New Roman"/>
                      <w:b w:val="0"/>
                      <w:bCs w:val="0"/>
                      <w:color w:val="auto"/>
                      <w:szCs w:val="21"/>
                      <w:vertAlign w:val="baseline"/>
                      <w:lang w:eastAsia="zh-CN"/>
                    </w:rPr>
                    <w:t>）</w:t>
                  </w:r>
                </w:p>
              </w:tc>
              <w:tc>
                <w:tcPr>
                  <w:tcW w:w="1984" w:type="pct"/>
                  <w:tcBorders>
                    <w:left w:val="single" w:color="000000" w:sz="8" w:space="0"/>
                    <w:bottom w:val="single" w:color="000000" w:sz="8" w:space="0"/>
                    <w:tl2br w:val="nil"/>
                    <w:tr2bl w:val="nil"/>
                  </w:tcBorders>
                  <w:shd w:val="clear" w:color="auto" w:fill="FFFFFF"/>
                  <w:vAlign w:val="center"/>
                </w:tcPr>
                <w:p w14:paraId="47AB3438">
                  <w:pPr>
                    <w:pStyle w:val="40"/>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煤炭贮存场所、煤矸石堆放场无组织排放限值</w:t>
                  </w:r>
                  <w:r>
                    <w:rPr>
                      <w:rFonts w:hint="default" w:ascii="Times New Roman" w:hAnsi="Times New Roman" w:cs="Times New Roman"/>
                      <w:b w:val="0"/>
                      <w:bCs w:val="0"/>
                      <w:color w:val="auto"/>
                      <w:szCs w:val="21"/>
                      <w:lang w:eastAsia="zh-CN"/>
                    </w:rPr>
                    <w:t>（</w:t>
                  </w:r>
                  <w:r>
                    <w:rPr>
                      <w:rFonts w:hint="default" w:ascii="Times New Roman" w:hAnsi="Times New Roman" w:eastAsia="宋体" w:cs="Times New Roman"/>
                      <w:b w:val="0"/>
                      <w:bCs w:val="0"/>
                      <w:color w:val="auto"/>
                      <w:szCs w:val="21"/>
                    </w:rPr>
                    <w:t>mg/Nm</w:t>
                  </w:r>
                  <w:r>
                    <w:rPr>
                      <w:rFonts w:hint="default" w:ascii="Times New Roman" w:hAnsi="Times New Roman" w:eastAsia="宋体" w:cs="Times New Roman"/>
                      <w:b w:val="0"/>
                      <w:bCs w:val="0"/>
                      <w:color w:val="auto"/>
                      <w:szCs w:val="21"/>
                      <w:vertAlign w:val="superscript"/>
                    </w:rPr>
                    <w:t>3</w:t>
                  </w:r>
                  <w:r>
                    <w:rPr>
                      <w:rFonts w:hint="default" w:ascii="Times New Roman" w:hAnsi="Times New Roman" w:cs="Times New Roman"/>
                      <w:b w:val="0"/>
                      <w:bCs w:val="0"/>
                      <w:color w:val="auto"/>
                      <w:szCs w:val="21"/>
                      <w:vertAlign w:val="baseline"/>
                      <w:lang w:eastAsia="zh-CN"/>
                    </w:rPr>
                    <w:t>）</w:t>
                  </w:r>
                </w:p>
              </w:tc>
            </w:tr>
            <w:tr w14:paraId="367FC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7" w:hRule="atLeast"/>
                <w:jc w:val="center"/>
              </w:trPr>
              <w:tc>
                <w:tcPr>
                  <w:tcW w:w="1023" w:type="pct"/>
                  <w:tcBorders>
                    <w:top w:val="single" w:color="000000" w:sz="8" w:space="0"/>
                    <w:right w:val="single" w:color="000000" w:sz="8" w:space="0"/>
                    <w:tl2br w:val="nil"/>
                    <w:tr2bl w:val="nil"/>
                  </w:tcBorders>
                  <w:shd w:val="clear" w:color="auto" w:fill="FFFFFF"/>
                  <w:vAlign w:val="center"/>
                </w:tcPr>
                <w:p w14:paraId="0C865D39">
                  <w:pPr>
                    <w:pStyle w:val="40"/>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颗粒物</w:t>
                  </w:r>
                </w:p>
              </w:tc>
              <w:tc>
                <w:tcPr>
                  <w:tcW w:w="1992" w:type="pct"/>
                  <w:tcBorders>
                    <w:top w:val="single" w:color="000000" w:sz="8" w:space="0"/>
                    <w:left w:val="single" w:color="000000" w:sz="8" w:space="0"/>
                    <w:right w:val="single" w:color="000000" w:sz="8" w:space="0"/>
                    <w:tl2br w:val="nil"/>
                    <w:tr2bl w:val="nil"/>
                  </w:tcBorders>
                  <w:shd w:val="clear" w:color="auto" w:fill="FFFFFF"/>
                  <w:vAlign w:val="center"/>
                </w:tcPr>
                <w:p w14:paraId="5F8E2D90">
                  <w:pPr>
                    <w:pStyle w:val="40"/>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1.0</w:t>
                  </w:r>
                </w:p>
              </w:tc>
              <w:tc>
                <w:tcPr>
                  <w:tcW w:w="1984" w:type="pct"/>
                  <w:tcBorders>
                    <w:top w:val="single" w:color="000000" w:sz="8" w:space="0"/>
                    <w:left w:val="single" w:color="000000" w:sz="8" w:space="0"/>
                    <w:tl2br w:val="nil"/>
                    <w:tr2bl w:val="nil"/>
                  </w:tcBorders>
                  <w:shd w:val="clear" w:color="auto" w:fill="FFFFFF"/>
                  <w:vAlign w:val="center"/>
                </w:tcPr>
                <w:p w14:paraId="29B623B5">
                  <w:pPr>
                    <w:pStyle w:val="40"/>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1.0</w:t>
                  </w:r>
                </w:p>
              </w:tc>
            </w:tr>
          </w:tbl>
          <w:p w14:paraId="1004284D">
            <w:pPr>
              <w:keepNext w:val="0"/>
              <w:keepLines w:val="0"/>
              <w:pageBreakBefore w:val="0"/>
              <w:widowControl w:val="0"/>
              <w:numPr>
                <w:ilvl w:val="0"/>
                <w:numId w:val="2"/>
              </w:numPr>
              <w:kinsoku/>
              <w:wordWrap/>
              <w:overflowPunct/>
              <w:topLinePunct w:val="0"/>
              <w:autoSpaceDE/>
              <w:autoSpaceDN/>
              <w:bidi w:val="0"/>
              <w:adjustRightInd w:val="0"/>
              <w:snapToGrid w:val="0"/>
              <w:spacing w:line="400" w:lineRule="exact"/>
              <w:textAlignment w:val="auto"/>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rPr>
              <w:t>废水</w:t>
            </w:r>
          </w:p>
          <w:p w14:paraId="1A228B5E">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本项目无生产废水，生活污水排入防渗旱厕，定期清掏外运。</w:t>
            </w:r>
          </w:p>
          <w:p w14:paraId="2A659358">
            <w:pPr>
              <w:pStyle w:val="35"/>
              <w:autoSpaceDE w:val="0"/>
              <w:autoSpaceDN w:val="0"/>
              <w:spacing w:line="360" w:lineRule="auto"/>
              <w:jc w:val="both"/>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rPr>
              <w:t>3、</w:t>
            </w:r>
            <w:r>
              <w:rPr>
                <w:rFonts w:hint="default" w:ascii="Times New Roman" w:hAnsi="Times New Roman" w:eastAsia="宋体" w:cs="Times New Roman"/>
                <w:b/>
                <w:bCs/>
                <w:color w:val="auto"/>
                <w:kern w:val="0"/>
                <w:sz w:val="24"/>
                <w:szCs w:val="24"/>
                <w:highlight w:val="none"/>
                <w:lang w:val="en-US" w:eastAsia="zh-CN" w:bidi="ar-SA"/>
              </w:rPr>
              <w:t>噪声</w:t>
            </w:r>
          </w:p>
          <w:p w14:paraId="3A0D213D">
            <w:pPr>
              <w:pStyle w:val="35"/>
              <w:autoSpaceDE w:val="0"/>
              <w:autoSpaceDN w:val="0"/>
              <w:spacing w:line="360" w:lineRule="auto"/>
              <w:ind w:firstLine="480"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color w:val="auto"/>
                <w:kern w:val="0"/>
                <w:sz w:val="24"/>
                <w:szCs w:val="24"/>
                <w:lang w:val="en-US" w:eastAsia="zh-CN" w:bidi="ar-SA"/>
              </w:rPr>
              <w:t>施工期执行《建筑施工场界环境噪声排放标准》（GB12523-2011）；项目厂界噪声执行《工业企业厂界环境噪声排放标准》（GB12348-2008）中的2类标准，标准值见表3-4。</w:t>
            </w:r>
            <w:bookmarkStart w:id="34" w:name="_Ref196743448"/>
          </w:p>
          <w:p w14:paraId="041A39BF">
            <w:pPr>
              <w:adjustRightInd w:val="0"/>
              <w:snapToGrid w:val="0"/>
              <w:jc w:val="center"/>
              <w:rPr>
                <w:rFonts w:hint="default" w:ascii="Times New Roman" w:hAnsi="Times New Roman" w:cs="Times New Roman"/>
                <w:b/>
                <w:bCs/>
                <w:color w:val="auto"/>
                <w:kern w:val="0"/>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w:t>
            </w:r>
            <w:bookmarkEnd w:id="34"/>
            <w:r>
              <w:rPr>
                <w:rFonts w:hint="default"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 xml:space="preserve"> 噪声排放标准</w:t>
            </w:r>
            <w:r>
              <w:rPr>
                <w:rFonts w:hint="default" w:ascii="Times New Roman" w:hAnsi="Times New Roman" w:cs="Times New Roman"/>
                <w:b/>
                <w:bCs/>
                <w:color w:val="auto"/>
                <w:kern w:val="0"/>
                <w:sz w:val="24"/>
                <w:szCs w:val="24"/>
                <w:highlight w:val="none"/>
              </w:rPr>
              <w:t xml:space="preserve">  单位：dB（A）</w:t>
            </w:r>
          </w:p>
          <w:tbl>
            <w:tblPr>
              <w:tblStyle w:val="20"/>
              <w:tblW w:w="5000" w:type="pct"/>
              <w:jc w:val="center"/>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2212"/>
              <w:gridCol w:w="2213"/>
              <w:gridCol w:w="2213"/>
              <w:gridCol w:w="2213"/>
            </w:tblGrid>
            <w:tr w14:paraId="53A7B894">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250" w:type="pct"/>
                  <w:vMerge w:val="restart"/>
                  <w:noWrap w:val="0"/>
                  <w:tcMar>
                    <w:top w:w="17" w:type="dxa"/>
                    <w:left w:w="17" w:type="dxa"/>
                    <w:bottom w:w="0" w:type="dxa"/>
                    <w:right w:w="17" w:type="dxa"/>
                  </w:tcMar>
                  <w:vAlign w:val="center"/>
                </w:tcPr>
                <w:p w14:paraId="7574F73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时段</w:t>
                  </w:r>
                </w:p>
              </w:tc>
              <w:tc>
                <w:tcPr>
                  <w:tcW w:w="1250" w:type="pct"/>
                  <w:vMerge w:val="restart"/>
                  <w:noWrap w:val="0"/>
                  <w:tcMar>
                    <w:top w:w="17" w:type="dxa"/>
                    <w:left w:w="17" w:type="dxa"/>
                    <w:bottom w:w="0" w:type="dxa"/>
                    <w:right w:w="17" w:type="dxa"/>
                  </w:tcMar>
                  <w:vAlign w:val="center"/>
                </w:tcPr>
                <w:p w14:paraId="029777B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标准</w:t>
                  </w:r>
                </w:p>
              </w:tc>
              <w:tc>
                <w:tcPr>
                  <w:tcW w:w="2501" w:type="pct"/>
                  <w:gridSpan w:val="2"/>
                  <w:noWrap w:val="0"/>
                  <w:tcMar>
                    <w:top w:w="17" w:type="dxa"/>
                    <w:left w:w="17" w:type="dxa"/>
                    <w:bottom w:w="0" w:type="dxa"/>
                    <w:right w:w="17" w:type="dxa"/>
                  </w:tcMar>
                  <w:vAlign w:val="center"/>
                </w:tcPr>
                <w:p w14:paraId="72C6305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标准值</w:t>
                  </w:r>
                </w:p>
              </w:tc>
            </w:tr>
            <w:tr w14:paraId="22BAA786">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250" w:type="pct"/>
                  <w:vMerge w:val="continue"/>
                  <w:noWrap w:val="0"/>
                  <w:vAlign w:val="center"/>
                </w:tcPr>
                <w:p w14:paraId="76524B19">
                  <w:pPr>
                    <w:adjustRightInd w:val="0"/>
                    <w:snapToGrid w:val="0"/>
                    <w:jc w:val="center"/>
                    <w:rPr>
                      <w:rFonts w:hint="default" w:ascii="Times New Roman" w:hAnsi="Times New Roman" w:eastAsia="宋体" w:cs="Times New Roman"/>
                      <w:color w:val="auto"/>
                      <w:kern w:val="0"/>
                      <w:szCs w:val="21"/>
                      <w:highlight w:val="none"/>
                    </w:rPr>
                  </w:pPr>
                </w:p>
              </w:tc>
              <w:tc>
                <w:tcPr>
                  <w:tcW w:w="1250" w:type="pct"/>
                  <w:vMerge w:val="continue"/>
                  <w:noWrap w:val="0"/>
                  <w:vAlign w:val="center"/>
                </w:tcPr>
                <w:p w14:paraId="332B5DF9">
                  <w:pPr>
                    <w:adjustRightInd w:val="0"/>
                    <w:snapToGrid w:val="0"/>
                    <w:jc w:val="center"/>
                    <w:rPr>
                      <w:rFonts w:hint="default" w:ascii="Times New Roman" w:hAnsi="Times New Roman" w:eastAsia="宋体" w:cs="Times New Roman"/>
                      <w:color w:val="auto"/>
                      <w:kern w:val="0"/>
                      <w:szCs w:val="21"/>
                      <w:highlight w:val="none"/>
                    </w:rPr>
                  </w:pPr>
                </w:p>
              </w:tc>
              <w:tc>
                <w:tcPr>
                  <w:tcW w:w="1250" w:type="pct"/>
                  <w:noWrap w:val="0"/>
                  <w:tcMar>
                    <w:top w:w="17" w:type="dxa"/>
                    <w:left w:w="17" w:type="dxa"/>
                    <w:bottom w:w="0" w:type="dxa"/>
                    <w:right w:w="17" w:type="dxa"/>
                  </w:tcMar>
                  <w:vAlign w:val="center"/>
                </w:tcPr>
                <w:p w14:paraId="0A42A1CB">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昼间</w:t>
                  </w:r>
                </w:p>
              </w:tc>
              <w:tc>
                <w:tcPr>
                  <w:tcW w:w="1251" w:type="pct"/>
                  <w:noWrap w:val="0"/>
                  <w:tcMar>
                    <w:top w:w="17" w:type="dxa"/>
                    <w:left w:w="17" w:type="dxa"/>
                    <w:bottom w:w="0" w:type="dxa"/>
                    <w:right w:w="17" w:type="dxa"/>
                  </w:tcMar>
                  <w:vAlign w:val="center"/>
                </w:tcPr>
                <w:p w14:paraId="690EDBA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夜间</w:t>
                  </w:r>
                </w:p>
              </w:tc>
            </w:tr>
            <w:tr w14:paraId="2F0429A8">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250" w:type="pct"/>
                  <w:noWrap w:val="0"/>
                  <w:vAlign w:val="center"/>
                </w:tcPr>
                <w:p w14:paraId="0C04737C">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施工期</w:t>
                  </w:r>
                </w:p>
              </w:tc>
              <w:tc>
                <w:tcPr>
                  <w:tcW w:w="1250" w:type="pct"/>
                  <w:noWrap w:val="0"/>
                  <w:vAlign w:val="center"/>
                </w:tcPr>
                <w:p w14:paraId="1110171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GB12523-2011</w:t>
                  </w:r>
                </w:p>
              </w:tc>
              <w:tc>
                <w:tcPr>
                  <w:tcW w:w="1250" w:type="pct"/>
                  <w:noWrap w:val="0"/>
                  <w:tcMar>
                    <w:top w:w="17" w:type="dxa"/>
                    <w:left w:w="17" w:type="dxa"/>
                    <w:bottom w:w="0" w:type="dxa"/>
                    <w:right w:w="17" w:type="dxa"/>
                  </w:tcMar>
                  <w:vAlign w:val="center"/>
                </w:tcPr>
                <w:p w14:paraId="3B3EA0A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70</w:t>
                  </w:r>
                </w:p>
              </w:tc>
              <w:tc>
                <w:tcPr>
                  <w:tcW w:w="1251" w:type="pct"/>
                  <w:noWrap w:val="0"/>
                  <w:tcMar>
                    <w:top w:w="17" w:type="dxa"/>
                    <w:left w:w="17" w:type="dxa"/>
                    <w:bottom w:w="0" w:type="dxa"/>
                    <w:right w:w="17" w:type="dxa"/>
                  </w:tcMar>
                  <w:vAlign w:val="center"/>
                </w:tcPr>
                <w:p w14:paraId="5DB29D2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55</w:t>
                  </w:r>
                </w:p>
              </w:tc>
            </w:tr>
            <w:tr w14:paraId="60C8AF81">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250" w:type="pct"/>
                  <w:noWrap w:val="0"/>
                  <w:vAlign w:val="center"/>
                </w:tcPr>
                <w:p w14:paraId="79E09E3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运营期</w:t>
                  </w:r>
                </w:p>
              </w:tc>
              <w:tc>
                <w:tcPr>
                  <w:tcW w:w="1250" w:type="pct"/>
                  <w:noWrap w:val="0"/>
                  <w:vAlign w:val="center"/>
                </w:tcPr>
                <w:p w14:paraId="035D85D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 xml:space="preserve">GB12348-2008 </w:t>
                  </w:r>
                  <w:r>
                    <w:rPr>
                      <w:rFonts w:hint="default" w:ascii="Times New Roman" w:hAnsi="Times New Roman" w:eastAsia="宋体" w:cs="Times New Roman"/>
                      <w:color w:val="auto"/>
                      <w:kern w:val="0"/>
                      <w:szCs w:val="21"/>
                      <w:highlight w:val="none"/>
                      <w:lang w:val="en-US" w:eastAsia="zh-CN"/>
                    </w:rPr>
                    <w:t xml:space="preserve"> </w:t>
                  </w:r>
                  <w:r>
                    <w:rPr>
                      <w:rFonts w:hint="default" w:ascii="Times New Roman" w:hAnsi="Times New Roman" w:eastAsia="宋体" w:cs="Times New Roman"/>
                      <w:color w:val="auto"/>
                      <w:kern w:val="0"/>
                      <w:szCs w:val="21"/>
                      <w:highlight w:val="none"/>
                    </w:rPr>
                    <w:t>2类</w:t>
                  </w:r>
                </w:p>
              </w:tc>
              <w:tc>
                <w:tcPr>
                  <w:tcW w:w="1250" w:type="pct"/>
                  <w:noWrap w:val="0"/>
                  <w:tcMar>
                    <w:top w:w="17" w:type="dxa"/>
                    <w:left w:w="17" w:type="dxa"/>
                    <w:bottom w:w="0" w:type="dxa"/>
                    <w:right w:w="17" w:type="dxa"/>
                  </w:tcMar>
                  <w:vAlign w:val="center"/>
                </w:tcPr>
                <w:p w14:paraId="7EE52B6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rPr>
                    <w:t>6</w:t>
                  </w:r>
                  <w:r>
                    <w:rPr>
                      <w:rFonts w:hint="default" w:ascii="Times New Roman" w:hAnsi="Times New Roman" w:cs="Times New Roman"/>
                      <w:color w:val="auto"/>
                      <w:kern w:val="0"/>
                      <w:szCs w:val="21"/>
                      <w:highlight w:val="none"/>
                      <w:lang w:val="en-US" w:eastAsia="zh-CN"/>
                    </w:rPr>
                    <w:t>0</w:t>
                  </w:r>
                </w:p>
              </w:tc>
              <w:tc>
                <w:tcPr>
                  <w:tcW w:w="1251" w:type="pct"/>
                  <w:noWrap w:val="0"/>
                  <w:tcMar>
                    <w:top w:w="17" w:type="dxa"/>
                    <w:left w:w="17" w:type="dxa"/>
                    <w:bottom w:w="0" w:type="dxa"/>
                    <w:right w:w="17" w:type="dxa"/>
                  </w:tcMar>
                  <w:vAlign w:val="center"/>
                </w:tcPr>
                <w:p w14:paraId="11FFA48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5</w:t>
                  </w:r>
                  <w:r>
                    <w:rPr>
                      <w:rFonts w:hint="default" w:ascii="Times New Roman" w:hAnsi="Times New Roman" w:cs="Times New Roman"/>
                      <w:color w:val="auto"/>
                      <w:kern w:val="0"/>
                      <w:szCs w:val="21"/>
                      <w:highlight w:val="none"/>
                      <w:lang w:val="en-US" w:eastAsia="zh-CN"/>
                    </w:rPr>
                    <w:t>0</w:t>
                  </w:r>
                </w:p>
              </w:tc>
            </w:tr>
          </w:tbl>
          <w:p w14:paraId="12BF4155">
            <w:pPr>
              <w:spacing w:line="360" w:lineRule="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cs="Times New Roman"/>
                <w:b/>
                <w:bCs/>
                <w:color w:val="auto"/>
                <w:kern w:val="0"/>
                <w:sz w:val="24"/>
                <w:szCs w:val="24"/>
                <w:highlight w:val="none"/>
                <w:lang w:val="en-US" w:eastAsia="zh-CN" w:bidi="ar-SA"/>
              </w:rPr>
              <w:t>4、</w:t>
            </w:r>
            <w:r>
              <w:rPr>
                <w:rFonts w:hint="default" w:ascii="Times New Roman" w:hAnsi="Times New Roman" w:eastAsia="宋体" w:cs="Times New Roman"/>
                <w:b/>
                <w:bCs/>
                <w:color w:val="auto"/>
                <w:kern w:val="0"/>
                <w:sz w:val="24"/>
                <w:szCs w:val="24"/>
                <w:highlight w:val="none"/>
                <w:lang w:val="en-US" w:eastAsia="zh-CN" w:bidi="ar-SA"/>
              </w:rPr>
              <w:t>固体废物</w:t>
            </w:r>
          </w:p>
          <w:p w14:paraId="2B4CE7F2">
            <w:pPr>
              <w:pStyle w:val="35"/>
              <w:autoSpaceDE w:val="0"/>
              <w:autoSpaceDN w:val="0"/>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lang w:val="en-US" w:eastAsia="zh-CN" w:bidi="ar-SA"/>
              </w:rPr>
              <w:t>固体废物污染物控制标准：一般固废执行《一般工业固体废物贮存和填埋污染控制标准》（GB18599-2020）、《固体废物分类与代码目录》（公告2024年第4号）标准要求。</w:t>
            </w:r>
          </w:p>
        </w:tc>
      </w:tr>
      <w:tr w14:paraId="028AA4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5" w:type="dxa"/>
            <w:vAlign w:val="center"/>
          </w:tcPr>
          <w:p w14:paraId="62720CEE">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总量</w:t>
            </w:r>
          </w:p>
          <w:p w14:paraId="5052F26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控制</w:t>
            </w:r>
          </w:p>
          <w:p w14:paraId="57BFFCF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指标</w:t>
            </w:r>
          </w:p>
        </w:tc>
        <w:tc>
          <w:tcPr>
            <w:tcW w:w="9067" w:type="dxa"/>
            <w:vAlign w:val="center"/>
          </w:tcPr>
          <w:p w14:paraId="361AC555">
            <w:pPr>
              <w:pStyle w:val="35"/>
              <w:autoSpaceDE w:val="0"/>
              <w:autoSpaceDN w:val="0"/>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lang w:val="en-US" w:eastAsia="zh-CN" w:bidi="ar-SA"/>
              </w:rPr>
              <w:t>根据《关于做</w:t>
            </w:r>
            <w:r>
              <w:rPr>
                <w:rFonts w:hint="eastAsia" w:ascii="宋体" w:hAnsi="宋体" w:eastAsia="宋体" w:cs="宋体"/>
                <w:color w:val="auto"/>
                <w:kern w:val="0"/>
                <w:sz w:val="24"/>
                <w:szCs w:val="24"/>
                <w:lang w:val="en-US" w:eastAsia="zh-CN" w:bidi="ar-SA"/>
              </w:rPr>
              <w:t>好“十四五”主要污</w:t>
            </w:r>
            <w:r>
              <w:rPr>
                <w:rFonts w:hint="default" w:ascii="Times New Roman" w:hAnsi="Times New Roman" w:eastAsia="宋体" w:cs="Times New Roman"/>
                <w:color w:val="auto"/>
                <w:kern w:val="0"/>
                <w:sz w:val="24"/>
                <w:szCs w:val="24"/>
                <w:lang w:val="en-US" w:eastAsia="zh-CN" w:bidi="ar-SA"/>
              </w:rPr>
              <w:t>染物总量减排工作的通知》</w:t>
            </w:r>
            <w:r>
              <w:rPr>
                <w:rFonts w:hint="eastAsia" w:ascii="Times New Roman" w:hAnsi="Times New Roman" w:eastAsia="宋体"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环办综合函〔2021〕323号</w:t>
            </w:r>
            <w:r>
              <w:rPr>
                <w:rFonts w:hint="eastAsia" w:ascii="Times New Roman" w:hAnsi="Times New Roman" w:eastAsia="宋体"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中污染物排放总量控制管理要求，</w:t>
            </w:r>
            <w:r>
              <w:rPr>
                <w:rFonts w:hint="eastAsia" w:ascii="Times New Roman" w:hAnsi="Times New Roman" w:eastAsia="宋体" w:cs="Times New Roman"/>
                <w:color w:val="auto"/>
                <w:kern w:val="0"/>
                <w:sz w:val="24"/>
                <w:szCs w:val="24"/>
                <w:lang w:val="en-US" w:eastAsia="zh-CN" w:bidi="ar-SA"/>
              </w:rPr>
              <w:t>“十四五”期间</w:t>
            </w:r>
            <w:r>
              <w:rPr>
                <w:rFonts w:hint="default" w:ascii="Times New Roman" w:hAnsi="Times New Roman" w:eastAsia="宋体" w:cs="Times New Roman"/>
                <w:color w:val="auto"/>
                <w:kern w:val="0"/>
                <w:sz w:val="24"/>
                <w:szCs w:val="24"/>
                <w:lang w:val="en-US" w:eastAsia="zh-CN" w:bidi="ar-SA"/>
              </w:rPr>
              <w:t>主要控制污染物为氮氧化物、挥发性有机物、化学需氧量、氨氮。</w:t>
            </w:r>
            <w:r>
              <w:rPr>
                <w:rFonts w:hint="default" w:ascii="Times New Roman" w:hAnsi="Times New Roman" w:eastAsia="宋体" w:cs="Times New Roman"/>
                <w:color w:val="auto"/>
                <w:kern w:val="0"/>
                <w:sz w:val="24"/>
                <w:szCs w:val="24"/>
                <w:lang w:val="en-US" w:eastAsia="zh-Hans" w:bidi="ar-SA"/>
              </w:rPr>
              <w:t>结合本项目实际污染物排放情况</w:t>
            </w:r>
            <w:r>
              <w:rPr>
                <w:rFonts w:hint="default" w:ascii="Times New Roman" w:hAnsi="Times New Roman" w:eastAsia="宋体" w:cs="Times New Roman"/>
                <w:color w:val="auto"/>
                <w:kern w:val="0"/>
                <w:sz w:val="24"/>
                <w:szCs w:val="24"/>
                <w:lang w:val="en-US" w:eastAsia="zh-CN" w:bidi="ar-SA"/>
              </w:rPr>
              <w:t>，主要污染物为颗粒物</w:t>
            </w:r>
            <w:r>
              <w:rPr>
                <w:rFonts w:hint="default" w:ascii="Times New Roman" w:hAnsi="Times New Roman" w:eastAsia="宋体" w:cs="Times New Roman"/>
                <w:color w:val="auto"/>
                <w:kern w:val="0"/>
                <w:sz w:val="24"/>
                <w:szCs w:val="24"/>
                <w:lang w:val="en-US" w:eastAsia="zh-Hans" w:bidi="ar-SA"/>
              </w:rPr>
              <w:t>，</w:t>
            </w:r>
            <w:r>
              <w:rPr>
                <w:rFonts w:hint="default" w:ascii="Times New Roman" w:hAnsi="Times New Roman" w:eastAsia="宋体" w:cs="Times New Roman"/>
                <w:color w:val="auto"/>
                <w:kern w:val="0"/>
                <w:sz w:val="24"/>
                <w:szCs w:val="24"/>
                <w:lang w:val="en-US" w:eastAsia="zh-CN" w:bidi="ar-SA"/>
              </w:rPr>
              <w:t>故</w:t>
            </w:r>
            <w:r>
              <w:rPr>
                <w:rFonts w:hint="default" w:ascii="Times New Roman" w:hAnsi="Times New Roman" w:eastAsia="宋体" w:cs="Times New Roman"/>
                <w:color w:val="auto"/>
                <w:kern w:val="0"/>
                <w:sz w:val="24"/>
                <w:szCs w:val="24"/>
                <w:lang w:val="en-US" w:eastAsia="zh-Hans" w:bidi="ar-SA"/>
              </w:rPr>
              <w:t>本项</w:t>
            </w:r>
            <w:r>
              <w:rPr>
                <w:rFonts w:hint="default" w:ascii="Times New Roman" w:hAnsi="Times New Roman" w:eastAsia="宋体" w:cs="Times New Roman"/>
                <w:color w:val="auto"/>
                <w:kern w:val="0"/>
                <w:sz w:val="24"/>
                <w:szCs w:val="24"/>
                <w:lang w:val="en-US" w:eastAsia="zh-CN" w:bidi="ar-SA"/>
              </w:rPr>
              <w:t>目无需申请</w:t>
            </w:r>
            <w:r>
              <w:rPr>
                <w:rFonts w:hint="default" w:ascii="Times New Roman" w:hAnsi="Times New Roman" w:eastAsia="宋体" w:cs="Times New Roman"/>
                <w:color w:val="auto"/>
                <w:kern w:val="0"/>
                <w:sz w:val="24"/>
                <w:szCs w:val="24"/>
                <w:lang w:val="en-US" w:eastAsia="zh-Hans" w:bidi="ar-SA"/>
              </w:rPr>
              <w:t>总量控制指标</w:t>
            </w:r>
            <w:r>
              <w:rPr>
                <w:rFonts w:hint="default" w:ascii="Times New Roman" w:hAnsi="Times New Roman" w:cs="Times New Roman"/>
                <w:color w:val="auto"/>
                <w:kern w:val="0"/>
                <w:sz w:val="24"/>
                <w:szCs w:val="24"/>
                <w:lang w:val="en-US" w:eastAsia="zh-CN"/>
              </w:rPr>
              <w:t>。</w:t>
            </w:r>
          </w:p>
        </w:tc>
      </w:tr>
    </w:tbl>
    <w:p w14:paraId="6F1DB251">
      <w:pPr>
        <w:pStyle w:val="18"/>
        <w:keepNext w:val="0"/>
        <w:keepLines w:val="0"/>
        <w:pageBreakBefore w:val="0"/>
        <w:widowControl/>
        <w:kinsoku/>
        <w:wordWrap/>
        <w:overflowPunct/>
        <w:topLinePunct w:val="0"/>
        <w:autoSpaceDE/>
        <w:autoSpaceDN/>
        <w:bidi w:val="0"/>
        <w:adjustRightInd/>
        <w:snapToGrid/>
        <w:spacing w:before="0" w:beforeAutospacing="0" w:after="313" w:afterLines="100" w:afterAutospacing="0"/>
        <w:jc w:val="center"/>
        <w:textAlignment w:val="auto"/>
        <w:outlineLvl w:val="0"/>
        <w:rPr>
          <w:rFonts w:hint="eastAsia" w:ascii="宋体" w:hAnsi="宋体" w:eastAsia="宋体" w:cs="宋体"/>
          <w:snapToGrid w:val="0"/>
          <w:color w:val="auto"/>
          <w:sz w:val="30"/>
          <w:szCs w:val="30"/>
          <w:highlight w:val="none"/>
        </w:rPr>
      </w:pPr>
      <w:r>
        <w:rPr>
          <w:rFonts w:hint="default" w:ascii="Times New Roman" w:hAnsi="Times New Roman" w:eastAsia="黑体" w:cs="Times New Roman"/>
          <w:snapToGrid w:val="0"/>
          <w:color w:val="auto"/>
          <w:sz w:val="36"/>
          <w:szCs w:val="36"/>
          <w:highlight w:val="none"/>
        </w:rPr>
        <w:br w:type="page"/>
      </w:r>
      <w:bookmarkStart w:id="35" w:name="_Toc2802"/>
      <w:bookmarkStart w:id="36" w:name="_Toc12897"/>
      <w:bookmarkStart w:id="37" w:name="_Toc17403"/>
      <w:bookmarkStart w:id="38" w:name="_Toc15567"/>
      <w:r>
        <w:rPr>
          <w:rFonts w:hint="eastAsia" w:ascii="宋体" w:hAnsi="宋体" w:eastAsia="宋体" w:cs="宋体"/>
          <w:snapToGrid w:val="0"/>
          <w:color w:val="auto"/>
          <w:sz w:val="30"/>
          <w:szCs w:val="30"/>
          <w:highlight w:val="none"/>
        </w:rPr>
        <w:t>四、主要环境影响和保护措施</w:t>
      </w:r>
      <w:bookmarkEnd w:id="35"/>
      <w:bookmarkEnd w:id="36"/>
      <w:bookmarkEnd w:id="37"/>
      <w:bookmarkEnd w:id="38"/>
    </w:p>
    <w:tbl>
      <w:tblPr>
        <w:tblStyle w:val="20"/>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42"/>
        <w:gridCol w:w="9096"/>
      </w:tblGrid>
      <w:tr w14:paraId="2EF087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11" w:hRule="atLeast"/>
          <w:jc w:val="center"/>
        </w:trPr>
        <w:tc>
          <w:tcPr>
            <w:tcW w:w="635" w:type="dxa"/>
            <w:tcMar>
              <w:left w:w="28" w:type="dxa"/>
              <w:right w:w="28" w:type="dxa"/>
            </w:tcMar>
            <w:vAlign w:val="center"/>
          </w:tcPr>
          <w:p w14:paraId="44C98A09">
            <w:pPr>
              <w:pStyle w:val="18"/>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施工</w:t>
            </w:r>
          </w:p>
          <w:p w14:paraId="27D59C08">
            <w:pPr>
              <w:pStyle w:val="18"/>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期环</w:t>
            </w:r>
          </w:p>
          <w:p w14:paraId="4A9CBEF1">
            <w:pPr>
              <w:pStyle w:val="18"/>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境保</w:t>
            </w:r>
          </w:p>
          <w:p w14:paraId="4089C4AE">
            <w:pPr>
              <w:pStyle w:val="18"/>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护措</w:t>
            </w:r>
          </w:p>
          <w:p w14:paraId="587FD021">
            <w:pPr>
              <w:pStyle w:val="18"/>
              <w:adjustRightInd w:val="0"/>
              <w:snapToGrid w:val="0"/>
              <w:spacing w:before="0" w:beforeAutospacing="0" w:after="0" w:afterAutospacing="0"/>
              <w:jc w:val="center"/>
              <w:rPr>
                <w:rFonts w:hint="default" w:ascii="Times New Roman" w:hAnsi="Times New Roman" w:cs="Times New Roman"/>
                <w:bCs/>
                <w:color w:val="auto"/>
                <w:kern w:val="2"/>
                <w:szCs w:val="24"/>
                <w:highlight w:val="none"/>
              </w:rPr>
            </w:pPr>
            <w:r>
              <w:rPr>
                <w:rFonts w:hint="default" w:ascii="Times New Roman" w:hAnsi="Times New Roman" w:cs="Times New Roman"/>
                <w:color w:val="auto"/>
                <w:kern w:val="2"/>
                <w:szCs w:val="24"/>
                <w:highlight w:val="none"/>
              </w:rPr>
              <w:t>施</w:t>
            </w:r>
          </w:p>
        </w:tc>
        <w:tc>
          <w:tcPr>
            <w:tcW w:w="9003" w:type="dxa"/>
            <w:vAlign w:val="top"/>
          </w:tcPr>
          <w:p w14:paraId="022EBD62">
            <w:pPr>
              <w:numPr>
                <w:ilvl w:val="0"/>
                <w:numId w:val="0"/>
              </w:numPr>
              <w:adjustRightInd w:val="0"/>
              <w:snapToGrid w:val="0"/>
              <w:spacing w:line="360" w:lineRule="auto"/>
              <w:jc w:val="both"/>
              <w:rPr>
                <w:rFonts w:hint="default" w:ascii="Times New Roman" w:hAnsi="Times New Roman" w:cs="Times New Roman"/>
                <w:b/>
                <w:color w:val="auto"/>
                <w:sz w:val="24"/>
                <w:szCs w:val="28"/>
                <w:highlight w:val="none"/>
              </w:rPr>
            </w:pPr>
            <w:r>
              <w:rPr>
                <w:rFonts w:hint="default" w:ascii="Times New Roman" w:hAnsi="Times New Roman" w:eastAsia="宋体" w:cs="Times New Roman"/>
                <w:b/>
                <w:color w:val="auto"/>
                <w:kern w:val="2"/>
                <w:sz w:val="24"/>
                <w:szCs w:val="28"/>
                <w:lang w:val="en-US" w:eastAsia="zh-CN" w:bidi="ar-SA"/>
              </w:rPr>
              <w:t>1、</w:t>
            </w:r>
            <w:r>
              <w:rPr>
                <w:rFonts w:hint="default" w:ascii="Times New Roman" w:hAnsi="Times New Roman" w:cs="Times New Roman"/>
                <w:b/>
                <w:color w:val="auto"/>
                <w:sz w:val="24"/>
                <w:szCs w:val="28"/>
                <w:highlight w:val="none"/>
              </w:rPr>
              <w:t>施工扬尘</w:t>
            </w:r>
          </w:p>
          <w:p w14:paraId="3F848B31">
            <w:pPr>
              <w:adjustRightInd w:val="0"/>
              <w:snapToGri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为了减少施工期的环境空气污染，施工现场周边应设置围挡，对施工现场内的施工道路进行硬质覆盖；</w:t>
            </w:r>
            <w:r>
              <w:rPr>
                <w:rFonts w:hint="default" w:ascii="Times New Roman" w:hAnsi="Times New Roman" w:cs="Times New Roman"/>
                <w:color w:val="auto"/>
                <w:sz w:val="24"/>
                <w:highlight w:val="none"/>
                <w:lang w:val="en-US" w:eastAsia="zh-CN"/>
              </w:rPr>
              <w:t>施工</w:t>
            </w:r>
            <w:r>
              <w:rPr>
                <w:rFonts w:hint="default" w:ascii="Times New Roman" w:hAnsi="Times New Roman" w:cs="Times New Roman"/>
                <w:color w:val="auto"/>
                <w:sz w:val="24"/>
                <w:highlight w:val="none"/>
              </w:rPr>
              <w:t>材料</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如砂石等</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采取遮盖措施；建筑材料运输车要用苫布盖好；现场装卸产生扬尘的物质、清理平整场地等活动时应当采取湿式作业等有效防尘措施。施工单位应当按照有关规定使用预拌混凝土，不得擅自在施工现场搅拌混凝土。施工车辆必须装有尾气净化装置，使污染降到最低。严格执行文明施工，建筑材料不允许乱堆乱放，弃土石渣每天清除。</w:t>
            </w:r>
            <w:r>
              <w:rPr>
                <w:rFonts w:hint="default" w:ascii="Times New Roman" w:hAnsi="Times New Roman" w:cs="Times New Roman"/>
                <w:color w:val="auto"/>
                <w:sz w:val="24"/>
                <w:highlight w:val="none"/>
                <w:lang w:val="en-US" w:eastAsia="zh-CN"/>
              </w:rPr>
              <w:t>在落实以上措施后，施工期废气</w:t>
            </w:r>
            <w:r>
              <w:rPr>
                <w:rFonts w:hint="default" w:ascii="Times New Roman" w:hAnsi="Times New Roman" w:cs="Times New Roman"/>
                <w:bCs/>
                <w:color w:val="auto"/>
                <w:sz w:val="24"/>
                <w:highlight w:val="none"/>
              </w:rPr>
              <w:t>排放浓度</w:t>
            </w:r>
            <w:r>
              <w:rPr>
                <w:rFonts w:hint="default" w:ascii="Times New Roman" w:hAnsi="Times New Roman" w:cs="Times New Roman"/>
                <w:bCs/>
                <w:color w:val="auto"/>
                <w:sz w:val="24"/>
                <w:highlight w:val="none"/>
                <w:lang w:val="en-US" w:eastAsia="zh-CN"/>
              </w:rPr>
              <w:t>能够</w:t>
            </w:r>
            <w:r>
              <w:rPr>
                <w:rFonts w:hint="default" w:ascii="Times New Roman" w:hAnsi="Times New Roman" w:cs="Times New Roman"/>
                <w:bCs/>
                <w:color w:val="auto"/>
                <w:sz w:val="24"/>
                <w:highlight w:val="none"/>
              </w:rPr>
              <w:t>满足《大气污染物综合排放标准》（GB16297-1996）表2中的无组织排放限值，对周围环境影响较小</w:t>
            </w:r>
            <w:r>
              <w:rPr>
                <w:rFonts w:hint="default" w:ascii="Times New Roman" w:hAnsi="Times New Roman" w:cs="Times New Roman"/>
                <w:bCs/>
                <w:color w:val="auto"/>
                <w:sz w:val="24"/>
                <w:highlight w:val="none"/>
                <w:lang w:eastAsia="zh-CN"/>
              </w:rPr>
              <w:t>。</w:t>
            </w:r>
          </w:p>
          <w:p w14:paraId="23D841FE">
            <w:pPr>
              <w:numPr>
                <w:ilvl w:val="0"/>
                <w:numId w:val="0"/>
              </w:numPr>
              <w:adjustRightInd w:val="0"/>
              <w:snapToGrid w:val="0"/>
              <w:spacing w:line="360" w:lineRule="auto"/>
              <w:jc w:val="both"/>
              <w:rPr>
                <w:rFonts w:hint="default" w:ascii="Times New Roman" w:hAnsi="Times New Roman" w:cs="Times New Roman"/>
                <w:b/>
                <w:color w:val="auto"/>
                <w:sz w:val="24"/>
                <w:szCs w:val="28"/>
                <w:highlight w:val="none"/>
              </w:rPr>
            </w:pPr>
            <w:r>
              <w:rPr>
                <w:rFonts w:hint="default" w:ascii="Times New Roman" w:hAnsi="Times New Roman" w:eastAsia="宋体" w:cs="Times New Roman"/>
                <w:b/>
                <w:color w:val="auto"/>
                <w:kern w:val="2"/>
                <w:sz w:val="24"/>
                <w:szCs w:val="28"/>
                <w:lang w:val="en-US" w:eastAsia="zh-CN" w:bidi="ar-SA"/>
              </w:rPr>
              <w:t>2、</w:t>
            </w:r>
            <w:r>
              <w:rPr>
                <w:rFonts w:hint="default" w:ascii="Times New Roman" w:hAnsi="Times New Roman" w:cs="Times New Roman"/>
                <w:b/>
                <w:color w:val="auto"/>
                <w:sz w:val="24"/>
                <w:szCs w:val="28"/>
                <w:highlight w:val="none"/>
              </w:rPr>
              <w:t>废水</w:t>
            </w:r>
          </w:p>
          <w:p w14:paraId="3C205400">
            <w:pPr>
              <w:spacing w:line="360" w:lineRule="auto"/>
              <w:ind w:firstLine="480" w:firstLineChars="200"/>
              <w:jc w:val="both"/>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lang w:val="en-US" w:eastAsia="zh-CN"/>
              </w:rPr>
              <w:t>施工废水主要包括施工人员的生活污水，以及运输车辆轮胎的冲洗废水。生活污水将排入临时防渗旱厕，定期清掏外运进行堆肥处理，不外排。施工期间设置临时洗车区域及沉淀池，运输车辆轮胎的冲洗废水排入沉淀池，经沉淀后全部回用于混凝土养护、场地洒水降尘等环节，做到废水不外排，施工</w:t>
            </w:r>
            <w:r>
              <w:rPr>
                <w:rFonts w:hint="eastAsia" w:cs="Times New Roman"/>
                <w:color w:val="auto"/>
                <w:sz w:val="24"/>
                <w:highlight w:val="none"/>
                <w:lang w:val="en-US" w:eastAsia="zh-CN"/>
              </w:rPr>
              <w:t>期间</w:t>
            </w:r>
            <w:r>
              <w:rPr>
                <w:rFonts w:hint="default" w:ascii="Times New Roman" w:hAnsi="Times New Roman" w:cs="Times New Roman"/>
                <w:color w:val="auto"/>
                <w:sz w:val="24"/>
                <w:highlight w:val="none"/>
                <w:lang w:val="en-US" w:eastAsia="zh-CN"/>
              </w:rPr>
              <w:t>所产生的废水均能妥善处理，不会对周边环境造成不良影响。</w:t>
            </w:r>
          </w:p>
          <w:p w14:paraId="2F11D542">
            <w:pPr>
              <w:numPr>
                <w:ilvl w:val="0"/>
                <w:numId w:val="0"/>
              </w:numPr>
              <w:adjustRightInd w:val="0"/>
              <w:snapToGrid w:val="0"/>
              <w:spacing w:line="360" w:lineRule="auto"/>
              <w:jc w:val="both"/>
              <w:rPr>
                <w:rFonts w:hint="default" w:ascii="Times New Roman" w:hAnsi="Times New Roman" w:cs="Times New Roman"/>
                <w:b/>
                <w:color w:val="auto"/>
                <w:sz w:val="24"/>
                <w:szCs w:val="28"/>
                <w:highlight w:val="none"/>
              </w:rPr>
            </w:pPr>
            <w:r>
              <w:rPr>
                <w:rFonts w:hint="default" w:ascii="Times New Roman" w:hAnsi="Times New Roman" w:eastAsia="宋体" w:cs="Times New Roman"/>
                <w:b/>
                <w:color w:val="auto"/>
                <w:kern w:val="2"/>
                <w:sz w:val="24"/>
                <w:szCs w:val="28"/>
                <w:lang w:val="en-US" w:eastAsia="zh-CN" w:bidi="ar-SA"/>
              </w:rPr>
              <w:t>3、</w:t>
            </w:r>
            <w:r>
              <w:rPr>
                <w:rFonts w:hint="default" w:ascii="Times New Roman" w:hAnsi="Times New Roman" w:cs="Times New Roman"/>
                <w:b/>
                <w:color w:val="auto"/>
                <w:sz w:val="24"/>
                <w:szCs w:val="28"/>
                <w:highlight w:val="none"/>
              </w:rPr>
              <w:t>噪声</w:t>
            </w:r>
          </w:p>
          <w:p w14:paraId="7CC4AD14">
            <w:pPr>
              <w:adjustRightInd w:val="0"/>
              <w:snapToGri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施工过程中要做到文明施工，施工机械要采取减振措施，使用低噪声设备</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如高噪声的施工设备圆锯等必须封闭使用或四周加设隔声屏障，杜绝夜间施工现象。采取上述措施，施工场界噪声能够达到《建筑施工场界环境噪声排放标准》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GB12523-2011</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标准值，故施工期噪声对周围环境影响会减小。</w:t>
            </w:r>
          </w:p>
          <w:p w14:paraId="078E9B39">
            <w:pPr>
              <w:numPr>
                <w:ilvl w:val="0"/>
                <w:numId w:val="0"/>
              </w:numPr>
              <w:adjustRightInd w:val="0"/>
              <w:snapToGrid w:val="0"/>
              <w:spacing w:line="360" w:lineRule="auto"/>
              <w:jc w:val="both"/>
              <w:rPr>
                <w:rFonts w:hint="default" w:ascii="Times New Roman" w:hAnsi="Times New Roman" w:cs="Times New Roman"/>
                <w:b/>
                <w:color w:val="auto"/>
                <w:sz w:val="24"/>
                <w:szCs w:val="28"/>
                <w:highlight w:val="none"/>
              </w:rPr>
            </w:pPr>
            <w:r>
              <w:rPr>
                <w:rFonts w:hint="default" w:ascii="Times New Roman" w:hAnsi="Times New Roman" w:eastAsia="宋体" w:cs="Times New Roman"/>
                <w:b/>
                <w:color w:val="auto"/>
                <w:kern w:val="2"/>
                <w:sz w:val="24"/>
                <w:szCs w:val="28"/>
                <w:lang w:val="en-US" w:eastAsia="zh-CN" w:bidi="ar-SA"/>
              </w:rPr>
              <w:t>4、</w:t>
            </w:r>
            <w:r>
              <w:rPr>
                <w:rFonts w:hint="default" w:ascii="Times New Roman" w:hAnsi="Times New Roman" w:cs="Times New Roman"/>
                <w:b/>
                <w:color w:val="auto"/>
                <w:sz w:val="24"/>
                <w:szCs w:val="28"/>
                <w:highlight w:val="none"/>
              </w:rPr>
              <w:t>固废</w:t>
            </w:r>
          </w:p>
          <w:p w14:paraId="403E8320">
            <w:pPr>
              <w:adjustRightInd w:val="0"/>
              <w:snapToGrid w:val="0"/>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建筑垃圾及生活垃圾要随产随清，驶出施工现场的车辆，应清除轮胎上的泥土。将建筑垃圾运至市政指定地点倾倒，生活垃圾及时清运至指定地点</w:t>
            </w:r>
            <w:r>
              <w:rPr>
                <w:rFonts w:hint="default" w:ascii="Times New Roman" w:hAnsi="Times New Roman" w:cs="Times New Roman"/>
                <w:color w:val="auto"/>
                <w:sz w:val="24"/>
                <w:highlight w:val="none"/>
                <w:lang w:eastAsia="zh-CN"/>
              </w:rPr>
              <w:t>。</w:t>
            </w:r>
          </w:p>
        </w:tc>
      </w:tr>
      <w:tr w14:paraId="0972A5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94" w:hRule="atLeast"/>
          <w:jc w:val="center"/>
        </w:trPr>
        <w:tc>
          <w:tcPr>
            <w:tcW w:w="635" w:type="dxa"/>
            <w:tcMar>
              <w:left w:w="28" w:type="dxa"/>
              <w:right w:w="28" w:type="dxa"/>
            </w:tcMar>
            <w:vAlign w:val="center"/>
          </w:tcPr>
          <w:p w14:paraId="251F5204">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运营</w:t>
            </w:r>
          </w:p>
          <w:p w14:paraId="3DFC282C">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期环</w:t>
            </w:r>
          </w:p>
          <w:p w14:paraId="1D676A0B">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境影</w:t>
            </w:r>
          </w:p>
          <w:p w14:paraId="3215D68B">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响和</w:t>
            </w:r>
          </w:p>
          <w:p w14:paraId="28554E6F">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保护</w:t>
            </w:r>
          </w:p>
          <w:p w14:paraId="0F4E940F">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措施</w:t>
            </w:r>
          </w:p>
        </w:tc>
        <w:tc>
          <w:tcPr>
            <w:tcW w:w="9003" w:type="dxa"/>
          </w:tcPr>
          <w:p w14:paraId="7DA3ECC0">
            <w:pPr>
              <w:adjustRightInd w:val="0"/>
              <w:snapToGrid w:val="0"/>
              <w:spacing w:line="360" w:lineRule="auto"/>
              <w:rPr>
                <w:rFonts w:hint="default" w:ascii="Times New Roman" w:hAnsi="Times New Roman" w:cs="Times New Roman"/>
                <w:color w:val="auto"/>
                <w:highlight w:val="none"/>
              </w:rPr>
            </w:pPr>
            <w:r>
              <w:rPr>
                <w:rFonts w:hint="default" w:ascii="Times New Roman" w:hAnsi="Times New Roman" w:cs="Times New Roman"/>
                <w:b/>
                <w:color w:val="auto"/>
                <w:sz w:val="24"/>
                <w:highlight w:val="none"/>
              </w:rPr>
              <w:t>1、废气</w:t>
            </w:r>
          </w:p>
          <w:p w14:paraId="6034F60F">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）项目废气污染源</w:t>
            </w:r>
          </w:p>
          <w:p w14:paraId="502F2C0D">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①</w:t>
            </w:r>
            <w:r>
              <w:rPr>
                <w:rFonts w:hint="default" w:ascii="Times New Roman" w:hAnsi="Times New Roman" w:cs="Times New Roman"/>
                <w:bCs/>
                <w:color w:val="auto"/>
                <w:sz w:val="24"/>
                <w:highlight w:val="none"/>
                <w:lang w:val="en-US" w:eastAsia="zh-CN"/>
              </w:rPr>
              <w:t>储煤场装卸、堆存扬尘。</w:t>
            </w:r>
          </w:p>
          <w:p w14:paraId="285AB2B5">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本项目原料及产品堆存和装卸时会产生无组织颗粒物，根据</w:t>
            </w:r>
            <w:r>
              <w:rPr>
                <w:rFonts w:hint="default" w:ascii="Times New Roman" w:hAnsi="Times New Roman" w:eastAsia="宋体" w:cs="Times New Roman"/>
                <w:color w:val="auto"/>
                <w:sz w:val="24"/>
                <w:szCs w:val="24"/>
              </w:rPr>
              <w:t>《排放源统计调查产排污核算方法和系数手册》</w:t>
            </w:r>
            <w:r>
              <w:rPr>
                <w:rFonts w:hint="default" w:ascii="Times New Roman" w:hAnsi="Times New Roman" w:eastAsia="宋体" w:cs="Times New Roman"/>
                <w:color w:val="auto"/>
                <w:sz w:val="24"/>
                <w:szCs w:val="24"/>
                <w:lang w:eastAsia="zh-CN"/>
              </w:rPr>
              <w:t>附表</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kern w:val="0"/>
                <w:sz w:val="24"/>
                <w:szCs w:val="24"/>
              </w:rPr>
              <w:t>《工业源固体物料堆场颗粒物核算系数手册》，工业企业固体物料堆存颗粒物包括装卸扬尘和风蚀扬尘，颗粒物产生量核算公式如下：</w:t>
            </w:r>
          </w:p>
          <w:p w14:paraId="0E5D4030">
            <w:pPr>
              <w:keepNext w:val="0"/>
              <w:keepLines w:val="0"/>
              <w:pageBreakBefore w:val="0"/>
              <w:kinsoku/>
              <w:wordWrap/>
              <w:overflowPunct/>
              <w:topLinePunct w:val="0"/>
              <w:autoSpaceDE/>
              <w:autoSpaceDN/>
              <w:bidi w:val="0"/>
              <w:spacing w:line="360" w:lineRule="auto"/>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114300" distR="114300">
                  <wp:extent cx="4019550" cy="447675"/>
                  <wp:effectExtent l="0" t="0" r="0" b="9525"/>
                  <wp:docPr id="35" name="图片 35" descr="167937711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679377115864"/>
                          <pic:cNvPicPr>
                            <a:picLocks noChangeAspect="1"/>
                          </pic:cNvPicPr>
                        </pic:nvPicPr>
                        <pic:blipFill>
                          <a:blip r:embed="rId22"/>
                          <a:stretch>
                            <a:fillRect/>
                          </a:stretch>
                        </pic:blipFill>
                        <pic:spPr>
                          <a:xfrm>
                            <a:off x="0" y="0"/>
                            <a:ext cx="4019550" cy="447675"/>
                          </a:xfrm>
                          <a:prstGeom prst="rect">
                            <a:avLst/>
                          </a:prstGeom>
                        </pic:spPr>
                      </pic:pic>
                    </a:graphicData>
                  </a:graphic>
                </wp:inline>
              </w:drawing>
            </w:r>
          </w:p>
          <w:p w14:paraId="7D7FE44E">
            <w:pPr>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式中：P指颗粒物产生量（单位：吨）；</w:t>
            </w:r>
          </w:p>
          <w:p w14:paraId="0967B293">
            <w:pPr>
              <w:keepNext w:val="0"/>
              <w:keepLines w:val="0"/>
              <w:pageBreakBefore w:val="0"/>
              <w:kinsoku/>
              <w:wordWrap/>
              <w:overflowPunct/>
              <w:topLinePunct w:val="0"/>
              <w:autoSpaceDE/>
              <w:autoSpaceDN/>
              <w:bidi w:val="0"/>
              <w:spacing w:line="360" w:lineRule="auto"/>
              <w:ind w:firstLine="720" w:firstLineChars="3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ZC</w:t>
            </w:r>
            <w:r>
              <w:rPr>
                <w:rFonts w:hint="default" w:ascii="Times New Roman" w:hAnsi="Times New Roman" w:eastAsia="宋体" w:cs="Times New Roman"/>
                <w:color w:val="auto"/>
                <w:kern w:val="0"/>
                <w:sz w:val="24"/>
                <w:szCs w:val="24"/>
                <w:vertAlign w:val="subscript"/>
              </w:rPr>
              <w:t>y</w:t>
            </w:r>
            <w:r>
              <w:rPr>
                <w:rFonts w:hint="default" w:ascii="Times New Roman" w:hAnsi="Times New Roman" w:eastAsia="宋体" w:cs="Times New Roman"/>
                <w:color w:val="auto"/>
                <w:kern w:val="0"/>
                <w:sz w:val="24"/>
                <w:szCs w:val="24"/>
              </w:rPr>
              <w:t>指装卸扬尘产生量（单位：吨）；</w:t>
            </w:r>
          </w:p>
          <w:p w14:paraId="1B7D3BB6">
            <w:pPr>
              <w:keepNext w:val="0"/>
              <w:keepLines w:val="0"/>
              <w:pageBreakBefore w:val="0"/>
              <w:kinsoku/>
              <w:wordWrap/>
              <w:overflowPunct/>
              <w:topLinePunct w:val="0"/>
              <w:autoSpaceDE/>
              <w:autoSpaceDN/>
              <w:bidi w:val="0"/>
              <w:spacing w:line="360" w:lineRule="auto"/>
              <w:ind w:firstLine="720" w:firstLineChars="3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FC</w:t>
            </w:r>
            <w:r>
              <w:rPr>
                <w:rFonts w:hint="default" w:ascii="Times New Roman" w:hAnsi="Times New Roman" w:eastAsia="宋体" w:cs="Times New Roman"/>
                <w:color w:val="auto"/>
                <w:kern w:val="0"/>
                <w:sz w:val="24"/>
                <w:szCs w:val="24"/>
                <w:vertAlign w:val="subscript"/>
              </w:rPr>
              <w:t>y</w:t>
            </w:r>
            <w:r>
              <w:rPr>
                <w:rFonts w:hint="default" w:ascii="Times New Roman" w:hAnsi="Times New Roman" w:eastAsia="宋体" w:cs="Times New Roman"/>
                <w:color w:val="auto"/>
                <w:kern w:val="0"/>
                <w:sz w:val="24"/>
                <w:szCs w:val="24"/>
              </w:rPr>
              <w:t>指风蚀扬尘产生量（单位：吨）；</w:t>
            </w:r>
          </w:p>
          <w:p w14:paraId="2D414848">
            <w:pPr>
              <w:keepNext w:val="0"/>
              <w:keepLines w:val="0"/>
              <w:pageBreakBefore w:val="0"/>
              <w:kinsoku/>
              <w:wordWrap/>
              <w:overflowPunct/>
              <w:topLinePunct w:val="0"/>
              <w:autoSpaceDE/>
              <w:autoSpaceDN/>
              <w:bidi w:val="0"/>
              <w:spacing w:line="360" w:lineRule="auto"/>
              <w:ind w:firstLine="720" w:firstLineChars="3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N</w:t>
            </w:r>
            <w:r>
              <w:rPr>
                <w:rFonts w:hint="default" w:ascii="Times New Roman" w:hAnsi="Times New Roman" w:eastAsia="宋体" w:cs="Times New Roman"/>
                <w:color w:val="auto"/>
                <w:kern w:val="0"/>
                <w:sz w:val="24"/>
                <w:szCs w:val="24"/>
                <w:vertAlign w:val="subscript"/>
              </w:rPr>
              <w:t>c</w:t>
            </w:r>
            <w:r>
              <w:rPr>
                <w:rFonts w:hint="default" w:ascii="Times New Roman" w:hAnsi="Times New Roman" w:eastAsia="宋体" w:cs="Times New Roman"/>
                <w:color w:val="auto"/>
                <w:kern w:val="0"/>
                <w:sz w:val="24"/>
                <w:szCs w:val="24"/>
              </w:rPr>
              <w:t>指年物料运载车次（单位：车）；</w:t>
            </w:r>
          </w:p>
          <w:p w14:paraId="7BF8C5E4">
            <w:pPr>
              <w:keepNext w:val="0"/>
              <w:keepLines w:val="0"/>
              <w:pageBreakBefore w:val="0"/>
              <w:kinsoku/>
              <w:wordWrap/>
              <w:overflowPunct/>
              <w:topLinePunct w:val="0"/>
              <w:autoSpaceDE/>
              <w:autoSpaceDN/>
              <w:bidi w:val="0"/>
              <w:spacing w:line="360" w:lineRule="auto"/>
              <w:ind w:firstLine="720" w:firstLineChars="3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D指单车平均运载量（单位：吨/车）；</w:t>
            </w:r>
          </w:p>
          <w:p w14:paraId="4DD035C2">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（a/b）指装卸扬尘概化系数</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单位：千克/吨</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，a指各省风速概化系数，见附录1，b指物料含水率概化系数，见附录2；</w:t>
            </w:r>
          </w:p>
          <w:p w14:paraId="44EA0168">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E</w:t>
            </w:r>
            <w:r>
              <w:rPr>
                <w:rFonts w:hint="default" w:ascii="Times New Roman" w:hAnsi="Times New Roman" w:eastAsia="宋体" w:cs="Times New Roman"/>
                <w:color w:val="auto"/>
                <w:kern w:val="0"/>
                <w:sz w:val="24"/>
                <w:szCs w:val="24"/>
                <w:vertAlign w:val="subscript"/>
              </w:rPr>
              <w:t>f</w:t>
            </w:r>
            <w:r>
              <w:rPr>
                <w:rFonts w:hint="default" w:ascii="Times New Roman" w:hAnsi="Times New Roman" w:eastAsia="宋体" w:cs="Times New Roman"/>
                <w:color w:val="auto"/>
                <w:kern w:val="0"/>
                <w:sz w:val="24"/>
                <w:szCs w:val="24"/>
              </w:rPr>
              <w:t>指堆场风蚀扬尘概化系数，见附录3</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单位：千克/平方米</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w:t>
            </w:r>
          </w:p>
          <w:p w14:paraId="148BCB85">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S指堆场占地面积</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单位：平方米</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w:t>
            </w:r>
          </w:p>
          <w:p w14:paraId="4099263C">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本项目D煤炭装载车单车平均运载量为</w:t>
            </w:r>
            <w:r>
              <w:rPr>
                <w:rFonts w:hint="default" w:ascii="Times New Roman" w:hAnsi="Times New Roman" w:cs="Times New Roman"/>
                <w:color w:val="auto"/>
                <w:sz w:val="24"/>
                <w:szCs w:val="24"/>
                <w:lang w:val="en-US" w:eastAsia="zh-CN"/>
              </w:rPr>
              <w:t>30</w:t>
            </w:r>
            <w:r>
              <w:rPr>
                <w:rFonts w:hint="default" w:ascii="Times New Roman" w:hAnsi="Times New Roman" w:eastAsia="宋体" w:cs="Times New Roman"/>
                <w:color w:val="auto"/>
                <w:sz w:val="24"/>
                <w:szCs w:val="24"/>
              </w:rPr>
              <w:t>吨/车，</w:t>
            </w:r>
            <w:r>
              <w:rPr>
                <w:rFonts w:hint="default" w:ascii="Times New Roman" w:hAnsi="Times New Roman" w:eastAsia="宋体" w:cs="Times New Roman"/>
                <w:color w:val="auto"/>
                <w:kern w:val="0"/>
                <w:sz w:val="24"/>
                <w:szCs w:val="24"/>
              </w:rPr>
              <w:t>N</w:t>
            </w:r>
            <w:r>
              <w:rPr>
                <w:rFonts w:hint="default" w:ascii="Times New Roman" w:hAnsi="Times New Roman" w:eastAsia="宋体" w:cs="Times New Roman"/>
                <w:color w:val="auto"/>
                <w:kern w:val="0"/>
                <w:sz w:val="24"/>
                <w:szCs w:val="24"/>
                <w:vertAlign w:val="subscript"/>
              </w:rPr>
              <w:t>c</w:t>
            </w:r>
            <w:r>
              <w:rPr>
                <w:rFonts w:hint="default" w:ascii="Times New Roman" w:hAnsi="Times New Roman" w:eastAsia="宋体" w:cs="Times New Roman"/>
                <w:color w:val="auto"/>
                <w:sz w:val="24"/>
                <w:szCs w:val="24"/>
              </w:rPr>
              <w:t>年物料运载车次为</w:t>
            </w:r>
            <w:r>
              <w:rPr>
                <w:rFonts w:hint="eastAsia" w:cs="Times New Roman"/>
                <w:color w:val="auto"/>
                <w:sz w:val="24"/>
                <w:szCs w:val="24"/>
                <w:lang w:val="en-US" w:eastAsia="zh-CN"/>
              </w:rPr>
              <w:t>1500</w:t>
            </w:r>
            <w:r>
              <w:rPr>
                <w:rFonts w:hint="default" w:ascii="Times New Roman" w:hAnsi="Times New Roman" w:eastAsia="宋体" w:cs="Times New Roman"/>
                <w:color w:val="auto"/>
                <w:sz w:val="24"/>
                <w:szCs w:val="24"/>
              </w:rPr>
              <w:t>车，根据附录1，黑龙江省a取0.0015；本项目堆场物料为煤炭，参考附录2煤炭，b取0.0054；根据附录3，</w:t>
            </w:r>
            <w:r>
              <w:rPr>
                <w:rFonts w:hint="default" w:ascii="Times New Roman" w:hAnsi="Times New Roman" w:eastAsia="宋体" w:cs="Times New Roman"/>
                <w:color w:val="auto"/>
                <w:kern w:val="0"/>
                <w:sz w:val="24"/>
                <w:szCs w:val="24"/>
              </w:rPr>
              <w:t>E</w:t>
            </w:r>
            <w:r>
              <w:rPr>
                <w:rFonts w:hint="default" w:ascii="Times New Roman" w:hAnsi="Times New Roman" w:eastAsia="宋体" w:cs="Times New Roman"/>
                <w:color w:val="auto"/>
                <w:kern w:val="0"/>
                <w:sz w:val="24"/>
                <w:szCs w:val="24"/>
                <w:vertAlign w:val="subscript"/>
              </w:rPr>
              <w:t>f</w:t>
            </w:r>
            <w:r>
              <w:rPr>
                <w:rFonts w:hint="default" w:ascii="Times New Roman" w:hAnsi="Times New Roman" w:eastAsia="宋体" w:cs="Times New Roman"/>
                <w:color w:val="auto"/>
                <w:sz w:val="24"/>
                <w:szCs w:val="24"/>
              </w:rPr>
              <w:t>风蚀概化系数取31.1418，</w:t>
            </w:r>
            <w:r>
              <w:rPr>
                <w:rFonts w:hint="default" w:ascii="Times New Roman" w:hAnsi="Times New Roman" w:eastAsia="宋体" w:cs="Times New Roman"/>
                <w:color w:val="auto"/>
                <w:kern w:val="0"/>
                <w:sz w:val="24"/>
                <w:szCs w:val="24"/>
              </w:rPr>
              <w:t>S</w:t>
            </w:r>
            <w:r>
              <w:rPr>
                <w:rFonts w:hint="default" w:ascii="Times New Roman" w:hAnsi="Times New Roman" w:eastAsia="宋体" w:cs="Times New Roman"/>
                <w:color w:val="auto"/>
                <w:sz w:val="24"/>
                <w:szCs w:val="24"/>
              </w:rPr>
              <w:t>堆场占地面积取</w:t>
            </w:r>
            <w:r>
              <w:rPr>
                <w:rFonts w:hint="eastAsia" w:cs="Times New Roman"/>
                <w:color w:val="auto"/>
                <w:sz w:val="24"/>
                <w:szCs w:val="24"/>
                <w:lang w:val="en-US" w:eastAsia="zh-CN"/>
              </w:rPr>
              <w:t>10141</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，经计算，</w:t>
            </w:r>
            <w:r>
              <w:rPr>
                <w:rFonts w:hint="default" w:ascii="Times New Roman" w:hAnsi="Times New Roman" w:cs="Times New Roman"/>
                <w:color w:val="auto"/>
                <w:sz w:val="24"/>
                <w:szCs w:val="24"/>
                <w:lang w:val="en-US" w:eastAsia="zh-CN"/>
              </w:rPr>
              <w:t>装卸扬尘产生量为</w:t>
            </w:r>
            <w:r>
              <w:rPr>
                <w:rFonts w:hint="eastAsia" w:cs="Times New Roman"/>
                <w:color w:val="auto"/>
                <w:sz w:val="24"/>
                <w:szCs w:val="24"/>
                <w:lang w:val="en-US" w:eastAsia="zh-CN"/>
              </w:rPr>
              <w:t>12.5</w:t>
            </w:r>
            <w:r>
              <w:rPr>
                <w:rFonts w:hint="default" w:ascii="Times New Roman" w:hAnsi="Times New Roman" w:cs="Times New Roman"/>
                <w:color w:val="auto"/>
                <w:sz w:val="24"/>
                <w:szCs w:val="24"/>
                <w:lang w:val="en-US" w:eastAsia="zh-CN"/>
              </w:rPr>
              <w:t>t/a，风蚀扬尘产生量为</w:t>
            </w:r>
            <w:r>
              <w:rPr>
                <w:rFonts w:hint="eastAsia" w:cs="Times New Roman"/>
                <w:color w:val="auto"/>
                <w:sz w:val="24"/>
                <w:szCs w:val="24"/>
                <w:lang w:val="en-US" w:eastAsia="zh-CN"/>
              </w:rPr>
              <w:t>631.62</w:t>
            </w:r>
            <w:r>
              <w:rPr>
                <w:rFonts w:hint="default" w:ascii="Times New Roman" w:hAnsi="Times New Roman" w:cs="Times New Roman"/>
                <w:color w:val="auto"/>
                <w:sz w:val="24"/>
                <w:szCs w:val="24"/>
                <w:lang w:val="en-US" w:eastAsia="zh-CN"/>
              </w:rPr>
              <w:t>t/a，</w:t>
            </w:r>
            <w:r>
              <w:rPr>
                <w:rFonts w:hint="default" w:ascii="Times New Roman" w:hAnsi="Times New Roman" w:eastAsia="宋体" w:cs="Times New Roman"/>
                <w:color w:val="auto"/>
                <w:sz w:val="24"/>
                <w:szCs w:val="24"/>
              </w:rPr>
              <w:t>堆场颗粒物产生</w:t>
            </w:r>
            <w:r>
              <w:rPr>
                <w:rFonts w:hint="default" w:ascii="Times New Roman" w:hAnsi="Times New Roman" w:cs="Times New Roman"/>
                <w:color w:val="auto"/>
                <w:sz w:val="24"/>
                <w:szCs w:val="24"/>
                <w:lang w:val="en-US" w:eastAsia="zh-CN"/>
              </w:rPr>
              <w:t>总</w:t>
            </w:r>
            <w:r>
              <w:rPr>
                <w:rFonts w:hint="default" w:ascii="Times New Roman" w:hAnsi="Times New Roman" w:eastAsia="宋体" w:cs="Times New Roman"/>
                <w:color w:val="auto"/>
                <w:sz w:val="24"/>
                <w:szCs w:val="24"/>
              </w:rPr>
              <w:t>量P为</w:t>
            </w:r>
            <w:r>
              <w:rPr>
                <w:rFonts w:hint="eastAsia" w:cs="Times New Roman"/>
                <w:color w:val="auto"/>
                <w:sz w:val="24"/>
                <w:szCs w:val="24"/>
                <w:lang w:val="en-US" w:eastAsia="zh-CN"/>
              </w:rPr>
              <w:t>644.12</w:t>
            </w:r>
            <w:r>
              <w:rPr>
                <w:rFonts w:hint="default" w:ascii="Times New Roman" w:hAnsi="Times New Roman" w:eastAsia="宋体" w:cs="Times New Roman"/>
                <w:color w:val="auto"/>
                <w:sz w:val="24"/>
                <w:szCs w:val="24"/>
              </w:rPr>
              <w:t>t/a。</w:t>
            </w:r>
          </w:p>
          <w:p w14:paraId="47294398">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工业企业固体物料堆场颗粒物排放量核算公式如下：</w:t>
            </w:r>
          </w:p>
          <w:p w14:paraId="0936D2CF">
            <w:pPr>
              <w:pStyle w:val="8"/>
              <w:keepNext w:val="0"/>
              <w:keepLines w:val="0"/>
              <w:pageBreakBefore w:val="0"/>
              <w:kinsoku/>
              <w:wordWrap/>
              <w:overflowPunct/>
              <w:topLinePunct w:val="0"/>
              <w:autoSpaceDE/>
              <w:autoSpaceDN/>
              <w:bidi w:val="0"/>
              <w:spacing w:before="0" w:after="0" w:line="360" w:lineRule="auto"/>
              <w:ind w:right="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114300" distR="114300">
                  <wp:extent cx="2676525" cy="485775"/>
                  <wp:effectExtent l="0" t="0" r="9525" b="9525"/>
                  <wp:docPr id="115" name="图片 115" descr="167937825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679378255988"/>
                          <pic:cNvPicPr>
                            <a:picLocks noChangeAspect="1"/>
                          </pic:cNvPicPr>
                        </pic:nvPicPr>
                        <pic:blipFill>
                          <a:blip r:embed="rId23"/>
                          <a:stretch>
                            <a:fillRect/>
                          </a:stretch>
                        </pic:blipFill>
                        <pic:spPr>
                          <a:xfrm>
                            <a:off x="0" y="0"/>
                            <a:ext cx="2676525" cy="485775"/>
                          </a:xfrm>
                          <a:prstGeom prst="rect">
                            <a:avLst/>
                          </a:prstGeom>
                        </pic:spPr>
                      </pic:pic>
                    </a:graphicData>
                  </a:graphic>
                </wp:inline>
              </w:drawing>
            </w:r>
          </w:p>
          <w:p w14:paraId="577451E1">
            <w:pPr>
              <w:keepNext w:val="0"/>
              <w:keepLines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式中：P指颗粒物产生量（单位：吨）；</w:t>
            </w:r>
          </w:p>
          <w:p w14:paraId="5DD711FB">
            <w:pPr>
              <w:keepNext w:val="0"/>
              <w:keepLines w:val="0"/>
              <w:pageBreakBefore w:val="0"/>
              <w:kinsoku/>
              <w:wordWrap/>
              <w:overflowPunct/>
              <w:topLinePunct w:val="0"/>
              <w:autoSpaceDE/>
              <w:autoSpaceDN/>
              <w:bidi w:val="0"/>
              <w:adjustRightInd w:val="0"/>
              <w:snapToGrid w:val="0"/>
              <w:spacing w:line="360" w:lineRule="auto"/>
              <w:ind w:firstLine="720" w:firstLineChars="3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U</w:t>
            </w:r>
            <w:r>
              <w:rPr>
                <w:rFonts w:hint="default" w:ascii="Times New Roman" w:hAnsi="Times New Roman" w:eastAsia="宋体" w:cs="Times New Roman"/>
                <w:color w:val="auto"/>
                <w:sz w:val="24"/>
                <w:szCs w:val="24"/>
                <w:vertAlign w:val="subscript"/>
              </w:rPr>
              <w:t>c</w:t>
            </w:r>
            <w:r>
              <w:rPr>
                <w:rFonts w:hint="default" w:ascii="Times New Roman" w:hAnsi="Times New Roman" w:eastAsia="宋体" w:cs="Times New Roman"/>
                <w:color w:val="auto"/>
                <w:sz w:val="24"/>
                <w:szCs w:val="24"/>
              </w:rPr>
              <w:t>指颗粒物排放量（单位：吨）；</w:t>
            </w:r>
          </w:p>
          <w:p w14:paraId="7C4C5D61">
            <w:pPr>
              <w:keepNext w:val="0"/>
              <w:keepLines w:val="0"/>
              <w:pageBreakBefore w:val="0"/>
              <w:kinsoku/>
              <w:wordWrap/>
              <w:overflowPunct/>
              <w:topLinePunct w:val="0"/>
              <w:autoSpaceDE/>
              <w:autoSpaceDN/>
              <w:bidi w:val="0"/>
              <w:adjustRightInd w:val="0"/>
              <w:snapToGrid w:val="0"/>
              <w:spacing w:line="360" w:lineRule="auto"/>
              <w:ind w:firstLine="720" w:firstLineChars="3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w:t>
            </w:r>
            <w:r>
              <w:rPr>
                <w:rFonts w:hint="default" w:ascii="Times New Roman" w:hAnsi="Times New Roman" w:eastAsia="宋体" w:cs="Times New Roman"/>
                <w:color w:val="auto"/>
                <w:sz w:val="24"/>
                <w:szCs w:val="24"/>
                <w:vertAlign w:val="subscript"/>
              </w:rPr>
              <w:t>m</w:t>
            </w:r>
            <w:r>
              <w:rPr>
                <w:rFonts w:hint="default" w:ascii="Times New Roman" w:hAnsi="Times New Roman" w:eastAsia="宋体" w:cs="Times New Roman"/>
                <w:color w:val="auto"/>
                <w:sz w:val="24"/>
                <w:szCs w:val="24"/>
              </w:rPr>
              <w:t>指颗粒物控制措施控制效率（单位：%），见附录4；</w:t>
            </w:r>
          </w:p>
          <w:p w14:paraId="40683435">
            <w:pPr>
              <w:keepNext w:val="0"/>
              <w:keepLines w:val="0"/>
              <w:pageBreakBefore w:val="0"/>
              <w:kinsoku/>
              <w:wordWrap/>
              <w:overflowPunct/>
              <w:topLinePunct w:val="0"/>
              <w:autoSpaceDE/>
              <w:autoSpaceDN/>
              <w:bidi w:val="0"/>
              <w:adjustRightInd w:val="0"/>
              <w:snapToGrid w:val="0"/>
              <w:spacing w:line="360" w:lineRule="auto"/>
              <w:ind w:firstLine="720" w:firstLineChars="3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T</w:t>
            </w:r>
            <w:r>
              <w:rPr>
                <w:rFonts w:hint="default" w:ascii="Times New Roman" w:hAnsi="Times New Roman" w:eastAsia="宋体" w:cs="Times New Roman"/>
                <w:color w:val="auto"/>
                <w:sz w:val="24"/>
                <w:szCs w:val="24"/>
                <w:vertAlign w:val="subscript"/>
              </w:rPr>
              <w:t>m</w:t>
            </w:r>
            <w:r>
              <w:rPr>
                <w:rFonts w:hint="default" w:ascii="Times New Roman" w:hAnsi="Times New Roman" w:eastAsia="宋体" w:cs="Times New Roman"/>
                <w:color w:val="auto"/>
                <w:sz w:val="24"/>
                <w:szCs w:val="24"/>
              </w:rPr>
              <w:t>指堆场类型控制效率（单位：%），见附录5。</w:t>
            </w:r>
          </w:p>
          <w:p w14:paraId="48E4F395">
            <w:pPr>
              <w:pStyle w:val="30"/>
              <w:keepNext w:val="0"/>
              <w:keepLines w:val="0"/>
              <w:pageBreakBefore w:val="0"/>
              <w:kinsoku/>
              <w:wordWrap/>
              <w:overflowPunct/>
              <w:topLinePunct w:val="0"/>
              <w:autoSpaceDE/>
              <w:autoSpaceDN/>
              <w:bidi w:val="0"/>
              <w:spacing w:line="360" w:lineRule="auto"/>
              <w:textAlignment w:val="auto"/>
              <w:rPr>
                <w:rFonts w:hint="default" w:ascii="Times New Roman" w:hAnsi="Times New Roman" w:cs="Times New Roman"/>
                <w:color w:val="auto"/>
                <w:szCs w:val="21"/>
                <w:lang w:val="en-US" w:eastAsia="zh-CN"/>
              </w:rPr>
            </w:pPr>
            <w:r>
              <w:rPr>
                <w:rFonts w:hint="default" w:ascii="Times New Roman" w:hAnsi="Times New Roman" w:eastAsia="宋体" w:cs="Times New Roman"/>
                <w:color w:val="auto"/>
                <w:szCs w:val="21"/>
              </w:rPr>
              <w:t>本项目粉尘控制措施控制效率依据《固体物料堆存颗粒物产排污核算系数手册》“附录4：粉尘控制措施控制效率”。本项目</w:t>
            </w:r>
            <w:r>
              <w:rPr>
                <w:rFonts w:hint="default" w:ascii="Times New Roman" w:hAnsi="Times New Roman" w:cs="Times New Roman"/>
                <w:color w:val="auto"/>
                <w:szCs w:val="21"/>
                <w:lang w:eastAsia="zh-CN"/>
              </w:rPr>
              <w:t>采用洒水车降尘</w:t>
            </w:r>
            <w:r>
              <w:rPr>
                <w:rFonts w:hint="default" w:ascii="Times New Roman" w:hAnsi="Times New Roman" w:eastAsia="宋体" w:cs="Times New Roman"/>
                <w:color w:val="auto"/>
                <w:szCs w:val="21"/>
              </w:rPr>
              <w:t>，Cm取7</w:t>
            </w:r>
            <w:r>
              <w:rPr>
                <w:rFonts w:hint="default" w:ascii="Times New Roman" w:hAnsi="Times New Roman" w:cs="Times New Roman"/>
                <w:color w:val="auto"/>
                <w:szCs w:val="21"/>
                <w:lang w:val="en-US" w:eastAsia="zh-CN"/>
              </w:rPr>
              <w:t>4</w:t>
            </w:r>
            <w:r>
              <w:rPr>
                <w:rFonts w:hint="default" w:ascii="Times New Roman" w:hAnsi="Times New Roman" w:eastAsia="宋体" w:cs="Times New Roman"/>
                <w:color w:val="auto"/>
                <w:szCs w:val="21"/>
              </w:rPr>
              <w:t>%，厂区采用围挡（防风抑尘网），围挡Cm取60%，堆场采用苫布遮盖（防尘网）方式降尘，苫布遮盖Cm取86%，堆场为敞开式，Tm取0%，</w:t>
            </w:r>
            <w:r>
              <w:rPr>
                <w:rFonts w:hint="default" w:ascii="Times New Roman" w:hAnsi="Times New Roman" w:cs="Times New Roman"/>
                <w:color w:val="auto"/>
                <w:szCs w:val="21"/>
                <w:lang w:val="en-US" w:eastAsia="zh-CN"/>
              </w:rPr>
              <w:t>则堆场综合除尘效率为98.5%。</w:t>
            </w:r>
            <w:r>
              <w:rPr>
                <w:rFonts w:hint="default" w:ascii="Times New Roman" w:hAnsi="Times New Roman" w:eastAsia="宋体" w:cs="Times New Roman"/>
                <w:color w:val="auto"/>
                <w:szCs w:val="21"/>
                <w:highlight w:val="none"/>
              </w:rPr>
              <w:t>经计算</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堆场风蚀扬尘</w:t>
            </w:r>
            <w:r>
              <w:rPr>
                <w:rFonts w:hint="default" w:ascii="Times New Roman" w:hAnsi="Times New Roman" w:eastAsia="宋体" w:cs="Times New Roman"/>
                <w:color w:val="auto"/>
                <w:szCs w:val="21"/>
                <w:highlight w:val="none"/>
              </w:rPr>
              <w:t>颗粒物排放量为</w:t>
            </w:r>
            <w:r>
              <w:rPr>
                <w:rFonts w:hint="eastAsia" w:cs="Times New Roman"/>
                <w:color w:val="auto"/>
                <w:szCs w:val="21"/>
                <w:highlight w:val="none"/>
                <w:lang w:val="en-US" w:eastAsia="zh-CN"/>
              </w:rPr>
              <w:t>9.474</w:t>
            </w:r>
            <w:r>
              <w:rPr>
                <w:rFonts w:hint="default" w:ascii="Times New Roman" w:hAnsi="Times New Roman" w:eastAsia="宋体" w:cs="Times New Roman"/>
                <w:color w:val="auto"/>
                <w:szCs w:val="21"/>
                <w:highlight w:val="none"/>
              </w:rPr>
              <w:t>t/a，排放速率为</w:t>
            </w:r>
            <w:r>
              <w:rPr>
                <w:rFonts w:hint="eastAsia" w:cs="Times New Roman"/>
                <w:color w:val="auto"/>
                <w:szCs w:val="21"/>
                <w:highlight w:val="none"/>
                <w:lang w:val="en-US" w:eastAsia="zh-CN"/>
              </w:rPr>
              <w:t>1.316</w:t>
            </w:r>
            <w:r>
              <w:rPr>
                <w:rFonts w:hint="default" w:ascii="Times New Roman" w:hAnsi="Times New Roman" w:eastAsia="宋体" w:cs="Times New Roman"/>
                <w:color w:val="auto"/>
                <w:szCs w:val="21"/>
                <w:highlight w:val="none"/>
              </w:rPr>
              <w:t>kg/h，处</w:t>
            </w:r>
            <w:r>
              <w:rPr>
                <w:rFonts w:hint="default" w:ascii="Times New Roman" w:hAnsi="Times New Roman" w:eastAsia="宋体" w:cs="Times New Roman"/>
                <w:color w:val="auto"/>
                <w:szCs w:val="21"/>
              </w:rPr>
              <w:t>理后颗粒物以无组织方式排放。</w:t>
            </w:r>
          </w:p>
          <w:p w14:paraId="4E59828A">
            <w:pPr>
              <w:pStyle w:val="30"/>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Cs/>
                <w:color w:val="auto"/>
                <w:sz w:val="24"/>
                <w:highlight w:val="none"/>
              </w:rPr>
            </w:pPr>
            <w:r>
              <w:rPr>
                <w:rFonts w:hint="default" w:ascii="Times New Roman" w:hAnsi="Times New Roman" w:cs="Times New Roman"/>
                <w:color w:val="auto"/>
                <w:szCs w:val="21"/>
                <w:lang w:val="en-US" w:eastAsia="zh-CN"/>
              </w:rPr>
              <w:t>装卸过程采取洒水车降尘，Cm取74%、围挡（防风抑尘网），Cm取60%，则装卸过程综合除</w:t>
            </w:r>
            <w:r>
              <w:rPr>
                <w:rFonts w:hint="default" w:ascii="Times New Roman" w:hAnsi="Times New Roman" w:cs="Times New Roman"/>
                <w:color w:val="auto"/>
                <w:szCs w:val="21"/>
                <w:highlight w:val="none"/>
                <w:lang w:val="en-US" w:eastAsia="zh-CN"/>
              </w:rPr>
              <w:t>尘效率为90%</w:t>
            </w:r>
            <w:r>
              <w:rPr>
                <w:rFonts w:hint="eastAsia" w:cs="Times New Roman"/>
                <w:color w:val="auto"/>
                <w:szCs w:val="21"/>
                <w:highlight w:val="none"/>
                <w:lang w:val="en-US" w:eastAsia="zh-CN"/>
              </w:rPr>
              <w:t>。</w:t>
            </w:r>
            <w:r>
              <w:rPr>
                <w:rFonts w:hint="default" w:ascii="Times New Roman" w:hAnsi="Times New Roman" w:eastAsia="宋体" w:cs="Times New Roman"/>
                <w:color w:val="auto"/>
                <w:szCs w:val="21"/>
                <w:highlight w:val="none"/>
              </w:rPr>
              <w:t>经计算</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装卸扬尘排放量为</w:t>
            </w:r>
            <w:r>
              <w:rPr>
                <w:rFonts w:hint="eastAsia" w:cs="Times New Roman"/>
                <w:color w:val="auto"/>
                <w:szCs w:val="21"/>
                <w:highlight w:val="none"/>
                <w:lang w:val="en-US" w:eastAsia="zh-CN"/>
              </w:rPr>
              <w:t>1.25</w:t>
            </w:r>
            <w:r>
              <w:rPr>
                <w:rFonts w:hint="default" w:ascii="Times New Roman" w:hAnsi="Times New Roman" w:cs="Times New Roman"/>
                <w:color w:val="auto"/>
                <w:szCs w:val="21"/>
                <w:highlight w:val="none"/>
                <w:lang w:val="en-US" w:eastAsia="zh-CN"/>
              </w:rPr>
              <w:t>t/a，年装卸时间约为</w:t>
            </w:r>
            <w:r>
              <w:rPr>
                <w:rFonts w:hint="eastAsia" w:cs="Times New Roman"/>
                <w:color w:val="auto"/>
                <w:szCs w:val="21"/>
                <w:highlight w:val="none"/>
                <w:lang w:val="en-US" w:eastAsia="zh-CN"/>
              </w:rPr>
              <w:t>2400</w:t>
            </w:r>
            <w:r>
              <w:rPr>
                <w:rFonts w:hint="default" w:ascii="Times New Roman" w:hAnsi="Times New Roman" w:cs="Times New Roman"/>
                <w:color w:val="auto"/>
                <w:szCs w:val="21"/>
                <w:highlight w:val="none"/>
                <w:lang w:val="en-US" w:eastAsia="zh-CN"/>
              </w:rPr>
              <w:t>h，排放速率为</w:t>
            </w:r>
            <w:r>
              <w:rPr>
                <w:rFonts w:hint="eastAsia" w:cs="Times New Roman"/>
                <w:color w:val="auto"/>
                <w:szCs w:val="21"/>
                <w:highlight w:val="none"/>
                <w:lang w:val="en-US" w:eastAsia="zh-CN"/>
              </w:rPr>
              <w:t>0.521</w:t>
            </w:r>
            <w:r>
              <w:rPr>
                <w:rFonts w:hint="default" w:ascii="Times New Roman" w:hAnsi="Times New Roman" w:eastAsia="宋体" w:cs="Times New Roman"/>
                <w:color w:val="auto"/>
                <w:szCs w:val="21"/>
                <w:highlight w:val="none"/>
              </w:rPr>
              <w:t>kg/h</w:t>
            </w:r>
            <w:r>
              <w:rPr>
                <w:rFonts w:hint="default" w:ascii="Times New Roman" w:hAnsi="Times New Roman" w:cs="Times New Roman"/>
                <w:color w:val="auto"/>
                <w:szCs w:val="21"/>
                <w:highlight w:val="none"/>
                <w:lang w:eastAsia="zh-CN"/>
              </w:rPr>
              <w:t>。</w:t>
            </w:r>
            <w:r>
              <w:rPr>
                <w:rFonts w:hint="default" w:ascii="Times New Roman" w:hAnsi="Times New Roman" w:eastAsia="宋体" w:cs="Times New Roman"/>
                <w:color w:val="auto"/>
                <w:szCs w:val="21"/>
                <w:highlight w:val="none"/>
              </w:rPr>
              <w:t>处</w:t>
            </w:r>
            <w:r>
              <w:rPr>
                <w:rFonts w:hint="default" w:ascii="Times New Roman" w:hAnsi="Times New Roman" w:eastAsia="宋体" w:cs="Times New Roman"/>
                <w:color w:val="auto"/>
                <w:szCs w:val="21"/>
              </w:rPr>
              <w:t>理后颗粒物以无组织方式排放。</w:t>
            </w:r>
          </w:p>
          <w:p w14:paraId="0EC47D5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②运输车辆过程扬尘</w:t>
            </w:r>
          </w:p>
          <w:p w14:paraId="49A80E32">
            <w:pPr>
              <w:pStyle w:val="3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本项目产品由厂区自有运输车运输。运输产生的颗粒物主要是沿途抛洒及道路行驶引起的扬尘，属于无组织排放源。根据《逸散性工业粉尘粉尘控制技术》“工厂道路和停车场”，铺砌路面的车辆的特定排放因子计算方法如下：</w:t>
            </w:r>
          </w:p>
          <w:p w14:paraId="6A1C8361">
            <w:pPr>
              <w:pStyle w:val="30"/>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3286125" cy="285750"/>
                  <wp:effectExtent l="0" t="0" r="9525" b="0"/>
                  <wp:docPr id="1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
                          <pic:cNvPicPr>
                            <a:picLocks noChangeAspect="1"/>
                          </pic:cNvPicPr>
                        </pic:nvPicPr>
                        <pic:blipFill>
                          <a:blip r:embed="rId24"/>
                          <a:stretch>
                            <a:fillRect/>
                          </a:stretch>
                        </pic:blipFill>
                        <pic:spPr>
                          <a:xfrm>
                            <a:off x="0" y="0"/>
                            <a:ext cx="3286125" cy="285750"/>
                          </a:xfrm>
                          <a:prstGeom prst="rect">
                            <a:avLst/>
                          </a:prstGeom>
                          <a:noFill/>
                          <a:ln>
                            <a:noFill/>
                          </a:ln>
                        </pic:spPr>
                      </pic:pic>
                    </a:graphicData>
                  </a:graphic>
                </wp:inline>
              </w:drawing>
            </w:r>
          </w:p>
          <w:p w14:paraId="26608F4A">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cs="Times New Roman"/>
                <w:color w:val="auto"/>
                <w:kern w:val="0"/>
                <w:sz w:val="24"/>
                <w:szCs w:val="20"/>
              </w:rPr>
            </w:pPr>
            <w:r>
              <w:rPr>
                <w:rFonts w:hint="default" w:ascii="Times New Roman" w:hAnsi="Times New Roman" w:cs="Times New Roman"/>
                <w:color w:val="auto"/>
                <w:kern w:val="0"/>
                <w:sz w:val="24"/>
                <w:szCs w:val="20"/>
              </w:rPr>
              <w:t>式中：EF—排放因子，车辆里程（单位：g/km）；</w:t>
            </w:r>
          </w:p>
          <w:p w14:paraId="502858CD">
            <w:pPr>
              <w:keepNext w:val="0"/>
              <w:keepLines w:val="0"/>
              <w:pageBreakBefore w:val="0"/>
              <w:widowControl w:val="0"/>
              <w:kinsoku/>
              <w:wordWrap/>
              <w:overflowPunct/>
              <w:topLinePunct w:val="0"/>
              <w:autoSpaceDE/>
              <w:autoSpaceDN/>
              <w:bidi w:val="0"/>
              <w:spacing w:line="360" w:lineRule="auto"/>
              <w:ind w:firstLine="720" w:firstLineChars="300"/>
              <w:textAlignment w:val="auto"/>
              <w:rPr>
                <w:rFonts w:hint="default" w:ascii="Times New Roman" w:hAnsi="Times New Roman" w:cs="Times New Roman"/>
                <w:color w:val="auto"/>
                <w:kern w:val="0"/>
                <w:sz w:val="24"/>
                <w:szCs w:val="20"/>
              </w:rPr>
            </w:pPr>
            <w:r>
              <w:rPr>
                <w:rFonts w:hint="default" w:ascii="Times New Roman" w:hAnsi="Times New Roman" w:cs="Times New Roman"/>
                <w:color w:val="auto"/>
                <w:kern w:val="0"/>
                <w:sz w:val="24"/>
                <w:szCs w:val="20"/>
              </w:rPr>
              <w:t>P—来自铺砌路面并保持悬浮状态的颗粒物（直径小于30μm）的分数，0.90；</w:t>
            </w:r>
          </w:p>
          <w:p w14:paraId="52E58238">
            <w:pPr>
              <w:keepNext w:val="0"/>
              <w:keepLines w:val="0"/>
              <w:pageBreakBefore w:val="0"/>
              <w:widowControl w:val="0"/>
              <w:kinsoku/>
              <w:wordWrap/>
              <w:overflowPunct/>
              <w:topLinePunct w:val="0"/>
              <w:autoSpaceDE/>
              <w:autoSpaceDN/>
              <w:bidi w:val="0"/>
              <w:spacing w:line="360" w:lineRule="auto"/>
              <w:ind w:firstLine="720" w:firstLineChars="300"/>
              <w:textAlignment w:val="auto"/>
              <w:rPr>
                <w:rFonts w:hint="default" w:ascii="Times New Roman" w:hAnsi="Times New Roman" w:cs="Times New Roman"/>
                <w:color w:val="auto"/>
                <w:kern w:val="0"/>
                <w:sz w:val="24"/>
                <w:szCs w:val="20"/>
              </w:rPr>
            </w:pPr>
            <w:r>
              <w:rPr>
                <w:rFonts w:hint="default" w:ascii="Times New Roman" w:hAnsi="Times New Roman" w:cs="Times New Roman"/>
                <w:color w:val="auto"/>
                <w:kern w:val="0"/>
                <w:sz w:val="24"/>
                <w:szCs w:val="20"/>
              </w:rPr>
              <w:t>E—来源于汽车尾气的颗粒物；</w:t>
            </w:r>
          </w:p>
          <w:p w14:paraId="2DFD293D">
            <w:pPr>
              <w:keepNext w:val="0"/>
              <w:keepLines w:val="0"/>
              <w:pageBreakBefore w:val="0"/>
              <w:widowControl w:val="0"/>
              <w:kinsoku/>
              <w:wordWrap/>
              <w:overflowPunct/>
              <w:topLinePunct w:val="0"/>
              <w:autoSpaceDE/>
              <w:autoSpaceDN/>
              <w:bidi w:val="0"/>
              <w:spacing w:line="360" w:lineRule="auto"/>
              <w:ind w:firstLine="720" w:firstLineChars="300"/>
              <w:textAlignment w:val="auto"/>
              <w:rPr>
                <w:rFonts w:hint="default" w:ascii="Times New Roman" w:hAnsi="Times New Roman" w:cs="Times New Roman"/>
                <w:color w:val="auto"/>
                <w:kern w:val="0"/>
                <w:sz w:val="24"/>
                <w:szCs w:val="20"/>
              </w:rPr>
            </w:pPr>
            <w:r>
              <w:rPr>
                <w:rFonts w:hint="default" w:ascii="Times New Roman" w:hAnsi="Times New Roman" w:cs="Times New Roman"/>
                <w:color w:val="auto"/>
                <w:kern w:val="0"/>
                <w:sz w:val="24"/>
                <w:szCs w:val="20"/>
              </w:rPr>
              <w:t>T—平均每辆车的轮胎数。</w:t>
            </w:r>
          </w:p>
          <w:p w14:paraId="172A3398">
            <w:pPr>
              <w:keepNext w:val="0"/>
              <w:keepLines w:val="0"/>
              <w:pageBreakBefore w:val="0"/>
              <w:widowControl w:val="0"/>
              <w:kinsoku/>
              <w:wordWrap/>
              <w:overflowPunct/>
              <w:topLinePunct w:val="0"/>
              <w:autoSpaceDE/>
              <w:autoSpaceDN/>
              <w:bidi w:val="0"/>
              <w:spacing w:line="360" w:lineRule="auto"/>
              <w:ind w:firstLine="720" w:firstLineChars="300"/>
              <w:textAlignment w:val="auto"/>
              <w:rPr>
                <w:rFonts w:hint="default" w:ascii="Times New Roman" w:hAnsi="Times New Roman" w:cs="Times New Roman"/>
                <w:color w:val="auto"/>
                <w:kern w:val="0"/>
                <w:sz w:val="24"/>
                <w:szCs w:val="20"/>
              </w:rPr>
            </w:pPr>
            <w:r>
              <w:rPr>
                <w:rFonts w:hint="default" w:ascii="Times New Roman" w:hAnsi="Times New Roman" w:cs="Times New Roman"/>
                <w:color w:val="auto"/>
                <w:kern w:val="0"/>
                <w:sz w:val="24"/>
                <w:szCs w:val="20"/>
              </w:rPr>
              <w:t>本项目P来自铺砌路面并保持悬浮状态的颗粒物（直径小于30μm）的分数，取0.90；E来源于汽车尾气的颗粒物，根据《逸散性工业粉尘粉尘控制技术》“工厂道路和停车场”表1-1</w:t>
            </w:r>
            <w:r>
              <w:rPr>
                <w:rFonts w:hint="default" w:ascii="Times New Roman" w:hAnsi="Times New Roman" w:cs="Times New Roman"/>
                <w:color w:val="auto"/>
                <w:kern w:val="0"/>
                <w:sz w:val="24"/>
                <w:szCs w:val="20"/>
                <w:lang w:eastAsia="zh-CN"/>
              </w:rPr>
              <w:t>铺砌</w:t>
            </w:r>
            <w:r>
              <w:rPr>
                <w:rFonts w:hint="default" w:ascii="Times New Roman" w:hAnsi="Times New Roman" w:cs="Times New Roman"/>
                <w:color w:val="auto"/>
                <w:kern w:val="0"/>
                <w:sz w:val="24"/>
                <w:szCs w:val="20"/>
              </w:rPr>
              <w:t>路面来往车辆的排放因子，重载汽油车（10轮），取0.57g/km；T平均每辆车的轮胎数，取10。经计算EF排放因子为7.87g/km。本项目运输车次为</w:t>
            </w:r>
            <w:r>
              <w:rPr>
                <w:rFonts w:hint="eastAsia" w:cs="Times New Roman"/>
                <w:color w:val="auto"/>
                <w:kern w:val="0"/>
                <w:sz w:val="24"/>
                <w:szCs w:val="20"/>
                <w:lang w:val="en-US" w:eastAsia="zh-CN"/>
              </w:rPr>
              <w:t>1500</w:t>
            </w:r>
            <w:r>
              <w:rPr>
                <w:rFonts w:hint="default" w:ascii="Times New Roman" w:hAnsi="Times New Roman" w:cs="Times New Roman"/>
                <w:color w:val="auto"/>
                <w:kern w:val="0"/>
                <w:sz w:val="24"/>
                <w:szCs w:val="20"/>
              </w:rPr>
              <w:t>车次，</w:t>
            </w:r>
            <w:r>
              <w:rPr>
                <w:rFonts w:hint="default" w:ascii="Times New Roman" w:hAnsi="Times New Roman" w:cs="Times New Roman"/>
                <w:color w:val="auto"/>
                <w:kern w:val="0"/>
                <w:sz w:val="24"/>
                <w:szCs w:val="20"/>
                <w:lang w:val="en-US" w:eastAsia="zh-CN"/>
              </w:rPr>
              <w:t>项目厂区内道路约为0.2km，</w:t>
            </w:r>
            <w:r>
              <w:rPr>
                <w:rFonts w:hint="default" w:ascii="Times New Roman" w:hAnsi="Times New Roman" w:cs="Times New Roman"/>
                <w:color w:val="auto"/>
                <w:kern w:val="0"/>
                <w:sz w:val="24"/>
                <w:szCs w:val="20"/>
              </w:rPr>
              <w:t>则本项目产品运输产生的颗粒物产生量为0.</w:t>
            </w:r>
            <w:r>
              <w:rPr>
                <w:rFonts w:hint="default" w:ascii="Times New Roman" w:hAnsi="Times New Roman" w:cs="Times New Roman"/>
                <w:color w:val="auto"/>
                <w:kern w:val="0"/>
                <w:sz w:val="24"/>
                <w:szCs w:val="20"/>
                <w:lang w:val="en-US" w:eastAsia="zh-CN"/>
              </w:rPr>
              <w:t>00</w:t>
            </w:r>
            <w:r>
              <w:rPr>
                <w:rFonts w:hint="eastAsia" w:cs="Times New Roman"/>
                <w:color w:val="auto"/>
                <w:kern w:val="0"/>
                <w:sz w:val="24"/>
                <w:szCs w:val="20"/>
                <w:lang w:val="en-US" w:eastAsia="zh-CN"/>
              </w:rPr>
              <w:t>24</w:t>
            </w:r>
            <w:r>
              <w:rPr>
                <w:rFonts w:hint="default" w:ascii="Times New Roman" w:hAnsi="Times New Roman" w:cs="Times New Roman"/>
                <w:color w:val="auto"/>
                <w:kern w:val="0"/>
                <w:sz w:val="24"/>
                <w:szCs w:val="20"/>
              </w:rPr>
              <w:t>t/a，排放速率为0.</w:t>
            </w:r>
            <w:r>
              <w:rPr>
                <w:rFonts w:hint="default" w:ascii="Times New Roman" w:hAnsi="Times New Roman" w:cs="Times New Roman"/>
                <w:color w:val="auto"/>
                <w:kern w:val="0"/>
                <w:sz w:val="24"/>
                <w:szCs w:val="20"/>
                <w:lang w:val="en-US" w:eastAsia="zh-CN"/>
              </w:rPr>
              <w:t>0</w:t>
            </w:r>
            <w:r>
              <w:rPr>
                <w:rFonts w:hint="eastAsia" w:cs="Times New Roman"/>
                <w:color w:val="auto"/>
                <w:kern w:val="0"/>
                <w:sz w:val="24"/>
                <w:szCs w:val="20"/>
                <w:lang w:val="en-US" w:eastAsia="zh-CN"/>
              </w:rPr>
              <w:t>08</w:t>
            </w:r>
            <w:r>
              <w:rPr>
                <w:rFonts w:hint="default" w:ascii="Times New Roman" w:hAnsi="Times New Roman" w:cs="Times New Roman"/>
                <w:color w:val="auto"/>
                <w:kern w:val="0"/>
                <w:sz w:val="24"/>
                <w:szCs w:val="20"/>
              </w:rPr>
              <w:t>kg/h。本项目要求原料及产品运输过程中采用苫布覆盖，防止物料洒落，</w:t>
            </w:r>
            <w:r>
              <w:rPr>
                <w:rFonts w:hint="default" w:ascii="Times New Roman" w:hAnsi="Times New Roman" w:cs="Times New Roman"/>
                <w:color w:val="auto"/>
                <w:kern w:val="0"/>
                <w:sz w:val="24"/>
                <w:szCs w:val="20"/>
                <w:lang w:eastAsia="zh-CN"/>
              </w:rPr>
              <w:t>厂区道路洒水降尘，</w:t>
            </w:r>
            <w:r>
              <w:rPr>
                <w:rFonts w:hint="default" w:ascii="Times New Roman" w:hAnsi="Times New Roman" w:cs="Times New Roman"/>
                <w:color w:val="auto"/>
                <w:kern w:val="0"/>
                <w:sz w:val="24"/>
                <w:szCs w:val="20"/>
              </w:rPr>
              <w:t>减少运输过程中粉尘排放量。则本项目综合去除效率为80%，则无组织颗粒物排放量为0.0</w:t>
            </w:r>
            <w:r>
              <w:rPr>
                <w:rFonts w:hint="default" w:ascii="Times New Roman" w:hAnsi="Times New Roman" w:cs="Times New Roman"/>
                <w:color w:val="auto"/>
                <w:kern w:val="0"/>
                <w:sz w:val="24"/>
                <w:szCs w:val="20"/>
                <w:lang w:val="en-US" w:eastAsia="zh-CN"/>
              </w:rPr>
              <w:t>009</w:t>
            </w:r>
            <w:r>
              <w:rPr>
                <w:rFonts w:hint="default" w:ascii="Times New Roman" w:hAnsi="Times New Roman" w:cs="Times New Roman"/>
                <w:color w:val="auto"/>
                <w:kern w:val="0"/>
                <w:sz w:val="24"/>
                <w:szCs w:val="20"/>
              </w:rPr>
              <w:t>t/a，排放速率为0.0</w:t>
            </w:r>
            <w:r>
              <w:rPr>
                <w:rFonts w:hint="default" w:ascii="Times New Roman" w:hAnsi="Times New Roman" w:cs="Times New Roman"/>
                <w:color w:val="auto"/>
                <w:kern w:val="0"/>
                <w:sz w:val="24"/>
                <w:szCs w:val="20"/>
                <w:lang w:val="en-US" w:eastAsia="zh-CN"/>
              </w:rPr>
              <w:t>031</w:t>
            </w:r>
            <w:r>
              <w:rPr>
                <w:rFonts w:hint="default" w:ascii="Times New Roman" w:hAnsi="Times New Roman" w:cs="Times New Roman"/>
                <w:color w:val="auto"/>
                <w:kern w:val="0"/>
                <w:sz w:val="24"/>
                <w:szCs w:val="20"/>
              </w:rPr>
              <w:t>kg/h。</w:t>
            </w:r>
          </w:p>
          <w:p w14:paraId="014A0328">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表4-1  废气源强核算表</w:t>
            </w:r>
          </w:p>
          <w:tbl>
            <w:tblPr>
              <w:tblStyle w:val="20"/>
              <w:tblW w:w="0" w:type="auto"/>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5"/>
              <w:gridCol w:w="485"/>
              <w:gridCol w:w="671"/>
              <w:gridCol w:w="641"/>
              <w:gridCol w:w="819"/>
              <w:gridCol w:w="888"/>
              <w:gridCol w:w="1109"/>
              <w:gridCol w:w="759"/>
              <w:gridCol w:w="627"/>
              <w:gridCol w:w="688"/>
              <w:gridCol w:w="778"/>
              <w:gridCol w:w="900"/>
            </w:tblGrid>
            <w:tr w14:paraId="637B949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26" w:type="dxa"/>
                  <w:vMerge w:val="restart"/>
                  <w:noWrap w:val="0"/>
                  <w:vAlign w:val="center"/>
                </w:tcPr>
                <w:p w14:paraId="39F00271">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排放源</w:t>
                  </w:r>
                </w:p>
              </w:tc>
              <w:tc>
                <w:tcPr>
                  <w:tcW w:w="492" w:type="dxa"/>
                  <w:vMerge w:val="restart"/>
                  <w:noWrap w:val="0"/>
                  <w:vAlign w:val="center"/>
                </w:tcPr>
                <w:p w14:paraId="15B44053">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污染物</w:t>
                  </w:r>
                </w:p>
              </w:tc>
              <w:tc>
                <w:tcPr>
                  <w:tcW w:w="3072" w:type="dxa"/>
                  <w:gridSpan w:val="4"/>
                  <w:noWrap w:val="0"/>
                  <w:vAlign w:val="center"/>
                </w:tcPr>
                <w:p w14:paraId="6F781447">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污染物产生</w:t>
                  </w:r>
                </w:p>
              </w:tc>
              <w:tc>
                <w:tcPr>
                  <w:tcW w:w="1775" w:type="dxa"/>
                  <w:gridSpan w:val="2"/>
                  <w:noWrap w:val="0"/>
                  <w:vAlign w:val="center"/>
                </w:tcPr>
                <w:p w14:paraId="7D1EAB9A">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治理措施</w:t>
                  </w:r>
                </w:p>
              </w:tc>
              <w:tc>
                <w:tcPr>
                  <w:tcW w:w="2922" w:type="dxa"/>
                  <w:gridSpan w:val="4"/>
                  <w:noWrap w:val="0"/>
                  <w:vAlign w:val="center"/>
                </w:tcPr>
                <w:p w14:paraId="339FD7E8">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污染物排放</w:t>
                  </w:r>
                </w:p>
              </w:tc>
            </w:tr>
            <w:tr w14:paraId="16692C3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526" w:type="dxa"/>
                  <w:vMerge w:val="continue"/>
                  <w:noWrap w:val="0"/>
                  <w:vAlign w:val="center"/>
                </w:tcPr>
                <w:p w14:paraId="18E4729B">
                  <w:pPr>
                    <w:jc w:val="center"/>
                    <w:rPr>
                      <w:rFonts w:hint="default" w:ascii="Times New Roman" w:hAnsi="Times New Roman" w:cs="Times New Roman"/>
                      <w:color w:val="auto"/>
                      <w:szCs w:val="21"/>
                      <w:highlight w:val="none"/>
                    </w:rPr>
                  </w:pPr>
                </w:p>
              </w:tc>
              <w:tc>
                <w:tcPr>
                  <w:tcW w:w="492" w:type="dxa"/>
                  <w:vMerge w:val="continue"/>
                  <w:noWrap w:val="0"/>
                  <w:vAlign w:val="center"/>
                </w:tcPr>
                <w:p w14:paraId="50EAA081">
                  <w:pPr>
                    <w:jc w:val="center"/>
                    <w:rPr>
                      <w:rFonts w:hint="default" w:ascii="Times New Roman" w:hAnsi="Times New Roman" w:cs="Times New Roman"/>
                      <w:color w:val="auto"/>
                      <w:szCs w:val="21"/>
                      <w:highlight w:val="none"/>
                    </w:rPr>
                  </w:pPr>
                </w:p>
              </w:tc>
              <w:tc>
                <w:tcPr>
                  <w:tcW w:w="702" w:type="dxa"/>
                  <w:noWrap w:val="0"/>
                  <w:vAlign w:val="center"/>
                </w:tcPr>
                <w:p w14:paraId="0D6A544E">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核算方法</w:t>
                  </w:r>
                </w:p>
              </w:tc>
              <w:tc>
                <w:tcPr>
                  <w:tcW w:w="645" w:type="dxa"/>
                  <w:noWrap w:val="0"/>
                  <w:vAlign w:val="center"/>
                </w:tcPr>
                <w:p w14:paraId="1AFE088E">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废气量m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/h</w:t>
                  </w:r>
                </w:p>
              </w:tc>
              <w:tc>
                <w:tcPr>
                  <w:tcW w:w="825" w:type="dxa"/>
                  <w:noWrap w:val="0"/>
                  <w:vAlign w:val="center"/>
                </w:tcPr>
                <w:p w14:paraId="686DE4E8">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产生浓度mg/m</w:t>
                  </w:r>
                  <w:r>
                    <w:rPr>
                      <w:rFonts w:hint="default" w:ascii="Times New Roman" w:hAnsi="Times New Roman" w:cs="Times New Roman"/>
                      <w:color w:val="auto"/>
                      <w:kern w:val="0"/>
                      <w:szCs w:val="21"/>
                      <w:highlight w:val="none"/>
                      <w:vertAlign w:val="superscript"/>
                    </w:rPr>
                    <w:t>3</w:t>
                  </w:r>
                </w:p>
              </w:tc>
              <w:tc>
                <w:tcPr>
                  <w:tcW w:w="900" w:type="dxa"/>
                  <w:noWrap w:val="0"/>
                  <w:vAlign w:val="center"/>
                </w:tcPr>
                <w:p w14:paraId="0C54B777">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产生量t/a</w:t>
                  </w:r>
                </w:p>
              </w:tc>
              <w:tc>
                <w:tcPr>
                  <w:tcW w:w="1168" w:type="dxa"/>
                  <w:noWrap w:val="0"/>
                  <w:vAlign w:val="center"/>
                </w:tcPr>
                <w:p w14:paraId="01F5D721">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工艺</w:t>
                  </w:r>
                </w:p>
              </w:tc>
              <w:tc>
                <w:tcPr>
                  <w:tcW w:w="607" w:type="dxa"/>
                  <w:noWrap w:val="0"/>
                  <w:vAlign w:val="center"/>
                </w:tcPr>
                <w:p w14:paraId="27098341">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效率</w:t>
                  </w:r>
                </w:p>
              </w:tc>
              <w:tc>
                <w:tcPr>
                  <w:tcW w:w="652" w:type="dxa"/>
                  <w:noWrap w:val="0"/>
                  <w:vAlign w:val="center"/>
                </w:tcPr>
                <w:p w14:paraId="16025456">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核算方法</w:t>
                  </w:r>
                </w:p>
              </w:tc>
              <w:tc>
                <w:tcPr>
                  <w:tcW w:w="698" w:type="dxa"/>
                  <w:noWrap w:val="0"/>
                  <w:vAlign w:val="center"/>
                </w:tcPr>
                <w:p w14:paraId="5FF4B655">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废气量m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/h</w:t>
                  </w:r>
                </w:p>
              </w:tc>
              <w:tc>
                <w:tcPr>
                  <w:tcW w:w="778" w:type="dxa"/>
                  <w:noWrap w:val="0"/>
                  <w:vAlign w:val="center"/>
                </w:tcPr>
                <w:p w14:paraId="75F98F2F">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w:t>
                  </w:r>
                </w:p>
                <w:p w14:paraId="141782FA">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浓度mg/m</w:t>
                  </w:r>
                  <w:r>
                    <w:rPr>
                      <w:rFonts w:hint="default" w:ascii="Times New Roman" w:hAnsi="Times New Roman" w:cs="Times New Roman"/>
                      <w:color w:val="auto"/>
                      <w:kern w:val="0"/>
                      <w:szCs w:val="21"/>
                      <w:highlight w:val="none"/>
                      <w:vertAlign w:val="superscript"/>
                    </w:rPr>
                    <w:t>3</w:t>
                  </w:r>
                </w:p>
              </w:tc>
              <w:tc>
                <w:tcPr>
                  <w:tcW w:w="794" w:type="dxa"/>
                  <w:noWrap w:val="0"/>
                  <w:vAlign w:val="center"/>
                </w:tcPr>
                <w:p w14:paraId="50333568">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排放量t/a</w:t>
                  </w:r>
                </w:p>
              </w:tc>
            </w:tr>
            <w:tr w14:paraId="6F60A29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26" w:type="dxa"/>
                  <w:noWrap w:val="0"/>
                  <w:vAlign w:val="center"/>
                </w:tcPr>
                <w:p w14:paraId="09F5F10E">
                  <w:pPr>
                    <w:pStyle w:val="34"/>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堆场扬尘</w:t>
                  </w:r>
                </w:p>
              </w:tc>
              <w:tc>
                <w:tcPr>
                  <w:tcW w:w="492" w:type="dxa"/>
                  <w:noWrap w:val="0"/>
                  <w:vAlign w:val="center"/>
                </w:tcPr>
                <w:p w14:paraId="54FDB05A">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w:t>
                  </w:r>
                </w:p>
              </w:tc>
              <w:tc>
                <w:tcPr>
                  <w:tcW w:w="702" w:type="dxa"/>
                  <w:noWrap w:val="0"/>
                  <w:vAlign w:val="center"/>
                </w:tcPr>
                <w:p w14:paraId="0D79825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系数法</w:t>
                  </w:r>
                </w:p>
              </w:tc>
              <w:tc>
                <w:tcPr>
                  <w:tcW w:w="645" w:type="dxa"/>
                  <w:noWrap w:val="0"/>
                  <w:vAlign w:val="center"/>
                </w:tcPr>
                <w:p w14:paraId="52BA846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825" w:type="dxa"/>
                  <w:noWrap w:val="0"/>
                  <w:vAlign w:val="center"/>
                </w:tcPr>
                <w:p w14:paraId="0AD6FF5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900" w:type="dxa"/>
                  <w:noWrap w:val="0"/>
                  <w:vAlign w:val="center"/>
                </w:tcPr>
                <w:p w14:paraId="47743A04">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631.62</w:t>
                  </w:r>
                </w:p>
              </w:tc>
              <w:tc>
                <w:tcPr>
                  <w:tcW w:w="1168" w:type="dxa"/>
                  <w:noWrap w:val="0"/>
                  <w:vAlign w:val="center"/>
                </w:tcPr>
                <w:p w14:paraId="1B8139BC">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储煤场四周设置防风抑尘网，定期洒水降尘效率</w:t>
                  </w:r>
                </w:p>
              </w:tc>
              <w:tc>
                <w:tcPr>
                  <w:tcW w:w="607" w:type="dxa"/>
                  <w:noWrap w:val="0"/>
                  <w:vAlign w:val="center"/>
                </w:tcPr>
                <w:p w14:paraId="67D7EC14">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98.5%</w:t>
                  </w:r>
                </w:p>
              </w:tc>
              <w:tc>
                <w:tcPr>
                  <w:tcW w:w="652" w:type="dxa"/>
                  <w:noWrap w:val="0"/>
                  <w:vAlign w:val="center"/>
                </w:tcPr>
                <w:p w14:paraId="3ADC9294">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系数法</w:t>
                  </w:r>
                </w:p>
              </w:tc>
              <w:tc>
                <w:tcPr>
                  <w:tcW w:w="698" w:type="dxa"/>
                  <w:noWrap w:val="0"/>
                  <w:vAlign w:val="center"/>
                </w:tcPr>
                <w:p w14:paraId="4F1D1A56">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778" w:type="dxa"/>
                  <w:noWrap w:val="0"/>
                  <w:vAlign w:val="center"/>
                </w:tcPr>
                <w:p w14:paraId="5D6EA2D3">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794" w:type="dxa"/>
                  <w:noWrap w:val="0"/>
                  <w:vAlign w:val="center"/>
                </w:tcPr>
                <w:p w14:paraId="4B39E955">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9.474</w:t>
                  </w:r>
                </w:p>
              </w:tc>
            </w:tr>
            <w:tr w14:paraId="601AC2C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26" w:type="dxa"/>
                  <w:shd w:val="clear" w:color="auto" w:fill="auto"/>
                  <w:noWrap w:val="0"/>
                  <w:vAlign w:val="center"/>
                </w:tcPr>
                <w:p w14:paraId="78779C51">
                  <w:pPr>
                    <w:pStyle w:val="34"/>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装卸扬尘</w:t>
                  </w:r>
                </w:p>
              </w:tc>
              <w:tc>
                <w:tcPr>
                  <w:tcW w:w="492" w:type="dxa"/>
                  <w:shd w:val="clear" w:color="auto" w:fill="auto"/>
                  <w:noWrap w:val="0"/>
                  <w:vAlign w:val="center"/>
                </w:tcPr>
                <w:p w14:paraId="25607870">
                  <w:pP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eastAsia="zh-CN"/>
                    </w:rPr>
                    <w:t>颗粒物</w:t>
                  </w:r>
                </w:p>
              </w:tc>
              <w:tc>
                <w:tcPr>
                  <w:tcW w:w="702" w:type="dxa"/>
                  <w:shd w:val="clear" w:color="auto" w:fill="auto"/>
                  <w:noWrap w:val="0"/>
                  <w:vAlign w:val="center"/>
                </w:tcPr>
                <w:p w14:paraId="04A7035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eastAsia="zh-CN"/>
                    </w:rPr>
                    <w:t>系数法</w:t>
                  </w:r>
                </w:p>
              </w:tc>
              <w:tc>
                <w:tcPr>
                  <w:tcW w:w="645" w:type="dxa"/>
                  <w:shd w:val="clear" w:color="auto" w:fill="auto"/>
                  <w:noWrap w:val="0"/>
                  <w:vAlign w:val="center"/>
                </w:tcPr>
                <w:p w14:paraId="340B7F0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w:t>
                  </w:r>
                </w:p>
              </w:tc>
              <w:tc>
                <w:tcPr>
                  <w:tcW w:w="825" w:type="dxa"/>
                  <w:shd w:val="clear" w:color="auto" w:fill="auto"/>
                  <w:noWrap w:val="0"/>
                  <w:vAlign w:val="center"/>
                </w:tcPr>
                <w:p w14:paraId="479E63D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w:t>
                  </w:r>
                </w:p>
              </w:tc>
              <w:tc>
                <w:tcPr>
                  <w:tcW w:w="900" w:type="dxa"/>
                  <w:shd w:val="clear" w:color="auto" w:fill="auto"/>
                  <w:noWrap w:val="0"/>
                  <w:vAlign w:val="center"/>
                </w:tcPr>
                <w:p w14:paraId="0D53B59D">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12.5</w:t>
                  </w:r>
                </w:p>
              </w:tc>
              <w:tc>
                <w:tcPr>
                  <w:tcW w:w="1168" w:type="dxa"/>
                  <w:shd w:val="clear" w:color="auto" w:fill="auto"/>
                  <w:noWrap w:val="0"/>
                  <w:vAlign w:val="center"/>
                </w:tcPr>
                <w:p w14:paraId="35B7F455">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储煤场四周设置防风抑尘网，洒水降尘</w:t>
                  </w:r>
                </w:p>
              </w:tc>
              <w:tc>
                <w:tcPr>
                  <w:tcW w:w="607" w:type="dxa"/>
                  <w:shd w:val="clear" w:color="auto" w:fill="auto"/>
                  <w:noWrap w:val="0"/>
                  <w:vAlign w:val="center"/>
                </w:tcPr>
                <w:p w14:paraId="6CE4C103">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90%</w:t>
                  </w:r>
                </w:p>
              </w:tc>
              <w:tc>
                <w:tcPr>
                  <w:tcW w:w="652" w:type="dxa"/>
                  <w:shd w:val="clear" w:color="auto" w:fill="auto"/>
                  <w:noWrap w:val="0"/>
                  <w:vAlign w:val="center"/>
                </w:tcPr>
                <w:p w14:paraId="34D6566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系数法</w:t>
                  </w:r>
                </w:p>
              </w:tc>
              <w:tc>
                <w:tcPr>
                  <w:tcW w:w="698" w:type="dxa"/>
                  <w:shd w:val="clear" w:color="auto" w:fill="auto"/>
                  <w:noWrap w:val="0"/>
                  <w:vAlign w:val="center"/>
                </w:tcPr>
                <w:p w14:paraId="2F79BD8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w:t>
                  </w:r>
                </w:p>
              </w:tc>
              <w:tc>
                <w:tcPr>
                  <w:tcW w:w="778" w:type="dxa"/>
                  <w:shd w:val="clear" w:color="auto" w:fill="auto"/>
                  <w:noWrap w:val="0"/>
                  <w:vAlign w:val="center"/>
                </w:tcPr>
                <w:p w14:paraId="2748FFF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w:t>
                  </w:r>
                </w:p>
              </w:tc>
              <w:tc>
                <w:tcPr>
                  <w:tcW w:w="794" w:type="dxa"/>
                  <w:shd w:val="clear" w:color="auto" w:fill="auto"/>
                  <w:noWrap w:val="0"/>
                  <w:vAlign w:val="center"/>
                </w:tcPr>
                <w:p w14:paraId="1B602BE3">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1.25</w:t>
                  </w:r>
                </w:p>
              </w:tc>
            </w:tr>
            <w:tr w14:paraId="331A1EC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26" w:type="dxa"/>
                  <w:noWrap w:val="0"/>
                  <w:vAlign w:val="center"/>
                </w:tcPr>
                <w:p w14:paraId="7D4BA755">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运输扬尘</w:t>
                  </w:r>
                </w:p>
              </w:tc>
              <w:tc>
                <w:tcPr>
                  <w:tcW w:w="492" w:type="dxa"/>
                  <w:noWrap w:val="0"/>
                  <w:vAlign w:val="center"/>
                </w:tcPr>
                <w:p w14:paraId="7C3AFDB3">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w:t>
                  </w:r>
                </w:p>
              </w:tc>
              <w:tc>
                <w:tcPr>
                  <w:tcW w:w="702" w:type="dxa"/>
                  <w:noWrap w:val="0"/>
                  <w:vAlign w:val="center"/>
                </w:tcPr>
                <w:p w14:paraId="45BA23F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系数法</w:t>
                  </w:r>
                </w:p>
              </w:tc>
              <w:tc>
                <w:tcPr>
                  <w:tcW w:w="645" w:type="dxa"/>
                  <w:noWrap w:val="0"/>
                  <w:vAlign w:val="center"/>
                </w:tcPr>
                <w:p w14:paraId="6F6AC75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825" w:type="dxa"/>
                  <w:noWrap w:val="0"/>
                  <w:vAlign w:val="center"/>
                </w:tcPr>
                <w:p w14:paraId="2D245DC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900" w:type="dxa"/>
                  <w:noWrap w:val="0"/>
                  <w:vAlign w:val="center"/>
                </w:tcPr>
                <w:p w14:paraId="3D5E698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0.00</w:t>
                  </w:r>
                  <w:r>
                    <w:rPr>
                      <w:rFonts w:hint="eastAsia" w:cs="Times New Roman"/>
                      <w:color w:val="auto"/>
                      <w:szCs w:val="21"/>
                      <w:highlight w:val="none"/>
                      <w:lang w:val="en-US" w:eastAsia="zh-CN"/>
                    </w:rPr>
                    <w:t>24</w:t>
                  </w:r>
                </w:p>
              </w:tc>
              <w:tc>
                <w:tcPr>
                  <w:tcW w:w="1168" w:type="dxa"/>
                  <w:noWrap w:val="0"/>
                  <w:vAlign w:val="center"/>
                </w:tcPr>
                <w:p w14:paraId="25C3F87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加盖苫布、控制车速、道路洒水抑尘</w:t>
                  </w:r>
                </w:p>
              </w:tc>
              <w:tc>
                <w:tcPr>
                  <w:tcW w:w="607" w:type="dxa"/>
                  <w:noWrap w:val="0"/>
                  <w:vAlign w:val="center"/>
                </w:tcPr>
                <w:p w14:paraId="06567CA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80</w:t>
                  </w:r>
                  <w:r>
                    <w:rPr>
                      <w:rFonts w:hint="default" w:ascii="Times New Roman" w:hAnsi="Times New Roman" w:cs="Times New Roman"/>
                      <w:color w:val="auto"/>
                      <w:szCs w:val="21"/>
                      <w:highlight w:val="none"/>
                    </w:rPr>
                    <w:t>%</w:t>
                  </w:r>
                </w:p>
              </w:tc>
              <w:tc>
                <w:tcPr>
                  <w:tcW w:w="652" w:type="dxa"/>
                  <w:noWrap w:val="0"/>
                  <w:vAlign w:val="center"/>
                </w:tcPr>
                <w:p w14:paraId="08CCA71C">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系数法</w:t>
                  </w:r>
                </w:p>
              </w:tc>
              <w:tc>
                <w:tcPr>
                  <w:tcW w:w="698" w:type="dxa"/>
                  <w:noWrap w:val="0"/>
                  <w:vAlign w:val="center"/>
                </w:tcPr>
                <w:p w14:paraId="38ACEBD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778" w:type="dxa"/>
                  <w:noWrap w:val="0"/>
                  <w:vAlign w:val="center"/>
                </w:tcPr>
                <w:p w14:paraId="59F18B9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794" w:type="dxa"/>
                  <w:noWrap w:val="0"/>
                  <w:vAlign w:val="center"/>
                </w:tcPr>
                <w:p w14:paraId="751091A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0.000</w:t>
                  </w:r>
                  <w:r>
                    <w:rPr>
                      <w:rFonts w:hint="eastAsia" w:cs="Times New Roman"/>
                      <w:color w:val="auto"/>
                      <w:szCs w:val="21"/>
                      <w:highlight w:val="none"/>
                      <w:lang w:val="en-US" w:eastAsia="zh-CN"/>
                    </w:rPr>
                    <w:t>48</w:t>
                  </w:r>
                </w:p>
              </w:tc>
            </w:tr>
          </w:tbl>
          <w:p w14:paraId="0789C306">
            <w:pPr>
              <w:numPr>
                <w:ilvl w:val="0"/>
                <w:numId w:val="0"/>
              </w:num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2</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大气环境影响分析</w:t>
            </w:r>
          </w:p>
          <w:p w14:paraId="56D92636">
            <w:pPr>
              <w:numPr>
                <w:ilvl w:val="0"/>
                <w:numId w:val="0"/>
              </w:numPr>
              <w:adjustRightInd w:val="0"/>
              <w:snapToGrid w:val="0"/>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highlight w:val="none"/>
              </w:rPr>
              <w:t>本项目所在区域为环境质量达标区，本项目</w:t>
            </w:r>
            <w:r>
              <w:rPr>
                <w:rFonts w:hint="default" w:ascii="Times New Roman" w:hAnsi="Times New Roman" w:cs="Times New Roman"/>
                <w:bCs/>
                <w:color w:val="auto"/>
                <w:sz w:val="24"/>
                <w:highlight w:val="none"/>
                <w:lang w:val="en-US" w:eastAsia="zh-CN"/>
              </w:rPr>
              <w:t>仅用于煤炭储存和转运</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项目仅在</w:t>
            </w:r>
            <w:r>
              <w:rPr>
                <w:rFonts w:hint="default" w:ascii="Times New Roman" w:hAnsi="Times New Roman" w:cs="Times New Roman"/>
                <w:bCs/>
                <w:color w:val="auto"/>
                <w:sz w:val="24"/>
                <w:highlight w:val="none"/>
              </w:rPr>
              <w:t>物料装卸、堆存</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运输过程中产生粉尘，储煤场四周均设有防风抑尘网，储煤场内部地面硬化，洒水车定期对煤场</w:t>
            </w:r>
            <w:r>
              <w:rPr>
                <w:rFonts w:hint="default" w:ascii="Times New Roman" w:hAnsi="Times New Roman" w:cs="Times New Roman"/>
                <w:bCs/>
                <w:color w:val="auto"/>
                <w:sz w:val="24"/>
                <w:highlight w:val="none"/>
              </w:rPr>
              <w:t>进行洒水</w:t>
            </w:r>
            <w:r>
              <w:rPr>
                <w:rFonts w:hint="default" w:ascii="Times New Roman" w:hAnsi="Times New Roman" w:cs="Times New Roman"/>
                <w:bCs/>
                <w:color w:val="auto"/>
                <w:sz w:val="24"/>
                <w:highlight w:val="none"/>
                <w:lang w:val="en-US" w:eastAsia="zh-CN"/>
              </w:rPr>
              <w:t>降尘防燃</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储存煤炭使用绿网进行苫盖，并</w:t>
            </w:r>
            <w:r>
              <w:rPr>
                <w:rFonts w:hint="default" w:ascii="Times New Roman" w:hAnsi="Times New Roman" w:cs="Times New Roman"/>
                <w:bCs/>
                <w:color w:val="auto"/>
                <w:sz w:val="24"/>
                <w:highlight w:val="none"/>
              </w:rPr>
              <w:t>保持地面清洁，对运输车辆进行苫盖</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定期去外部指定洗车点对运输车辆进行清洗，保持车辆清洁。</w:t>
            </w:r>
            <w:r>
              <w:rPr>
                <w:rFonts w:hint="default" w:ascii="Times New Roman" w:hAnsi="Times New Roman" w:cs="Times New Roman"/>
                <w:color w:val="auto"/>
                <w:sz w:val="24"/>
                <w:szCs w:val="24"/>
                <w:lang w:val="en-US" w:eastAsia="zh-CN"/>
              </w:rPr>
              <w:t>本项目严禁在</w:t>
            </w:r>
            <w:r>
              <w:rPr>
                <w:rFonts w:hint="default" w:ascii="Times New Roman" w:hAnsi="Times New Roman" w:cs="Times New Roman"/>
                <w:color w:val="auto"/>
                <w:sz w:val="24"/>
              </w:rPr>
              <w:t>污染天气期间、大风天气时生产作业</w:t>
            </w:r>
            <w:r>
              <w:rPr>
                <w:rFonts w:hint="default" w:ascii="Times New Roman" w:hAnsi="Times New Roman" w:cs="Times New Roman"/>
                <w:color w:val="auto"/>
                <w:sz w:val="24"/>
                <w:lang w:eastAsia="zh-CN"/>
              </w:rPr>
              <w:t>，</w:t>
            </w:r>
            <w:r>
              <w:rPr>
                <w:rFonts w:hint="default" w:ascii="Times New Roman" w:hAnsi="Times New Roman" w:cs="Times New Roman"/>
                <w:bCs/>
                <w:color w:val="auto"/>
                <w:sz w:val="24"/>
              </w:rPr>
              <w:t>无组织颗粒物排放满足</w:t>
            </w:r>
            <w:r>
              <w:rPr>
                <w:rFonts w:hint="default" w:ascii="Times New Roman" w:hAnsi="Times New Roman" w:cs="Times New Roman"/>
                <w:bCs/>
                <w:color w:val="auto"/>
                <w:sz w:val="24"/>
                <w:lang w:val="en-US" w:eastAsia="zh-CN"/>
              </w:rPr>
              <w:t>《煤炭工业污染物排放标准》（</w:t>
            </w:r>
            <w:r>
              <w:rPr>
                <w:rFonts w:hint="default" w:ascii="Times New Roman" w:hAnsi="Times New Roman" w:cs="Times New Roman"/>
                <w:bCs/>
                <w:color w:val="auto"/>
                <w:sz w:val="24"/>
              </w:rPr>
              <w:t>GB20426-2006</w:t>
            </w:r>
            <w:r>
              <w:rPr>
                <w:rFonts w:hint="default" w:ascii="Times New Roman" w:hAnsi="Times New Roman" w:cs="Times New Roman"/>
                <w:bCs/>
                <w:color w:val="auto"/>
                <w:sz w:val="24"/>
                <w:lang w:val="en-US" w:eastAsia="zh-CN"/>
              </w:rPr>
              <w:t>）表5煤炭工业无组织排放限值</w:t>
            </w:r>
            <w:r>
              <w:rPr>
                <w:rFonts w:hint="default" w:ascii="Times New Roman" w:hAnsi="Times New Roman" w:cs="Times New Roman"/>
                <w:bCs/>
                <w:color w:val="auto"/>
                <w:sz w:val="24"/>
              </w:rPr>
              <w:t>要求。对区域环境空气影响较小。</w:t>
            </w:r>
          </w:p>
          <w:p w14:paraId="55DD007C">
            <w:pPr>
              <w:numPr>
                <w:ilvl w:val="0"/>
                <w:numId w:val="0"/>
              </w:numPr>
              <w:tabs>
                <w:tab w:val="left" w:pos="1291"/>
              </w:tabs>
              <w:spacing w:line="360" w:lineRule="auto"/>
              <w:ind w:firstLine="480" w:firstLineChars="200"/>
              <w:jc w:val="left"/>
              <w:rPr>
                <w:rFonts w:hint="default" w:ascii="Times New Roman" w:hAnsi="Times New Roman" w:cs="Times New Roman"/>
                <w:color w:val="auto"/>
                <w:lang w:eastAsia="zh-CN"/>
              </w:rPr>
            </w:pPr>
            <w:r>
              <w:rPr>
                <w:rFonts w:hint="default" w:ascii="Times New Roman" w:hAnsi="Times New Roman" w:cs="Times New Roman"/>
                <w:bCs/>
                <w:color w:val="auto"/>
                <w:sz w:val="24"/>
              </w:rPr>
              <w:t>综上所述，从环境空气的角度，本项目的建设是可行的。</w:t>
            </w:r>
          </w:p>
          <w:p w14:paraId="3797CE11">
            <w:pPr>
              <w:numPr>
                <w:ilvl w:val="0"/>
                <w:numId w:val="0"/>
              </w:numPr>
              <w:adjustRightInd w:val="0"/>
              <w:snapToGrid w:val="0"/>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3</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环保措施可行性分析</w:t>
            </w:r>
          </w:p>
          <w:p w14:paraId="3D16DCE9">
            <w:pPr>
              <w:numPr>
                <w:ilvl w:val="0"/>
                <w:numId w:val="0"/>
              </w:numPr>
              <w:adjustRightInd w:val="0"/>
              <w:snapToGrid w:val="0"/>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本环评要求项目储煤场四周均设有闭合的防风抑尘网，防风抑尘网高度</w:t>
            </w:r>
            <w:r>
              <w:rPr>
                <w:rFonts w:hint="eastAsia" w:cs="Times New Roman"/>
                <w:bCs/>
                <w:color w:val="auto"/>
                <w:sz w:val="24"/>
                <w:highlight w:val="none"/>
                <w:lang w:val="en-US" w:eastAsia="zh-CN"/>
              </w:rPr>
              <w:t>4.5</w:t>
            </w:r>
            <w:r>
              <w:rPr>
                <w:rFonts w:hint="default" w:ascii="Times New Roman" w:hAnsi="Times New Roman" w:cs="Times New Roman"/>
                <w:bCs/>
                <w:color w:val="auto"/>
                <w:sz w:val="24"/>
                <w:highlight w:val="none"/>
                <w:lang w:val="en-US" w:eastAsia="zh-CN"/>
              </w:rPr>
              <w:t>m</w:t>
            </w:r>
            <w:r>
              <w:rPr>
                <w:rFonts w:hint="default" w:ascii="Times New Roman" w:hAnsi="Times New Roman" w:cs="Times New Roman"/>
                <w:bCs/>
                <w:color w:val="auto"/>
                <w:sz w:val="24"/>
                <w:lang w:val="en-US" w:eastAsia="zh-CN"/>
              </w:rPr>
              <w:t>，贮存的煤炭使用绿网进行苫盖，定期对储煤场进行洒水降尘、储煤场厂区地面硬化，对进出储煤场运输车辆进行苫盖，运输车辆日常装卸煤炭过程中</w:t>
            </w:r>
            <w:r>
              <w:rPr>
                <w:rFonts w:hint="default" w:ascii="Times New Roman" w:hAnsi="Times New Roman" w:cs="Times New Roman"/>
                <w:color w:val="auto"/>
                <w:sz w:val="24"/>
                <w:highlight w:val="none"/>
                <w:lang w:val="en-US" w:eastAsia="zh-CN"/>
              </w:rPr>
              <w:t>装车使用洒水车对装车过程进行降尘，卸料过程尽量减少煤炭落料过程中高差</w:t>
            </w:r>
            <w:r>
              <w:rPr>
                <w:rFonts w:hint="default" w:ascii="Times New Roman" w:hAnsi="Times New Roman" w:cs="Times New Roman"/>
                <w:bCs/>
                <w:color w:val="auto"/>
                <w:sz w:val="24"/>
                <w:lang w:val="en-US" w:eastAsia="zh-CN"/>
              </w:rPr>
              <w:t>，煤场日常运行中进行</w:t>
            </w:r>
            <w:r>
              <w:rPr>
                <w:rFonts w:hint="default" w:ascii="Times New Roman" w:hAnsi="Times New Roman" w:cs="Times New Roman"/>
                <w:bCs/>
                <w:color w:val="auto"/>
                <w:sz w:val="24"/>
              </w:rPr>
              <w:t>洒水降尘</w:t>
            </w:r>
            <w:r>
              <w:rPr>
                <w:rFonts w:hint="default" w:ascii="Times New Roman" w:hAnsi="Times New Roman" w:cs="Times New Roman"/>
                <w:bCs/>
                <w:color w:val="auto"/>
                <w:sz w:val="24"/>
                <w:lang w:val="en-US" w:eastAsia="zh-CN"/>
              </w:rPr>
              <w:t>，禁止在重污染天气、大风天气进行作业，在严格落实以上措施后</w:t>
            </w:r>
            <w:r>
              <w:rPr>
                <w:rFonts w:hint="default" w:ascii="Times New Roman" w:hAnsi="Times New Roman" w:cs="Times New Roman"/>
                <w:bCs/>
                <w:color w:val="auto"/>
                <w:sz w:val="24"/>
                <w:highlight w:val="none"/>
                <w:lang w:val="en-US" w:eastAsia="zh-CN"/>
              </w:rPr>
              <w:t>，项目能够满足《中华人民共和国大气污染防治法》《鸡西市洗煤厂、储煤场环境综合整治验收标准》中大气污染治理措施要求。</w:t>
            </w:r>
          </w:p>
          <w:p w14:paraId="662CD29F">
            <w:pPr>
              <w:numPr>
                <w:ilvl w:val="0"/>
                <w:numId w:val="0"/>
              </w:num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4</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监测要求</w:t>
            </w:r>
          </w:p>
          <w:p w14:paraId="5670B5BB">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根据《排污单位自行监测技术指南 总则》（HJ819-2017），废气监测要求详见表4-</w:t>
            </w:r>
            <w:r>
              <w:rPr>
                <w:rFonts w:hint="default" w:ascii="Times New Roman" w:hAnsi="Times New Roman" w:cs="Times New Roman"/>
                <w:bCs/>
                <w:color w:val="auto"/>
                <w:sz w:val="24"/>
                <w:highlight w:val="none"/>
                <w:lang w:val="en-US" w:eastAsia="zh-CN"/>
              </w:rPr>
              <w:t>2</w:t>
            </w:r>
            <w:r>
              <w:rPr>
                <w:rFonts w:hint="default" w:ascii="Times New Roman" w:hAnsi="Times New Roman" w:cs="Times New Roman"/>
                <w:bCs/>
                <w:color w:val="auto"/>
                <w:sz w:val="24"/>
                <w:highlight w:val="none"/>
              </w:rPr>
              <w:t>。</w:t>
            </w:r>
          </w:p>
          <w:p w14:paraId="5B87EF59">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表4-2  监测要求</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6"/>
              <w:gridCol w:w="1150"/>
              <w:gridCol w:w="1162"/>
              <w:gridCol w:w="1250"/>
              <w:gridCol w:w="4192"/>
            </w:tblGrid>
            <w:tr w14:paraId="3B7B085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noWrap w:val="0"/>
                  <w:vAlign w:val="center"/>
                </w:tcPr>
                <w:p w14:paraId="404E1DDC">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监测类别</w:t>
                  </w:r>
                </w:p>
              </w:tc>
              <w:tc>
                <w:tcPr>
                  <w:tcW w:w="1138" w:type="dxa"/>
                  <w:noWrap w:val="0"/>
                  <w:vAlign w:val="center"/>
                </w:tcPr>
                <w:p w14:paraId="7F4CA823">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监测点位</w:t>
                  </w:r>
                </w:p>
              </w:tc>
              <w:tc>
                <w:tcPr>
                  <w:tcW w:w="1150" w:type="dxa"/>
                  <w:noWrap w:val="0"/>
                  <w:vAlign w:val="center"/>
                </w:tcPr>
                <w:p w14:paraId="0E974492">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监测因子</w:t>
                  </w:r>
                </w:p>
              </w:tc>
              <w:tc>
                <w:tcPr>
                  <w:tcW w:w="1237" w:type="dxa"/>
                  <w:noWrap w:val="0"/>
                  <w:vAlign w:val="center"/>
                </w:tcPr>
                <w:p w14:paraId="1CCEB048">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监测频次</w:t>
                  </w:r>
                </w:p>
              </w:tc>
              <w:tc>
                <w:tcPr>
                  <w:tcW w:w="4148" w:type="dxa"/>
                  <w:noWrap w:val="0"/>
                  <w:vAlign w:val="center"/>
                </w:tcPr>
                <w:p w14:paraId="003525C4">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执行标准</w:t>
                  </w:r>
                </w:p>
              </w:tc>
            </w:tr>
            <w:tr w14:paraId="6C60BE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noWrap w:val="0"/>
                  <w:vAlign w:val="center"/>
                </w:tcPr>
                <w:p w14:paraId="5714A6BA">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无组织废气</w:t>
                  </w:r>
                </w:p>
              </w:tc>
              <w:tc>
                <w:tcPr>
                  <w:tcW w:w="1138" w:type="dxa"/>
                  <w:noWrap w:val="0"/>
                  <w:vAlign w:val="center"/>
                </w:tcPr>
                <w:p w14:paraId="18AEE229">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厂界</w:t>
                  </w:r>
                </w:p>
              </w:tc>
              <w:tc>
                <w:tcPr>
                  <w:tcW w:w="1150" w:type="dxa"/>
                  <w:noWrap w:val="0"/>
                  <w:vAlign w:val="center"/>
                </w:tcPr>
                <w:p w14:paraId="1E97CA77">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颗粒物</w:t>
                  </w:r>
                </w:p>
              </w:tc>
              <w:tc>
                <w:tcPr>
                  <w:tcW w:w="1237" w:type="dxa"/>
                  <w:noWrap w:val="0"/>
                  <w:vAlign w:val="center"/>
                </w:tcPr>
                <w:p w14:paraId="3DC77DE6">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1次/年</w:t>
                  </w:r>
                </w:p>
              </w:tc>
              <w:tc>
                <w:tcPr>
                  <w:tcW w:w="4148" w:type="dxa"/>
                  <w:noWrap w:val="0"/>
                  <w:vAlign w:val="center"/>
                </w:tcPr>
                <w:p w14:paraId="4A7F17C1">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szCs w:val="21"/>
                    </w:rPr>
                    <w:t>《煤炭工业污染物排放标准》（GB20426-2006）</w:t>
                  </w:r>
                </w:p>
              </w:tc>
            </w:tr>
          </w:tbl>
          <w:p w14:paraId="6E33202B">
            <w:pPr>
              <w:numPr>
                <w:ilvl w:val="0"/>
                <w:numId w:val="0"/>
              </w:numPr>
              <w:adjustRightInd w:val="0"/>
              <w:snapToGrid w:val="0"/>
              <w:spacing w:line="360" w:lineRule="auto"/>
              <w:ind w:firstLine="480" w:firstLineChars="200"/>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lang w:eastAsia="zh-CN"/>
              </w:rPr>
              <w:t>非正常工况</w:t>
            </w:r>
          </w:p>
          <w:p w14:paraId="5EE0C6E2">
            <w:pPr>
              <w:numPr>
                <w:ilvl w:val="0"/>
                <w:numId w:val="0"/>
              </w:numPr>
              <w:adjustRightInd w:val="0"/>
              <w:snapToGrid w:val="0"/>
              <w:spacing w:line="360" w:lineRule="auto"/>
              <w:ind w:firstLine="480" w:firstLineChars="200"/>
              <w:rPr>
                <w:rFonts w:hint="default" w:ascii="Times New Roman" w:hAnsi="Times New Roman" w:cs="Times New Roman"/>
                <w:b/>
                <w:color w:val="auto"/>
                <w:sz w:val="24"/>
                <w:highlight w:val="none"/>
              </w:rPr>
            </w:pPr>
            <w:r>
              <w:rPr>
                <w:rFonts w:hint="default" w:ascii="Times New Roman" w:hAnsi="Times New Roman" w:cs="Times New Roman"/>
                <w:bCs/>
                <w:color w:val="auto"/>
                <w:sz w:val="24"/>
                <w:highlight w:val="none"/>
                <w:lang w:val="en-US" w:eastAsia="zh-CN"/>
              </w:rPr>
              <w:t>本项目可能发生最不利的非正常工况是防风抑尘网故障、苫布破损，按最不利情况计算，仅有洒水降尘措施，去除效率为74%，则堆场风蚀扬尘颗粒物排放速率为</w:t>
            </w:r>
            <w:r>
              <w:rPr>
                <w:rFonts w:hint="eastAsia" w:cs="Times New Roman"/>
                <w:bCs/>
                <w:color w:val="auto"/>
                <w:sz w:val="24"/>
                <w:highlight w:val="none"/>
                <w:lang w:val="en-US" w:eastAsia="zh-CN"/>
              </w:rPr>
              <w:t>16.04</w:t>
            </w:r>
            <w:r>
              <w:rPr>
                <w:rFonts w:hint="default" w:ascii="Times New Roman" w:hAnsi="Times New Roman" w:cs="Times New Roman"/>
                <w:bCs/>
                <w:color w:val="auto"/>
                <w:sz w:val="24"/>
                <w:highlight w:val="none"/>
                <w:lang w:val="en-US" w:eastAsia="zh-CN"/>
              </w:rPr>
              <w:t>kg/h。本项目在非正常工况下和重污染天气期间、大风天气时不进行作业。本项目应加强防风抑尘网的运行维护，制订巡检制度，采取上述措施后，可有效降低非正常工况的发生概率，降低对周边环境影响。</w:t>
            </w:r>
          </w:p>
          <w:p w14:paraId="77D905EF">
            <w:pPr>
              <w:adjustRightInd w:val="0"/>
              <w:snapToGrid w:val="0"/>
              <w:spacing w:line="360" w:lineRule="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2、废水</w:t>
            </w:r>
          </w:p>
          <w:p w14:paraId="6F0207A4">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）项目废</w:t>
            </w:r>
            <w:r>
              <w:rPr>
                <w:rFonts w:hint="default" w:ascii="Times New Roman" w:hAnsi="Times New Roman" w:cs="Times New Roman"/>
                <w:bCs/>
                <w:color w:val="auto"/>
                <w:sz w:val="24"/>
                <w:highlight w:val="none"/>
                <w:lang w:val="en-US" w:eastAsia="zh-CN"/>
              </w:rPr>
              <w:t>水源强</w:t>
            </w:r>
          </w:p>
          <w:p w14:paraId="68855B3F">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本项目</w:t>
            </w:r>
            <w:r>
              <w:rPr>
                <w:rFonts w:hint="default" w:ascii="Times New Roman" w:hAnsi="Times New Roman" w:cs="Times New Roman"/>
                <w:color w:val="auto"/>
                <w:sz w:val="24"/>
                <w:szCs w:val="24"/>
                <w:highlight w:val="none"/>
                <w:lang w:val="en-US" w:eastAsia="zh-CN"/>
              </w:rPr>
              <w:t>用水外购，</w:t>
            </w:r>
            <w:r>
              <w:rPr>
                <w:rFonts w:hint="default" w:ascii="Times New Roman" w:hAnsi="Times New Roman" w:cs="Times New Roman"/>
                <w:color w:val="auto"/>
                <w:sz w:val="24"/>
                <w:szCs w:val="24"/>
                <w:highlight w:val="none"/>
              </w:rPr>
              <w:t>运营期用水主要为职工生活用水</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堆场及道路洒水</w:t>
            </w:r>
            <w:r>
              <w:rPr>
                <w:rFonts w:hint="default" w:ascii="Times New Roman" w:hAnsi="Times New Roman" w:cs="Times New Roman"/>
                <w:color w:val="auto"/>
                <w:sz w:val="24"/>
                <w:szCs w:val="24"/>
                <w:highlight w:val="none"/>
                <w:lang w:eastAsia="zh-CN"/>
              </w:rPr>
              <w:t>。</w:t>
            </w:r>
          </w:p>
          <w:p w14:paraId="79E6EFB3">
            <w:pPr>
              <w:adjustRightInd w:val="0"/>
              <w:snapToGrid w:val="0"/>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生活污水</w:t>
            </w:r>
          </w:p>
          <w:p w14:paraId="239DDC0C">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color w:val="auto"/>
                <w:sz w:val="24"/>
                <w:szCs w:val="24"/>
                <w:highlight w:val="none"/>
              </w:rPr>
              <w:t>生活污水产生量为0</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256</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/d，年产生量为</w:t>
            </w:r>
            <w:r>
              <w:rPr>
                <w:rFonts w:hint="eastAsia" w:cs="Times New Roman"/>
                <w:color w:val="auto"/>
                <w:sz w:val="24"/>
                <w:szCs w:val="24"/>
                <w:highlight w:val="none"/>
                <w:lang w:val="en-US" w:eastAsia="zh-CN"/>
              </w:rPr>
              <w:t>76.8</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，排入防渗旱厕，</w:t>
            </w:r>
            <w:r>
              <w:rPr>
                <w:rFonts w:hint="default" w:ascii="Times New Roman" w:hAnsi="Times New Roman" w:cs="Times New Roman"/>
                <w:bCs/>
                <w:color w:val="auto"/>
                <w:sz w:val="24"/>
                <w:highlight w:val="none"/>
              </w:rPr>
              <w:t>定期清掏外运，不外排。</w:t>
            </w:r>
          </w:p>
          <w:p w14:paraId="7822D1F9">
            <w:pPr>
              <w:numPr>
                <w:ilvl w:val="0"/>
                <w:numId w:val="0"/>
              </w:num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2）</w:t>
            </w:r>
            <w:r>
              <w:rPr>
                <w:rFonts w:hint="default" w:ascii="Times New Roman" w:hAnsi="Times New Roman" w:cs="Times New Roman"/>
                <w:bCs/>
                <w:color w:val="auto"/>
                <w:sz w:val="24"/>
                <w:highlight w:val="none"/>
                <w:lang w:val="en-US" w:eastAsia="zh-CN"/>
              </w:rPr>
              <w:t>道路及堆场洒</w:t>
            </w:r>
            <w:r>
              <w:rPr>
                <w:rFonts w:hint="default" w:ascii="Times New Roman" w:hAnsi="Times New Roman" w:eastAsia="宋体" w:cs="Times New Roman"/>
                <w:bCs/>
                <w:color w:val="auto"/>
                <w:sz w:val="24"/>
                <w:highlight w:val="none"/>
                <w:lang w:val="en-US" w:eastAsia="zh-CN"/>
              </w:rPr>
              <w:t>水</w:t>
            </w:r>
          </w:p>
          <w:p w14:paraId="1B412CE1">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储煤场日常工作中通过对堆场及道路进行洒水降尘，减少粉尘产生。</w:t>
            </w:r>
            <w:r>
              <w:rPr>
                <w:rFonts w:hint="eastAsia" w:cs="Times New Roman"/>
                <w:color w:val="auto"/>
                <w:sz w:val="24"/>
                <w:szCs w:val="24"/>
                <w:highlight w:val="none"/>
                <w:lang w:val="en-US" w:eastAsia="zh-CN"/>
              </w:rPr>
              <w:t>年洒水用量为3650.4</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eastAsia" w:cs="Times New Roman"/>
                <w:color w:val="auto"/>
                <w:sz w:val="24"/>
                <w:szCs w:val="24"/>
                <w:highlight w:val="none"/>
                <w:vertAlign w:val="baseline"/>
                <w:lang w:eastAsia="zh-CN"/>
              </w:rPr>
              <w:t>（</w:t>
            </w:r>
            <w:r>
              <w:rPr>
                <w:rFonts w:hint="eastAsia" w:cs="Times New Roman"/>
                <w:color w:val="auto"/>
                <w:sz w:val="24"/>
                <w:highlight w:val="none"/>
                <w:lang w:val="en-US" w:eastAsia="zh-CN"/>
              </w:rPr>
              <w:t>20.28</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/d</w:t>
            </w:r>
            <w:r>
              <w:rPr>
                <w:rFonts w:hint="eastAsia" w:cs="Times New Roman"/>
                <w:color w:val="auto"/>
                <w:sz w:val="24"/>
                <w:szCs w:val="24"/>
                <w:highlight w:val="none"/>
                <w:vertAlign w:val="baseline"/>
                <w:lang w:eastAsia="zh-CN"/>
              </w:rPr>
              <w:t>），</w:t>
            </w:r>
            <w:r>
              <w:rPr>
                <w:rFonts w:hint="default" w:ascii="Times New Roman" w:hAnsi="Times New Roman" w:cs="Times New Roman"/>
                <w:bCs/>
                <w:color w:val="auto"/>
                <w:sz w:val="24"/>
                <w:highlight w:val="none"/>
                <w:lang w:val="en-US" w:eastAsia="zh-CN"/>
              </w:rPr>
              <w:t>道路及堆场洒</w:t>
            </w:r>
            <w:r>
              <w:rPr>
                <w:rFonts w:hint="default" w:ascii="Times New Roman" w:hAnsi="Times New Roman" w:eastAsia="宋体" w:cs="Times New Roman"/>
                <w:bCs/>
                <w:color w:val="auto"/>
                <w:sz w:val="24"/>
                <w:highlight w:val="none"/>
                <w:lang w:val="en-US" w:eastAsia="zh-CN"/>
              </w:rPr>
              <w:t>水</w:t>
            </w:r>
            <w:r>
              <w:rPr>
                <w:rFonts w:hint="default" w:ascii="Times New Roman" w:hAnsi="Times New Roman" w:cs="Times New Roman"/>
                <w:color w:val="auto"/>
                <w:sz w:val="24"/>
                <w:szCs w:val="24"/>
                <w:highlight w:val="none"/>
                <w:lang w:val="en-US" w:eastAsia="zh-CN"/>
              </w:rPr>
              <w:t>随空气蒸发，不外排。</w:t>
            </w:r>
          </w:p>
          <w:p w14:paraId="2EEDC0CD">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lang w:val="en-US" w:eastAsia="zh-CN"/>
              </w:rPr>
              <w:t>3）初期</w:t>
            </w:r>
            <w:r>
              <w:rPr>
                <w:rFonts w:hint="default" w:ascii="Times New Roman" w:hAnsi="Times New Roman" w:eastAsia="宋体" w:cs="Times New Roman"/>
                <w:bCs/>
                <w:color w:val="auto"/>
                <w:sz w:val="24"/>
                <w:highlight w:val="none"/>
                <w:lang w:eastAsia="zh-CN"/>
              </w:rPr>
              <w:t>雨水</w:t>
            </w:r>
          </w:p>
          <w:p w14:paraId="7B8AB3CB">
            <w:pPr>
              <w:numPr>
                <w:ilvl w:val="0"/>
                <w:numId w:val="0"/>
              </w:numPr>
              <w:spacing w:line="360" w:lineRule="auto"/>
              <w:ind w:firstLine="480" w:firstLineChars="200"/>
              <w:rPr>
                <w:rFonts w:hint="default" w:ascii="Times New Roman" w:hAnsi="Times New Roman" w:cs="Times New Roman"/>
                <w:color w:val="auto"/>
                <w:sz w:val="24"/>
                <w:szCs w:val="22"/>
                <w:highlight w:val="none"/>
                <w:lang w:eastAsia="zh-CN"/>
              </w:rPr>
            </w:pPr>
            <w:r>
              <w:rPr>
                <w:rFonts w:hint="default" w:ascii="Times New Roman" w:hAnsi="Times New Roman" w:eastAsia="宋体" w:cs="Times New Roman"/>
                <w:bCs/>
                <w:color w:val="auto"/>
                <w:sz w:val="24"/>
                <w:highlight w:val="none"/>
                <w:lang w:val="en-US" w:eastAsia="zh-CN"/>
              </w:rPr>
              <w:t>本项目堆场汇集雨水主要污染因子均为SS，类比调查平均SS浓度为700mg/L。雨水收集至</w:t>
            </w:r>
            <w:r>
              <w:rPr>
                <w:rFonts w:hint="default" w:ascii="Times New Roman" w:hAnsi="Times New Roman" w:cs="Times New Roman"/>
                <w:bCs/>
                <w:color w:val="auto"/>
                <w:sz w:val="24"/>
                <w:highlight w:val="none"/>
                <w:lang w:val="en-US" w:eastAsia="zh-CN"/>
              </w:rPr>
              <w:t>初期雨水收集池</w:t>
            </w:r>
            <w:r>
              <w:rPr>
                <w:rFonts w:hint="default" w:ascii="Times New Roman" w:hAnsi="Times New Roman" w:eastAsia="宋体" w:cs="Times New Roman"/>
                <w:bCs/>
                <w:color w:val="auto"/>
                <w:sz w:val="24"/>
                <w:highlight w:val="none"/>
                <w:lang w:val="en-US" w:eastAsia="zh-CN"/>
              </w:rPr>
              <w:t>，回用于堆场洒水以及道路洒水抑尘等用水，不外排。</w:t>
            </w:r>
            <w:r>
              <w:rPr>
                <w:rFonts w:hint="default" w:ascii="Times New Roman" w:hAnsi="Times New Roman" w:cs="Times New Roman"/>
                <w:color w:val="auto"/>
                <w:sz w:val="24"/>
                <w:szCs w:val="22"/>
                <w:highlight w:val="none"/>
                <w:lang w:val="en-US" w:eastAsia="zh-CN"/>
              </w:rPr>
              <w:t>雨水：在鸡西市</w:t>
            </w:r>
            <w:r>
              <w:rPr>
                <w:rFonts w:hint="default" w:ascii="Times New Roman" w:hAnsi="Times New Roman" w:cs="Times New Roman"/>
                <w:color w:val="auto"/>
                <w:sz w:val="24"/>
                <w:szCs w:val="22"/>
                <w:highlight w:val="none"/>
                <w:lang w:eastAsia="zh-CN"/>
              </w:rPr>
              <w:t>近十年</w:t>
            </w:r>
            <w:r>
              <w:rPr>
                <w:rFonts w:hint="default" w:ascii="Times New Roman" w:hAnsi="Times New Roman" w:cs="Times New Roman"/>
                <w:color w:val="auto"/>
                <w:sz w:val="24"/>
                <w:szCs w:val="22"/>
                <w:highlight w:val="none"/>
                <w:lang w:val="en-US" w:eastAsia="zh-CN"/>
              </w:rPr>
              <w:t>年均</w:t>
            </w:r>
            <w:r>
              <w:rPr>
                <w:rFonts w:hint="default" w:ascii="Times New Roman" w:hAnsi="Times New Roman" w:cs="Times New Roman"/>
                <w:color w:val="auto"/>
                <w:sz w:val="24"/>
                <w:szCs w:val="22"/>
                <w:highlight w:val="none"/>
                <w:lang w:eastAsia="zh-CN"/>
              </w:rPr>
              <w:t>降雨量为55</w:t>
            </w:r>
            <w:r>
              <w:rPr>
                <w:rFonts w:hint="default" w:ascii="Times New Roman" w:hAnsi="Times New Roman" w:cs="Times New Roman"/>
                <w:color w:val="auto"/>
                <w:sz w:val="24"/>
                <w:szCs w:val="22"/>
                <w:highlight w:val="none"/>
                <w:lang w:val="en-US" w:eastAsia="zh-CN"/>
              </w:rPr>
              <w:t>9</w:t>
            </w:r>
            <w:r>
              <w:rPr>
                <w:rFonts w:hint="default" w:ascii="Times New Roman" w:hAnsi="Times New Roman" w:cs="Times New Roman"/>
                <w:color w:val="auto"/>
                <w:sz w:val="24"/>
                <w:szCs w:val="22"/>
                <w:highlight w:val="none"/>
                <w:lang w:eastAsia="zh-CN"/>
              </w:rPr>
              <w:t>mm，</w:t>
            </w:r>
            <w:r>
              <w:rPr>
                <w:rFonts w:hint="default" w:ascii="Times New Roman" w:hAnsi="Times New Roman" w:cs="Times New Roman"/>
                <w:color w:val="auto"/>
                <w:sz w:val="24"/>
                <w:szCs w:val="22"/>
                <w:highlight w:val="none"/>
                <w:lang w:val="en-US" w:eastAsia="zh-CN"/>
              </w:rPr>
              <w:t>径流系数取0.</w:t>
            </w:r>
            <w:r>
              <w:rPr>
                <w:rFonts w:hint="eastAsia" w:cs="Times New Roman"/>
                <w:color w:val="auto"/>
                <w:sz w:val="24"/>
                <w:szCs w:val="22"/>
                <w:highlight w:val="none"/>
                <w:lang w:val="en-US" w:eastAsia="zh-CN"/>
              </w:rPr>
              <w:t>6</w:t>
            </w:r>
            <w:r>
              <w:rPr>
                <w:rFonts w:hint="default" w:ascii="Times New Roman" w:hAnsi="Times New Roman" w:cs="Times New Roman"/>
                <w:color w:val="auto"/>
                <w:sz w:val="24"/>
                <w:szCs w:val="22"/>
                <w:highlight w:val="none"/>
                <w:lang w:val="en-US" w:eastAsia="zh-CN"/>
              </w:rPr>
              <w:t>，以平均降雨量集中在降雨前3h计，初期雨水为前15分钟降水，年均收集雨水量及年均初期雨水量计算公式如下：</w:t>
            </w:r>
          </w:p>
          <w:p w14:paraId="261B023F">
            <w:pPr>
              <w:numPr>
                <w:ilvl w:val="0"/>
                <w:numId w:val="0"/>
              </w:numPr>
              <w:spacing w:line="500" w:lineRule="exact"/>
              <w:ind w:firstLine="480" w:firstLineChars="200"/>
              <w:rPr>
                <w:rFonts w:hint="default" w:ascii="Times New Roman" w:hAnsi="Times New Roman" w:cs="Times New Roman"/>
                <w:b/>
                <w:bCs/>
                <w:color w:val="auto"/>
                <w:kern w:val="2"/>
                <w:sz w:val="24"/>
                <w:szCs w:val="24"/>
                <w:highlight w:val="none"/>
                <w:lang w:val="en-US" w:eastAsia="zh-CN" w:bidi="ar-SA"/>
              </w:rPr>
            </w:pPr>
            <w:r>
              <w:rPr>
                <w:rFonts w:hint="default" w:ascii="Times New Roman" w:hAnsi="Times New Roman" w:cs="Times New Roman"/>
                <w:color w:val="auto"/>
                <w:sz w:val="24"/>
                <w:szCs w:val="22"/>
                <w:highlight w:val="none"/>
                <w:lang w:val="en-US" w:eastAsia="zh-CN"/>
              </w:rPr>
              <w:t>年均雨水量=年均降雨量*径流系数*汇水面积</w:t>
            </w:r>
            <w:r>
              <w:rPr>
                <w:rFonts w:hint="default" w:ascii="Times New Roman" w:hAnsi="Times New Roman" w:cs="Times New Roman"/>
                <w:b/>
                <w:bCs/>
                <w:color w:val="auto"/>
                <w:kern w:val="2"/>
                <w:sz w:val="24"/>
                <w:szCs w:val="24"/>
                <w:highlight w:val="none"/>
                <w:lang w:val="en-US" w:eastAsia="zh-CN" w:bidi="ar-SA"/>
              </w:rPr>
              <w:t xml:space="preserve">  </w:t>
            </w:r>
          </w:p>
          <w:p w14:paraId="48CE7961">
            <w:pPr>
              <w:numPr>
                <w:ilvl w:val="0"/>
                <w:numId w:val="0"/>
              </w:numPr>
              <w:spacing w:line="500" w:lineRule="exact"/>
              <w:ind w:firstLine="480" w:firstLineChars="20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color w:val="auto"/>
                <w:sz w:val="24"/>
                <w:szCs w:val="22"/>
                <w:highlight w:val="none"/>
                <w:lang w:val="en-US" w:eastAsia="zh-CN"/>
              </w:rPr>
              <w:t>年均初期雨水量=年均降雨量*径流系数*汇水面积*15/180</w:t>
            </w:r>
            <w:r>
              <w:rPr>
                <w:rFonts w:hint="default" w:ascii="Times New Roman" w:hAnsi="Times New Roman" w:cs="Times New Roman"/>
                <w:b/>
                <w:bCs/>
                <w:color w:val="auto"/>
                <w:kern w:val="2"/>
                <w:sz w:val="24"/>
                <w:szCs w:val="24"/>
                <w:highlight w:val="none"/>
                <w:lang w:val="en-US" w:eastAsia="zh-CN" w:bidi="ar-SA"/>
              </w:rPr>
              <w:t xml:space="preserve">                  </w:t>
            </w:r>
          </w:p>
          <w:p w14:paraId="1512C133">
            <w:pPr>
              <w:numPr>
                <w:ilvl w:val="0"/>
                <w:numId w:val="0"/>
              </w:numPr>
              <w:spacing w:line="500" w:lineRule="exact"/>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cs="Times New Roman"/>
                <w:color w:val="auto"/>
                <w:sz w:val="24"/>
                <w:szCs w:val="22"/>
                <w:highlight w:val="none"/>
                <w:lang w:val="en-US" w:eastAsia="zh-CN"/>
              </w:rPr>
              <w:t>由上式计算可知，储煤场年雨水量</w:t>
            </w:r>
            <w:r>
              <w:rPr>
                <w:rFonts w:hint="eastAsia" w:cs="Times New Roman"/>
                <w:color w:val="auto"/>
                <w:sz w:val="24"/>
                <w:szCs w:val="22"/>
                <w:highlight w:val="none"/>
                <w:lang w:val="en-US" w:eastAsia="zh-CN"/>
              </w:rPr>
              <w:t>3449.25</w:t>
            </w:r>
            <w:r>
              <w:rPr>
                <w:rFonts w:hint="default" w:ascii="Times New Roman" w:hAnsi="Times New Roman" w:cs="Times New Roman"/>
                <w:color w:val="auto"/>
                <w:sz w:val="24"/>
                <w:szCs w:val="22"/>
                <w:highlight w:val="none"/>
                <w:lang w:val="en-US" w:eastAsia="zh-CN"/>
              </w:rPr>
              <w:t>m</w:t>
            </w:r>
            <w:r>
              <w:rPr>
                <w:rFonts w:hint="default" w:ascii="Times New Roman" w:hAnsi="Times New Roman" w:cs="Times New Roman"/>
                <w:color w:val="auto"/>
                <w:sz w:val="24"/>
                <w:szCs w:val="22"/>
                <w:highlight w:val="none"/>
                <w:vertAlign w:val="superscript"/>
                <w:lang w:val="en-US" w:eastAsia="zh-CN"/>
              </w:rPr>
              <w:t>3</w:t>
            </w:r>
            <w:r>
              <w:rPr>
                <w:rFonts w:hint="default" w:ascii="Times New Roman" w:hAnsi="Times New Roman" w:cs="Times New Roman"/>
                <w:color w:val="auto"/>
                <w:sz w:val="24"/>
                <w:szCs w:val="22"/>
                <w:highlight w:val="none"/>
                <w:lang w:val="en-US" w:eastAsia="zh-CN"/>
              </w:rPr>
              <w:t>，年初期雨水量为</w:t>
            </w:r>
            <w:r>
              <w:rPr>
                <w:rFonts w:hint="eastAsia" w:cs="Times New Roman"/>
                <w:color w:val="auto"/>
                <w:sz w:val="24"/>
                <w:szCs w:val="22"/>
                <w:highlight w:val="none"/>
                <w:lang w:val="en-US" w:eastAsia="zh-CN"/>
              </w:rPr>
              <w:t>174.89</w:t>
            </w:r>
            <w:r>
              <w:rPr>
                <w:rFonts w:hint="default" w:ascii="Times New Roman" w:hAnsi="Times New Roman" w:cs="Times New Roman"/>
                <w:color w:val="auto"/>
                <w:sz w:val="24"/>
                <w:szCs w:val="22"/>
                <w:highlight w:val="none"/>
                <w:lang w:val="en-US" w:eastAsia="zh-CN"/>
              </w:rPr>
              <w:t>m</w:t>
            </w:r>
            <w:r>
              <w:rPr>
                <w:rFonts w:hint="default" w:ascii="Times New Roman" w:hAnsi="Times New Roman" w:cs="Times New Roman"/>
                <w:color w:val="auto"/>
                <w:sz w:val="24"/>
                <w:szCs w:val="22"/>
                <w:highlight w:val="none"/>
                <w:vertAlign w:val="superscript"/>
                <w:lang w:val="en-US" w:eastAsia="zh-CN"/>
              </w:rPr>
              <w:t>3</w:t>
            </w:r>
            <w:r>
              <w:rPr>
                <w:rFonts w:hint="default" w:ascii="Times New Roman" w:hAnsi="Times New Roman" w:cs="Times New Roman"/>
                <w:color w:val="auto"/>
                <w:sz w:val="24"/>
                <w:szCs w:val="22"/>
                <w:highlight w:val="none"/>
                <w:lang w:val="en-US" w:eastAsia="zh-CN"/>
              </w:rPr>
              <w:t>，根据上文水平衡可知，堆场及道路洒水年使用量</w:t>
            </w:r>
            <w:r>
              <w:rPr>
                <w:rFonts w:hint="eastAsia" w:cs="Times New Roman"/>
                <w:color w:val="auto"/>
                <w:sz w:val="24"/>
                <w:szCs w:val="22"/>
                <w:highlight w:val="none"/>
                <w:lang w:val="en-US" w:eastAsia="zh-CN"/>
              </w:rPr>
              <w:t>3650.4</w:t>
            </w:r>
            <w:r>
              <w:rPr>
                <w:rFonts w:hint="default" w:ascii="Times New Roman" w:hAnsi="Times New Roman" w:cs="Times New Roman"/>
                <w:color w:val="auto"/>
                <w:sz w:val="24"/>
                <w:szCs w:val="22"/>
                <w:highlight w:val="none"/>
                <w:lang w:val="en-US" w:eastAsia="zh-CN"/>
              </w:rPr>
              <w:t>m</w:t>
            </w:r>
            <w:r>
              <w:rPr>
                <w:rFonts w:hint="default" w:ascii="Times New Roman" w:hAnsi="Times New Roman" w:cs="Times New Roman"/>
                <w:color w:val="auto"/>
                <w:sz w:val="24"/>
                <w:szCs w:val="22"/>
                <w:highlight w:val="none"/>
                <w:vertAlign w:val="superscript"/>
                <w:lang w:val="en-US" w:eastAsia="zh-CN"/>
              </w:rPr>
              <w:t>3</w:t>
            </w:r>
            <w:r>
              <w:rPr>
                <w:rFonts w:hint="default" w:ascii="Times New Roman" w:hAnsi="Times New Roman" w:cs="Times New Roman"/>
                <w:color w:val="auto"/>
                <w:sz w:val="24"/>
                <w:szCs w:val="22"/>
                <w:highlight w:val="none"/>
                <w:lang w:val="en-US" w:eastAsia="zh-CN"/>
              </w:rPr>
              <w:t>，收集的初期雨水能够全部被消纳。</w:t>
            </w:r>
          </w:p>
          <w:p w14:paraId="49589673">
            <w:pPr>
              <w:numPr>
                <w:ilvl w:val="0"/>
                <w:numId w:val="0"/>
              </w:numPr>
              <w:spacing w:line="500" w:lineRule="exact"/>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2</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水环境影响分析</w:t>
            </w:r>
          </w:p>
          <w:p w14:paraId="4F454858">
            <w:pPr>
              <w:numPr>
                <w:ilvl w:val="0"/>
                <w:numId w:val="0"/>
              </w:numPr>
              <w:spacing w:line="500" w:lineRule="exact"/>
              <w:ind w:firstLine="480" w:firstLineChars="200"/>
              <w:rPr>
                <w:rFonts w:hint="default" w:ascii="Times New Roman" w:hAnsi="Times New Roman" w:eastAsia="宋体" w:cs="Times New Roman"/>
                <w:color w:val="auto"/>
                <w:kern w:val="0"/>
                <w:sz w:val="24"/>
                <w:szCs w:val="22"/>
                <w:highlight w:val="none"/>
                <w:lang w:eastAsia="zh-CN"/>
              </w:rPr>
            </w:pPr>
            <w:r>
              <w:rPr>
                <w:rFonts w:hint="default" w:ascii="Times New Roman" w:hAnsi="Times New Roman" w:cs="Times New Roman"/>
                <w:color w:val="auto"/>
                <w:kern w:val="0"/>
                <w:sz w:val="24"/>
                <w:szCs w:val="22"/>
                <w:highlight w:val="none"/>
                <w:lang w:val="en-US" w:eastAsia="zh-CN"/>
              </w:rPr>
              <w:t>本项目产生的生活污水排入防渗旱厕，定期清掏外运堆肥；生产抑尘用水全部进入物料中挥发，不外排；初期雨水导入初期雨水收集池沉淀后回用于</w:t>
            </w:r>
            <w:r>
              <w:rPr>
                <w:rFonts w:hint="eastAsia"/>
                <w:color w:val="auto"/>
                <w:sz w:val="24"/>
                <w:szCs w:val="24"/>
                <w:lang w:val="en-US" w:eastAsia="zh-CN"/>
              </w:rPr>
              <w:t>厂区洒水降尘</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cs="Times New Roman"/>
                <w:color w:val="auto"/>
                <w:kern w:val="0"/>
                <w:sz w:val="24"/>
                <w:szCs w:val="22"/>
                <w:highlight w:val="none"/>
                <w:lang w:val="en-US" w:eastAsia="zh-CN"/>
              </w:rPr>
              <w:t>不外排。</w:t>
            </w:r>
            <w:r>
              <w:rPr>
                <w:rFonts w:hint="default" w:ascii="Times New Roman" w:hAnsi="Times New Roman" w:cs="Times New Roman"/>
                <w:color w:val="auto"/>
                <w:kern w:val="0"/>
                <w:sz w:val="24"/>
                <w:szCs w:val="22"/>
                <w:highlight w:val="none"/>
              </w:rPr>
              <w:t>因此，本项目</w:t>
            </w:r>
            <w:r>
              <w:rPr>
                <w:rFonts w:hint="default" w:ascii="Times New Roman" w:hAnsi="Times New Roman" w:cs="Times New Roman"/>
                <w:color w:val="auto"/>
                <w:kern w:val="0"/>
                <w:sz w:val="24"/>
                <w:szCs w:val="22"/>
                <w:highlight w:val="none"/>
                <w:lang w:val="en-US" w:eastAsia="zh-CN"/>
              </w:rPr>
              <w:t>产生的废水均不会排放至外环境，</w:t>
            </w:r>
            <w:r>
              <w:rPr>
                <w:rFonts w:hint="default" w:ascii="Times New Roman" w:hAnsi="Times New Roman" w:cs="Times New Roman"/>
                <w:color w:val="auto"/>
                <w:kern w:val="0"/>
                <w:sz w:val="24"/>
                <w:szCs w:val="22"/>
                <w:highlight w:val="none"/>
              </w:rPr>
              <w:t>项目对地表水的影响在可接受范围内</w:t>
            </w:r>
            <w:r>
              <w:rPr>
                <w:rFonts w:hint="default" w:ascii="Times New Roman" w:hAnsi="Times New Roman" w:cs="Times New Roman"/>
                <w:color w:val="auto"/>
                <w:kern w:val="0"/>
                <w:sz w:val="24"/>
                <w:szCs w:val="22"/>
                <w:highlight w:val="none"/>
                <w:lang w:eastAsia="zh-CN"/>
              </w:rPr>
              <w:t>。</w:t>
            </w:r>
          </w:p>
          <w:p w14:paraId="4EC2B88A">
            <w:pPr>
              <w:numPr>
                <w:ilvl w:val="0"/>
                <w:numId w:val="0"/>
              </w:numPr>
              <w:spacing w:line="500" w:lineRule="exact"/>
              <w:ind w:firstLine="480" w:firstLineChars="200"/>
              <w:rPr>
                <w:rFonts w:hint="default" w:ascii="Times New Roman" w:hAnsi="Times New Roman" w:cs="Times New Roman"/>
                <w:color w:val="auto"/>
                <w:sz w:val="24"/>
                <w:szCs w:val="22"/>
                <w:highlight w:val="none"/>
                <w:lang w:val="en-US" w:eastAsia="zh-CN"/>
              </w:rPr>
            </w:pP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3</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环保措施可行性分析</w:t>
            </w:r>
          </w:p>
          <w:p w14:paraId="6CED1411">
            <w:pPr>
              <w:numPr>
                <w:ilvl w:val="0"/>
                <w:numId w:val="0"/>
              </w:numPr>
              <w:spacing w:line="500" w:lineRule="exact"/>
              <w:ind w:firstLine="480" w:firstLineChars="200"/>
              <w:rPr>
                <w:rFonts w:hint="default" w:ascii="Times New Roman" w:hAnsi="Times New Roman" w:cs="Times New Roman"/>
                <w:color w:val="auto"/>
                <w:sz w:val="24"/>
                <w:szCs w:val="22"/>
                <w:highlight w:val="none"/>
                <w:lang w:val="en-US" w:eastAsia="zh-CN"/>
              </w:rPr>
            </w:pPr>
            <w:r>
              <w:rPr>
                <w:rFonts w:hint="default" w:ascii="Times New Roman" w:hAnsi="Times New Roman" w:cs="Times New Roman"/>
                <w:color w:val="auto"/>
                <w:sz w:val="24"/>
                <w:szCs w:val="22"/>
                <w:highlight w:val="none"/>
                <w:lang w:val="en-US" w:eastAsia="zh-CN"/>
              </w:rPr>
              <w:t>本项目设置初期雨水收集池及导流沟对初期雨水进行收集，收集后的初期雨水经沉淀后回用于洒水降尘。由上文可知，本项目雨水收集池体积通过鸡西市暴雨强度推导出雨水汇水量进而计算得出的，项目雨水收集池体积在计算结果上进行增加，初期雨水收集池池容能够满足初期雨水收集需求。</w:t>
            </w:r>
          </w:p>
          <w:p w14:paraId="064F7660">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w:t>
            </w:r>
            <w:r>
              <w:rPr>
                <w:rFonts w:hint="default" w:ascii="Times New Roman" w:hAnsi="Times New Roman"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 xml:space="preserve">  废水污染物排放源</w:t>
            </w:r>
          </w:p>
          <w:tbl>
            <w:tblPr>
              <w:tblStyle w:val="2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4"/>
              <w:gridCol w:w="1010"/>
              <w:gridCol w:w="1307"/>
              <w:gridCol w:w="1460"/>
              <w:gridCol w:w="1371"/>
              <w:gridCol w:w="2603"/>
            </w:tblGrid>
            <w:tr w14:paraId="1D543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noWrap w:val="0"/>
                  <w:vAlign w:val="center"/>
                </w:tcPr>
                <w:p w14:paraId="308B2EBB">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产排污环节</w:t>
                  </w:r>
                </w:p>
              </w:tc>
              <w:tc>
                <w:tcPr>
                  <w:tcW w:w="569" w:type="pct"/>
                  <w:noWrap w:val="0"/>
                  <w:vAlign w:val="center"/>
                </w:tcPr>
                <w:p w14:paraId="45009FB0">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污染物种类</w:t>
                  </w:r>
                </w:p>
              </w:tc>
              <w:tc>
                <w:tcPr>
                  <w:tcW w:w="736" w:type="pct"/>
                  <w:noWrap w:val="0"/>
                  <w:vAlign w:val="center"/>
                </w:tcPr>
                <w:p w14:paraId="684696B7">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污染物产生量t/a</w:t>
                  </w:r>
                </w:p>
              </w:tc>
              <w:tc>
                <w:tcPr>
                  <w:tcW w:w="822" w:type="pct"/>
                  <w:noWrap w:val="0"/>
                  <w:vAlign w:val="center"/>
                </w:tcPr>
                <w:p w14:paraId="1D63A112">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污染物产生浓度mg/L</w:t>
                  </w:r>
                </w:p>
              </w:tc>
              <w:tc>
                <w:tcPr>
                  <w:tcW w:w="772" w:type="pct"/>
                  <w:noWrap w:val="0"/>
                  <w:vAlign w:val="center"/>
                </w:tcPr>
                <w:p w14:paraId="4A7AA32E">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排放形式</w:t>
                  </w:r>
                </w:p>
              </w:tc>
              <w:tc>
                <w:tcPr>
                  <w:tcW w:w="1466" w:type="pct"/>
                  <w:noWrap w:val="0"/>
                  <w:vAlign w:val="center"/>
                </w:tcPr>
                <w:p w14:paraId="0DAFE8FD">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治理设施</w:t>
                  </w:r>
                </w:p>
              </w:tc>
            </w:tr>
            <w:tr w14:paraId="284DF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vMerge w:val="restart"/>
                  <w:noWrap w:val="0"/>
                  <w:vAlign w:val="center"/>
                </w:tcPr>
                <w:p w14:paraId="0CEFCDD5">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生活污水</w:t>
                  </w:r>
                </w:p>
              </w:tc>
              <w:tc>
                <w:tcPr>
                  <w:tcW w:w="569" w:type="pct"/>
                  <w:noWrap w:val="0"/>
                  <w:vAlign w:val="center"/>
                </w:tcPr>
                <w:p w14:paraId="53C86225">
                  <w:pPr>
                    <w:adjustRightInd w:val="0"/>
                    <w:snapToGrid w:val="0"/>
                    <w:jc w:val="center"/>
                    <w:rPr>
                      <w:rFonts w:hint="default" w:ascii="Times New Roman" w:hAnsi="Times New Roman" w:eastAsia="宋体" w:cs="Times New Roman"/>
                      <w:bCs/>
                      <w:color w:val="auto"/>
                      <w:szCs w:val="21"/>
                      <w:highlight w:val="yellow"/>
                    </w:rPr>
                  </w:pPr>
                  <w:r>
                    <w:rPr>
                      <w:rFonts w:hint="default" w:ascii="Times New Roman" w:hAnsi="Times New Roman" w:eastAsia="宋体" w:cs="Times New Roman"/>
                      <w:bCs/>
                      <w:color w:val="auto"/>
                      <w:szCs w:val="21"/>
                      <w:highlight w:val="none"/>
                    </w:rPr>
                    <w:t>COD</w:t>
                  </w:r>
                </w:p>
              </w:tc>
              <w:tc>
                <w:tcPr>
                  <w:tcW w:w="736" w:type="pct"/>
                  <w:noWrap w:val="0"/>
                  <w:vAlign w:val="center"/>
                </w:tcPr>
                <w:p w14:paraId="306F8948">
                  <w:pPr>
                    <w:adjustRightInd w:val="0"/>
                    <w:snapToGrid w:val="0"/>
                    <w:jc w:val="center"/>
                    <w:rPr>
                      <w:rFonts w:hint="default" w:ascii="Times New Roman" w:hAnsi="Times New Roman" w:eastAsia="宋体" w:cs="Times New Roman"/>
                      <w:bCs/>
                      <w:color w:val="auto"/>
                      <w:szCs w:val="21"/>
                      <w:highlight w:val="yellow"/>
                      <w:lang w:val="en-US" w:eastAsia="zh-CN"/>
                    </w:rPr>
                  </w:pPr>
                  <w:r>
                    <w:rPr>
                      <w:rFonts w:hint="eastAsia" w:cs="Times New Roman"/>
                      <w:bCs/>
                      <w:color w:val="auto"/>
                      <w:szCs w:val="21"/>
                      <w:highlight w:val="yellow"/>
                      <w:lang w:val="en-US" w:eastAsia="zh-CN"/>
                    </w:rPr>
                    <w:t>0.023</w:t>
                  </w:r>
                </w:p>
              </w:tc>
              <w:tc>
                <w:tcPr>
                  <w:tcW w:w="822" w:type="pct"/>
                  <w:noWrap w:val="0"/>
                  <w:vAlign w:val="center"/>
                </w:tcPr>
                <w:p w14:paraId="39CA35E6">
                  <w:pPr>
                    <w:adjustRightInd w:val="0"/>
                    <w:snapToGrid w:val="0"/>
                    <w:jc w:val="center"/>
                    <w:rPr>
                      <w:rFonts w:hint="default" w:ascii="Times New Roman" w:hAnsi="Times New Roman" w:eastAsia="宋体" w:cs="Times New Roman"/>
                      <w:bCs/>
                      <w:color w:val="auto"/>
                      <w:szCs w:val="21"/>
                      <w:highlight w:val="yellow"/>
                    </w:rPr>
                  </w:pPr>
                  <w:r>
                    <w:rPr>
                      <w:rFonts w:hint="default" w:ascii="Times New Roman" w:hAnsi="Times New Roman" w:eastAsia="宋体" w:cs="Times New Roman"/>
                      <w:bCs/>
                      <w:color w:val="auto"/>
                      <w:szCs w:val="21"/>
                      <w:highlight w:val="none"/>
                    </w:rPr>
                    <w:t>300</w:t>
                  </w:r>
                </w:p>
              </w:tc>
              <w:tc>
                <w:tcPr>
                  <w:tcW w:w="772" w:type="pct"/>
                  <w:noWrap w:val="0"/>
                  <w:vAlign w:val="center"/>
                </w:tcPr>
                <w:p w14:paraId="5E47A788">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不排放</w:t>
                  </w:r>
                </w:p>
              </w:tc>
              <w:tc>
                <w:tcPr>
                  <w:tcW w:w="1466" w:type="pct"/>
                  <w:vMerge w:val="restart"/>
                  <w:noWrap w:val="0"/>
                  <w:vAlign w:val="center"/>
                </w:tcPr>
                <w:p w14:paraId="470DF77E">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排入防渗旱厕、定期清掏</w:t>
                  </w:r>
                </w:p>
              </w:tc>
            </w:tr>
            <w:tr w14:paraId="506C2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vMerge w:val="continue"/>
                  <w:noWrap w:val="0"/>
                  <w:vAlign w:val="center"/>
                </w:tcPr>
                <w:p w14:paraId="0BEBBB22">
                  <w:pPr>
                    <w:adjustRightInd w:val="0"/>
                    <w:snapToGrid w:val="0"/>
                    <w:jc w:val="center"/>
                    <w:rPr>
                      <w:rFonts w:hint="default" w:ascii="Times New Roman" w:hAnsi="Times New Roman" w:eastAsia="宋体" w:cs="Times New Roman"/>
                      <w:bCs/>
                      <w:color w:val="auto"/>
                      <w:szCs w:val="21"/>
                      <w:highlight w:val="none"/>
                    </w:rPr>
                  </w:pPr>
                </w:p>
              </w:tc>
              <w:tc>
                <w:tcPr>
                  <w:tcW w:w="569" w:type="pct"/>
                  <w:noWrap w:val="0"/>
                  <w:vAlign w:val="center"/>
                </w:tcPr>
                <w:p w14:paraId="62C3CEA9">
                  <w:pPr>
                    <w:adjustRightInd w:val="0"/>
                    <w:snapToGrid w:val="0"/>
                    <w:jc w:val="center"/>
                    <w:rPr>
                      <w:rFonts w:hint="default" w:ascii="Times New Roman" w:hAnsi="Times New Roman" w:eastAsia="宋体" w:cs="Times New Roman"/>
                      <w:bCs/>
                      <w:color w:val="auto"/>
                      <w:szCs w:val="21"/>
                      <w:highlight w:val="yellow"/>
                    </w:rPr>
                  </w:pPr>
                  <w:r>
                    <w:rPr>
                      <w:rFonts w:hint="default" w:ascii="Times New Roman" w:hAnsi="Times New Roman" w:eastAsia="宋体" w:cs="Times New Roman"/>
                      <w:bCs/>
                      <w:color w:val="auto"/>
                      <w:szCs w:val="21"/>
                      <w:highlight w:val="none"/>
                    </w:rPr>
                    <w:t>氨氮</w:t>
                  </w:r>
                </w:p>
              </w:tc>
              <w:tc>
                <w:tcPr>
                  <w:tcW w:w="736" w:type="pct"/>
                  <w:noWrap w:val="0"/>
                  <w:vAlign w:val="center"/>
                </w:tcPr>
                <w:p w14:paraId="4F09DDED">
                  <w:pPr>
                    <w:adjustRightInd w:val="0"/>
                    <w:snapToGrid w:val="0"/>
                    <w:jc w:val="center"/>
                    <w:rPr>
                      <w:rFonts w:hint="default" w:ascii="Times New Roman" w:hAnsi="Times New Roman" w:eastAsia="宋体" w:cs="Times New Roman"/>
                      <w:bCs/>
                      <w:color w:val="auto"/>
                      <w:szCs w:val="21"/>
                      <w:highlight w:val="yellow"/>
                      <w:lang w:val="en-US" w:eastAsia="zh-CN"/>
                    </w:rPr>
                  </w:pPr>
                  <w:r>
                    <w:rPr>
                      <w:rFonts w:hint="eastAsia" w:cs="Times New Roman"/>
                      <w:bCs/>
                      <w:color w:val="auto"/>
                      <w:szCs w:val="21"/>
                      <w:highlight w:val="yellow"/>
                      <w:lang w:val="en-US" w:eastAsia="zh-CN"/>
                    </w:rPr>
                    <w:t>0.0015</w:t>
                  </w:r>
                </w:p>
              </w:tc>
              <w:tc>
                <w:tcPr>
                  <w:tcW w:w="822" w:type="pct"/>
                  <w:noWrap w:val="0"/>
                  <w:vAlign w:val="center"/>
                </w:tcPr>
                <w:p w14:paraId="7AD3464B">
                  <w:pPr>
                    <w:adjustRightInd w:val="0"/>
                    <w:snapToGrid w:val="0"/>
                    <w:jc w:val="center"/>
                    <w:rPr>
                      <w:rFonts w:hint="default" w:ascii="Times New Roman" w:hAnsi="Times New Roman" w:eastAsia="宋体" w:cs="Times New Roman"/>
                      <w:bCs/>
                      <w:color w:val="auto"/>
                      <w:szCs w:val="21"/>
                      <w:highlight w:val="yellow"/>
                    </w:rPr>
                  </w:pPr>
                  <w:r>
                    <w:rPr>
                      <w:rFonts w:hint="default" w:ascii="Times New Roman" w:hAnsi="Times New Roman" w:eastAsia="宋体" w:cs="Times New Roman"/>
                      <w:bCs/>
                      <w:color w:val="auto"/>
                      <w:szCs w:val="21"/>
                      <w:highlight w:val="none"/>
                    </w:rPr>
                    <w:t>20</w:t>
                  </w:r>
                </w:p>
              </w:tc>
              <w:tc>
                <w:tcPr>
                  <w:tcW w:w="772" w:type="pct"/>
                  <w:noWrap w:val="0"/>
                  <w:vAlign w:val="center"/>
                </w:tcPr>
                <w:p w14:paraId="07C4E54B">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不排放</w:t>
                  </w:r>
                </w:p>
              </w:tc>
              <w:tc>
                <w:tcPr>
                  <w:tcW w:w="1466" w:type="pct"/>
                  <w:vMerge w:val="continue"/>
                  <w:noWrap w:val="0"/>
                  <w:vAlign w:val="center"/>
                </w:tcPr>
                <w:p w14:paraId="09C7690C">
                  <w:pPr>
                    <w:adjustRightInd w:val="0"/>
                    <w:snapToGrid w:val="0"/>
                    <w:jc w:val="center"/>
                    <w:rPr>
                      <w:rFonts w:hint="default" w:ascii="Times New Roman" w:hAnsi="Times New Roman" w:eastAsia="宋体" w:cs="Times New Roman"/>
                      <w:bCs/>
                      <w:color w:val="auto"/>
                      <w:szCs w:val="21"/>
                      <w:highlight w:val="none"/>
                    </w:rPr>
                  </w:pPr>
                </w:p>
              </w:tc>
            </w:tr>
            <w:tr w14:paraId="023AF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633" w:type="pct"/>
                  <w:noWrap w:val="0"/>
                  <w:vAlign w:val="center"/>
                </w:tcPr>
                <w:p w14:paraId="36B2BA55">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初期雨水</w:t>
                  </w:r>
                </w:p>
              </w:tc>
              <w:tc>
                <w:tcPr>
                  <w:tcW w:w="569" w:type="pct"/>
                  <w:noWrap w:val="0"/>
                  <w:vAlign w:val="center"/>
                </w:tcPr>
                <w:p w14:paraId="2C9CAB8F">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SS</w:t>
                  </w:r>
                </w:p>
              </w:tc>
              <w:tc>
                <w:tcPr>
                  <w:tcW w:w="736" w:type="pct"/>
                  <w:noWrap w:val="0"/>
                  <w:vAlign w:val="center"/>
                </w:tcPr>
                <w:p w14:paraId="2399E4CD">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0.122</w:t>
                  </w:r>
                </w:p>
              </w:tc>
              <w:tc>
                <w:tcPr>
                  <w:tcW w:w="822" w:type="pct"/>
                  <w:noWrap w:val="0"/>
                  <w:vAlign w:val="center"/>
                </w:tcPr>
                <w:p w14:paraId="14BB0BE4">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700</w:t>
                  </w:r>
                </w:p>
              </w:tc>
              <w:tc>
                <w:tcPr>
                  <w:tcW w:w="772" w:type="pct"/>
                  <w:noWrap w:val="0"/>
                  <w:vAlign w:val="center"/>
                </w:tcPr>
                <w:p w14:paraId="2C3868AF">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不排放</w:t>
                  </w:r>
                </w:p>
              </w:tc>
              <w:tc>
                <w:tcPr>
                  <w:tcW w:w="1466" w:type="pct"/>
                  <w:noWrap w:val="0"/>
                  <w:vAlign w:val="center"/>
                </w:tcPr>
                <w:p w14:paraId="2849A118">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洒水降尘</w:t>
                  </w:r>
                </w:p>
              </w:tc>
            </w:tr>
          </w:tbl>
          <w:p w14:paraId="6B411E39">
            <w:pPr>
              <w:pStyle w:val="31"/>
              <w:spacing w:before="0" w:beforeLines="0" w:after="0" w:afterLines="0" w:line="360" w:lineRule="auto"/>
              <w:ind w:firstLine="0" w:firstLineChars="0"/>
              <w:textAlignment w:val="baseline"/>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rPr>
              <w:t>、噪声</w:t>
            </w:r>
          </w:p>
          <w:p w14:paraId="2EF05D63">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（1）噪声污染源源强</w:t>
            </w:r>
          </w:p>
          <w:p w14:paraId="246629F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sz w:val="24"/>
                <w:highlight w:val="none"/>
              </w:rPr>
              <w:t>本项目噪声主要</w:t>
            </w:r>
            <w:r>
              <w:rPr>
                <w:rFonts w:hint="default" w:ascii="Times New Roman" w:hAnsi="Times New Roman" w:eastAsia="宋体" w:cs="Times New Roman"/>
                <w:bCs/>
                <w:color w:val="auto"/>
                <w:sz w:val="24"/>
                <w:highlight w:val="none"/>
                <w:lang w:val="en-US" w:eastAsia="zh-CN"/>
              </w:rPr>
              <w:t>为</w:t>
            </w:r>
            <w:r>
              <w:rPr>
                <w:rFonts w:hint="default" w:ascii="Times New Roman" w:hAnsi="Times New Roman" w:cs="Times New Roman"/>
                <w:bCs/>
                <w:color w:val="auto"/>
                <w:sz w:val="24"/>
                <w:highlight w:val="none"/>
                <w:lang w:val="en-US" w:eastAsia="zh-CN"/>
              </w:rPr>
              <w:t>厂区内铲车、运输车辆</w:t>
            </w:r>
            <w:r>
              <w:rPr>
                <w:rFonts w:hint="default" w:ascii="Times New Roman" w:hAnsi="Times New Roman" w:eastAsia="宋体" w:cs="Times New Roman"/>
                <w:color w:val="auto"/>
                <w:sz w:val="24"/>
                <w:szCs w:val="24"/>
                <w:highlight w:val="none"/>
                <w:lang w:val="en-US" w:eastAsia="zh-CN"/>
              </w:rPr>
              <w:t>设备运行产生的机械噪声。本项目针对各种机械设备的噪声，采取的治理措施有：企业在购买时选用低噪声设备；平时加强设备的维护，使设备长期运行在良好状态，为了减少噪声对周围环境的影响。根据类比调查，噪声源强在</w:t>
            </w:r>
            <w:r>
              <w:rPr>
                <w:rFonts w:hint="default" w:ascii="Times New Roman" w:hAnsi="Times New Roman" w:cs="Times New Roman"/>
                <w:color w:val="auto"/>
                <w:sz w:val="24"/>
                <w:szCs w:val="24"/>
                <w:highlight w:val="none"/>
                <w:lang w:val="en-US" w:eastAsia="zh-CN"/>
              </w:rPr>
              <w:t>70</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80</w:t>
            </w:r>
            <w:r>
              <w:rPr>
                <w:rFonts w:hint="default" w:ascii="Times New Roman" w:hAnsi="Times New Roman" w:eastAsia="宋体" w:cs="Times New Roman"/>
                <w:color w:val="auto"/>
                <w:sz w:val="24"/>
                <w:szCs w:val="24"/>
                <w:highlight w:val="none"/>
                <w:lang w:val="en-US" w:eastAsia="zh-CN"/>
              </w:rPr>
              <w:t>dB</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A</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，根据工程设备噪声源强分析及对其采取噪声控制措施，通过公式计算厂界噪声值。</w:t>
            </w:r>
          </w:p>
          <w:p w14:paraId="4FC57A2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yellow"/>
                <w:lang w:val="en-US" w:eastAsia="zh-CN"/>
              </w:rPr>
            </w:pPr>
            <w:r>
              <w:rPr>
                <w:rFonts w:hint="default" w:ascii="Times New Roman" w:hAnsi="Times New Roman" w:eastAsia="宋体" w:cs="Times New Roman"/>
                <w:color w:val="auto"/>
                <w:sz w:val="24"/>
                <w:szCs w:val="24"/>
                <w:highlight w:val="none"/>
                <w:lang w:val="en-US" w:eastAsia="zh-CN"/>
              </w:rPr>
              <w:t>噪声预测按照《环境影响评价技术导则 声环境》（HJ2.4-2021）进行。</w:t>
            </w:r>
          </w:p>
          <w:p w14:paraId="0380D26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如果声源处于半自由声场，计算公式如下：</w:t>
            </w:r>
          </w:p>
          <w:p w14:paraId="0C13C17A">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color w:val="auto"/>
                <w:position w:val="-14"/>
                <w:sz w:val="24"/>
                <w:szCs w:val="24"/>
                <w:highlight w:val="none"/>
              </w:rPr>
              <w:object>
                <v:shape id="_x0000_i1025" o:spt="75" type="#_x0000_t75" style="height:18.8pt;width:110.2pt;" o:ole="t" filled="f" o:preferrelative="t" stroked="f" coordsize="21600,21600">
                  <v:path/>
                  <v:fill on="f" focussize="0,0"/>
                  <v:stroke on="f" joinstyle="miter"/>
                  <v:imagedata r:id="rId26" o:title=""/>
                  <o:lock v:ext="edit" aspectratio="t"/>
                  <w10:wrap type="none"/>
                  <w10:anchorlock/>
                </v:shape>
                <o:OLEObject Type="Embed" ProgID="Equation.3" ShapeID="_x0000_i1025" DrawAspect="Content" ObjectID="_1468075725" r:id="rId25">
                  <o:LockedField>false</o:LockedField>
                </o:OLEObject>
              </w:object>
            </w:r>
          </w:p>
          <w:p w14:paraId="66B0E72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式中：L</w:t>
            </w:r>
            <w:r>
              <w:rPr>
                <w:rFonts w:hint="default" w:ascii="Times New Roman" w:hAnsi="Times New Roman" w:cs="Times New Roman"/>
                <w:bCs/>
                <w:color w:val="auto"/>
                <w:sz w:val="24"/>
                <w:szCs w:val="24"/>
                <w:highlight w:val="none"/>
                <w:vertAlign w:val="subscript"/>
              </w:rPr>
              <w:t>p</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rPr>
              <w:t>r</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rPr>
              <w:t>——预测点处声压级，dB；</w:t>
            </w:r>
          </w:p>
          <w:p w14:paraId="527CD8A2">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L</w:t>
            </w:r>
            <w:r>
              <w:rPr>
                <w:rFonts w:hint="default" w:ascii="Times New Roman" w:hAnsi="Times New Roman" w:cs="Times New Roman"/>
                <w:bCs/>
                <w:color w:val="auto"/>
                <w:sz w:val="24"/>
                <w:szCs w:val="24"/>
                <w:highlight w:val="none"/>
                <w:vertAlign w:val="subscript"/>
              </w:rPr>
              <w:t>w</w:t>
            </w:r>
            <w:r>
              <w:rPr>
                <w:rFonts w:hint="default" w:ascii="Times New Roman" w:hAnsi="Times New Roman" w:cs="Times New Roman"/>
                <w:bCs/>
                <w:color w:val="auto"/>
                <w:sz w:val="24"/>
                <w:szCs w:val="24"/>
                <w:highlight w:val="none"/>
              </w:rPr>
              <w:t>——由点声源产生的倍频带声功率级，dB；</w:t>
            </w:r>
          </w:p>
          <w:p w14:paraId="4D6C0FFA">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r——预测点距声源的距离。</w:t>
            </w:r>
          </w:p>
          <w:p w14:paraId="1C4F74F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噪声贡献值</w:t>
            </w:r>
            <w:r>
              <w:rPr>
                <w:rFonts w:hint="default" w:ascii="Times New Roman" w:hAnsi="Times New Roman" w:cs="Times New Roman"/>
                <w:color w:val="auto"/>
                <w:sz w:val="24"/>
                <w:szCs w:val="24"/>
                <w:highlight w:val="none"/>
              </w:rPr>
              <w:t>计算公式</w:t>
            </w:r>
            <w:r>
              <w:rPr>
                <w:rFonts w:hint="default" w:ascii="Times New Roman" w:hAnsi="Times New Roman" w:cs="Times New Roman"/>
                <w:bCs/>
                <w:color w:val="auto"/>
                <w:sz w:val="24"/>
                <w:szCs w:val="24"/>
                <w:highlight w:val="none"/>
              </w:rPr>
              <w:t>：</w:t>
            </w:r>
          </w:p>
          <w:p w14:paraId="690F5F9B">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position w:val="-34"/>
                <w:sz w:val="24"/>
                <w:szCs w:val="24"/>
                <w:highlight w:val="none"/>
              </w:rPr>
              <w:object>
                <v:shape id="_x0000_i1026" o:spt="75" type="#_x0000_t75" style="height:40.05pt;width:204.75pt;" o:ole="t" filled="f" o:preferrelative="t" stroked="f" coordsize="21600,21600">
                  <v:path/>
                  <v:fill on="f" focussize="0,0"/>
                  <v:stroke on="f" joinstyle="miter"/>
                  <v:imagedata r:id="rId28" o:title=""/>
                  <o:lock v:ext="edit" aspectratio="t"/>
                  <w10:wrap type="none"/>
                  <w10:anchorlock/>
                </v:shape>
                <o:OLEObject Type="Embed" ProgID="Equation.3" ShapeID="_x0000_i1026" DrawAspect="Content" ObjectID="_1468075726" r:id="rId27">
                  <o:LockedField>false</o:LockedField>
                </o:OLEObject>
              </w:object>
            </w:r>
          </w:p>
          <w:p w14:paraId="327CB426">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式中：L</w:t>
            </w:r>
            <w:r>
              <w:rPr>
                <w:rFonts w:hint="default" w:ascii="Times New Roman" w:hAnsi="Times New Roman" w:cs="Times New Roman"/>
                <w:color w:val="auto"/>
                <w:sz w:val="24"/>
                <w:szCs w:val="24"/>
                <w:highlight w:val="none"/>
                <w:vertAlign w:val="subscript"/>
              </w:rPr>
              <w:t>eqg</w:t>
            </w:r>
            <w:r>
              <w:rPr>
                <w:rFonts w:hint="default" w:ascii="Times New Roman" w:hAnsi="Times New Roman" w:cs="Times New Roman"/>
                <w:color w:val="auto"/>
                <w:sz w:val="24"/>
                <w:szCs w:val="24"/>
                <w:highlight w:val="none"/>
              </w:rPr>
              <w:t>——建设项目声源在预测点产生的噪声贡献值，dB；</w:t>
            </w:r>
          </w:p>
          <w:p w14:paraId="3C29A4EC">
            <w:pPr>
              <w:keepNext w:val="0"/>
              <w:keepLines w:val="0"/>
              <w:suppressLineNumbers w:val="0"/>
              <w:spacing w:before="0" w:beforeAutospacing="0" w:after="0" w:afterAutospacing="0" w:line="360" w:lineRule="auto"/>
              <w:ind w:left="0" w:right="0" w:firstLine="1200" w:firstLineChars="5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T——用于计算等效声级的时间，s；</w:t>
            </w:r>
          </w:p>
          <w:p w14:paraId="6050FE2A">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N——室外声源个数；</w:t>
            </w:r>
          </w:p>
          <w:p w14:paraId="1F535377">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vertAlign w:val="subscript"/>
              </w:rPr>
              <w:t>i</w:t>
            </w:r>
            <w:r>
              <w:rPr>
                <w:rFonts w:hint="default" w:ascii="Times New Roman" w:hAnsi="Times New Roman" w:cs="Times New Roman"/>
                <w:color w:val="auto"/>
                <w:sz w:val="24"/>
                <w:szCs w:val="24"/>
                <w:highlight w:val="none"/>
              </w:rPr>
              <w:t>——在T时间内i声源工作时间，s；</w:t>
            </w:r>
          </w:p>
          <w:p w14:paraId="2CC46655">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M——等效室外声源个数；</w:t>
            </w:r>
          </w:p>
          <w:p w14:paraId="320D995E">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vertAlign w:val="subscript"/>
              </w:rPr>
              <w:t>j</w:t>
            </w:r>
            <w:r>
              <w:rPr>
                <w:rFonts w:hint="default" w:ascii="Times New Roman" w:hAnsi="Times New Roman" w:cs="Times New Roman"/>
                <w:color w:val="auto"/>
                <w:sz w:val="24"/>
                <w:szCs w:val="24"/>
                <w:highlight w:val="none"/>
              </w:rPr>
              <w:t>——在T时间内j声源工作时间，s。</w:t>
            </w:r>
          </w:p>
          <w:p w14:paraId="3DCA35A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噪声预测按照《环境影响评价技术导则 声环境》（HJ2.4-2021）进行，按主要噪声源即生产设备同时运行的不利工况进行预测分析。根据总图布置，采用噪声叠加公式和点声源噪声衰减模式预测经采取治理措施后到厂界的贡献值，并判断是否达标。预测结果见下表。</w:t>
            </w:r>
          </w:p>
          <w:p w14:paraId="6B059136">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 xml:space="preserve"> 表4-</w:t>
            </w:r>
            <w:r>
              <w:rPr>
                <w:rFonts w:hint="default" w:ascii="Times New Roman" w:hAnsi="Times New Roman"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 xml:space="preserve"> 噪声源源强核算结果及相关参数一览表</w:t>
            </w:r>
          </w:p>
          <w:tbl>
            <w:tblPr>
              <w:tblStyle w:val="20"/>
              <w:tblW w:w="0" w:type="auto"/>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910"/>
              <w:gridCol w:w="591"/>
              <w:gridCol w:w="566"/>
              <w:gridCol w:w="566"/>
              <w:gridCol w:w="566"/>
              <w:gridCol w:w="1667"/>
              <w:gridCol w:w="2249"/>
              <w:gridCol w:w="1085"/>
            </w:tblGrid>
            <w:tr w14:paraId="268513C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tcBorders>
                    <w:tl2br w:val="nil"/>
                    <w:tr2bl w:val="nil"/>
                  </w:tcBorders>
                  <w:noWrap w:val="0"/>
                  <w:vAlign w:val="center"/>
                </w:tcPr>
                <w:p w14:paraId="2BA57DFC">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kern w:val="0"/>
                      <w:sz w:val="21"/>
                      <w:szCs w:val="21"/>
                      <w:highlight w:val="none"/>
                      <w:u w:val="none"/>
                      <w:lang w:val="en-US" w:eastAsia="zh-CN"/>
                    </w:rPr>
                    <w:t>序号</w:t>
                  </w:r>
                </w:p>
              </w:tc>
              <w:tc>
                <w:tcPr>
                  <w:tcW w:w="0" w:type="auto"/>
                  <w:vMerge w:val="restart"/>
                  <w:tcBorders>
                    <w:tl2br w:val="nil"/>
                    <w:tr2bl w:val="nil"/>
                  </w:tcBorders>
                  <w:noWrap w:val="0"/>
                  <w:vAlign w:val="center"/>
                </w:tcPr>
                <w:p w14:paraId="6EDA153C">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val="en-US" w:eastAsia="zh-CN"/>
                    </w:rPr>
                    <w:t>声源名称</w:t>
                  </w:r>
                </w:p>
              </w:tc>
              <w:tc>
                <w:tcPr>
                  <w:tcW w:w="0" w:type="auto"/>
                  <w:vMerge w:val="restart"/>
                  <w:tcBorders>
                    <w:tl2br w:val="nil"/>
                    <w:tr2bl w:val="nil"/>
                  </w:tcBorders>
                  <w:noWrap w:val="0"/>
                  <w:vAlign w:val="center"/>
                </w:tcPr>
                <w:p w14:paraId="1C72FE16">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型号</w:t>
                  </w:r>
                </w:p>
              </w:tc>
              <w:tc>
                <w:tcPr>
                  <w:tcW w:w="0" w:type="auto"/>
                  <w:gridSpan w:val="3"/>
                  <w:tcBorders>
                    <w:tl2br w:val="nil"/>
                    <w:tr2bl w:val="nil"/>
                  </w:tcBorders>
                  <w:noWrap w:val="0"/>
                  <w:vAlign w:val="center"/>
                </w:tcPr>
                <w:p w14:paraId="419A3922">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空间相对位置/m</w:t>
                  </w:r>
                </w:p>
              </w:tc>
              <w:tc>
                <w:tcPr>
                  <w:tcW w:w="0" w:type="auto"/>
                  <w:tcBorders>
                    <w:tl2br w:val="nil"/>
                    <w:tr2bl w:val="nil"/>
                  </w:tcBorders>
                  <w:noWrap w:val="0"/>
                  <w:vAlign w:val="center"/>
                </w:tcPr>
                <w:p w14:paraId="20C98122">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声源源强</w:t>
                  </w:r>
                </w:p>
              </w:tc>
              <w:tc>
                <w:tcPr>
                  <w:tcW w:w="0" w:type="auto"/>
                  <w:vMerge w:val="restart"/>
                  <w:tcBorders>
                    <w:tl2br w:val="nil"/>
                    <w:tr2bl w:val="nil"/>
                  </w:tcBorders>
                  <w:noWrap w:val="0"/>
                  <w:vAlign w:val="center"/>
                </w:tcPr>
                <w:p w14:paraId="438B036F">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声源控制措施</w:t>
                  </w:r>
                </w:p>
              </w:tc>
              <w:tc>
                <w:tcPr>
                  <w:tcW w:w="0" w:type="auto"/>
                  <w:vMerge w:val="restart"/>
                  <w:tcBorders>
                    <w:tl2br w:val="nil"/>
                    <w:tr2bl w:val="nil"/>
                  </w:tcBorders>
                  <w:noWrap w:val="0"/>
                  <w:vAlign w:val="center"/>
                </w:tcPr>
                <w:p w14:paraId="55FF8044">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持续时间/h</w:t>
                  </w:r>
                </w:p>
              </w:tc>
            </w:tr>
            <w:tr w14:paraId="4DFB572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noWrap w:val="0"/>
                  <w:vAlign w:val="center"/>
                </w:tcPr>
                <w:p w14:paraId="73C0890D">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sz w:val="21"/>
                      <w:szCs w:val="21"/>
                      <w:highlight w:val="none"/>
                      <w:u w:val="none"/>
                    </w:rPr>
                  </w:pPr>
                </w:p>
              </w:tc>
              <w:tc>
                <w:tcPr>
                  <w:tcW w:w="0" w:type="auto"/>
                  <w:vMerge w:val="continue"/>
                  <w:tcBorders>
                    <w:tl2br w:val="nil"/>
                    <w:tr2bl w:val="nil"/>
                  </w:tcBorders>
                  <w:noWrap w:val="0"/>
                  <w:vAlign w:val="center"/>
                </w:tcPr>
                <w:p w14:paraId="7C2C063C">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sz w:val="21"/>
                      <w:szCs w:val="21"/>
                      <w:highlight w:val="none"/>
                      <w:u w:val="none"/>
                    </w:rPr>
                  </w:pPr>
                </w:p>
              </w:tc>
              <w:tc>
                <w:tcPr>
                  <w:tcW w:w="0" w:type="auto"/>
                  <w:vMerge w:val="continue"/>
                  <w:tcBorders>
                    <w:tl2br w:val="nil"/>
                    <w:tr2bl w:val="nil"/>
                  </w:tcBorders>
                  <w:noWrap w:val="0"/>
                  <w:vAlign w:val="center"/>
                </w:tcPr>
                <w:p w14:paraId="113D0540">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sz w:val="21"/>
                      <w:szCs w:val="21"/>
                      <w:highlight w:val="none"/>
                      <w:u w:val="none"/>
                    </w:rPr>
                  </w:pPr>
                </w:p>
              </w:tc>
              <w:tc>
                <w:tcPr>
                  <w:tcW w:w="0" w:type="auto"/>
                  <w:tcBorders>
                    <w:tl2br w:val="nil"/>
                    <w:tr2bl w:val="nil"/>
                  </w:tcBorders>
                  <w:noWrap w:val="0"/>
                  <w:vAlign w:val="center"/>
                </w:tcPr>
                <w:p w14:paraId="60D7D2FD">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X</w:t>
                  </w:r>
                </w:p>
              </w:tc>
              <w:tc>
                <w:tcPr>
                  <w:tcW w:w="0" w:type="auto"/>
                  <w:tcBorders>
                    <w:tl2br w:val="nil"/>
                    <w:tr2bl w:val="nil"/>
                  </w:tcBorders>
                  <w:noWrap w:val="0"/>
                  <w:vAlign w:val="center"/>
                </w:tcPr>
                <w:p w14:paraId="0A86D87B">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Y</w:t>
                  </w:r>
                </w:p>
              </w:tc>
              <w:tc>
                <w:tcPr>
                  <w:tcW w:w="0" w:type="auto"/>
                  <w:tcBorders>
                    <w:tl2br w:val="nil"/>
                    <w:tr2bl w:val="nil"/>
                  </w:tcBorders>
                  <w:noWrap w:val="0"/>
                  <w:vAlign w:val="center"/>
                </w:tcPr>
                <w:p w14:paraId="2CE2EA5F">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Z</w:t>
                  </w:r>
                </w:p>
              </w:tc>
              <w:tc>
                <w:tcPr>
                  <w:tcW w:w="0" w:type="auto"/>
                  <w:tcBorders>
                    <w:tl2br w:val="nil"/>
                    <w:tr2bl w:val="nil"/>
                  </w:tcBorders>
                  <w:noWrap w:val="0"/>
                  <w:vAlign w:val="center"/>
                </w:tcPr>
                <w:p w14:paraId="503264F9">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声功率级/dB（A）</w:t>
                  </w:r>
                </w:p>
              </w:tc>
              <w:tc>
                <w:tcPr>
                  <w:tcW w:w="0" w:type="auto"/>
                  <w:vMerge w:val="continue"/>
                  <w:tcBorders>
                    <w:tl2br w:val="nil"/>
                    <w:tr2bl w:val="nil"/>
                  </w:tcBorders>
                  <w:noWrap w:val="0"/>
                  <w:vAlign w:val="center"/>
                </w:tcPr>
                <w:p w14:paraId="5305B2CD">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sz w:val="21"/>
                      <w:szCs w:val="21"/>
                      <w:highlight w:val="none"/>
                      <w:u w:val="none"/>
                    </w:rPr>
                  </w:pPr>
                </w:p>
              </w:tc>
              <w:tc>
                <w:tcPr>
                  <w:tcW w:w="0" w:type="auto"/>
                  <w:vMerge w:val="continue"/>
                  <w:tcBorders>
                    <w:tl2br w:val="nil"/>
                    <w:tr2bl w:val="nil"/>
                  </w:tcBorders>
                  <w:noWrap w:val="0"/>
                  <w:vAlign w:val="center"/>
                </w:tcPr>
                <w:p w14:paraId="6EE44BC4">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kern w:val="0"/>
                      <w:sz w:val="21"/>
                      <w:szCs w:val="21"/>
                      <w:highlight w:val="none"/>
                      <w:u w:val="none"/>
                    </w:rPr>
                  </w:pPr>
                </w:p>
              </w:tc>
            </w:tr>
            <w:tr w14:paraId="15F7CA7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63A84E60">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val="en-US" w:eastAsia="zh-CN"/>
                    </w:rPr>
                    <w:t>1</w:t>
                  </w:r>
                </w:p>
              </w:tc>
              <w:tc>
                <w:tcPr>
                  <w:tcW w:w="0" w:type="auto"/>
                  <w:tcBorders>
                    <w:tl2br w:val="nil"/>
                    <w:tr2bl w:val="nil"/>
                  </w:tcBorders>
                  <w:noWrap w:val="0"/>
                  <w:vAlign w:val="center"/>
                </w:tcPr>
                <w:p w14:paraId="129C737C">
                  <w:pPr>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lang w:val="en-US" w:eastAsia="zh-CN"/>
                    </w:rPr>
                    <w:t>铲车</w:t>
                  </w:r>
                </w:p>
              </w:tc>
              <w:tc>
                <w:tcPr>
                  <w:tcW w:w="0" w:type="auto"/>
                  <w:tcBorders>
                    <w:tl2br w:val="nil"/>
                    <w:tr2bl w:val="nil"/>
                  </w:tcBorders>
                  <w:noWrap w:val="0"/>
                  <w:vAlign w:val="center"/>
                </w:tcPr>
                <w:p w14:paraId="645635FC">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tcBorders>
                    <w:tl2br w:val="nil"/>
                    <w:tr2bl w:val="nil"/>
                  </w:tcBorders>
                  <w:noWrap w:val="0"/>
                  <w:vAlign w:val="center"/>
                </w:tcPr>
                <w:p w14:paraId="73E631FD">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tcBorders>
                    <w:tl2br w:val="nil"/>
                    <w:tr2bl w:val="nil"/>
                  </w:tcBorders>
                  <w:noWrap w:val="0"/>
                  <w:vAlign w:val="center"/>
                </w:tcPr>
                <w:p w14:paraId="7A586183">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tcBorders>
                    <w:tl2br w:val="nil"/>
                    <w:tr2bl w:val="nil"/>
                  </w:tcBorders>
                  <w:noWrap w:val="0"/>
                  <w:vAlign w:val="center"/>
                </w:tcPr>
                <w:p w14:paraId="1DB08499">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tcBorders>
                    <w:tl2br w:val="nil"/>
                    <w:tr2bl w:val="nil"/>
                  </w:tcBorders>
                  <w:noWrap w:val="0"/>
                  <w:vAlign w:val="center"/>
                </w:tcPr>
                <w:p w14:paraId="369D8B57">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80</w:t>
                  </w:r>
                </w:p>
              </w:tc>
              <w:tc>
                <w:tcPr>
                  <w:tcW w:w="2249" w:type="dxa"/>
                  <w:vMerge w:val="restart"/>
                  <w:tcBorders>
                    <w:tl2br w:val="nil"/>
                    <w:tr2bl w:val="nil"/>
                  </w:tcBorders>
                  <w:noWrap w:val="0"/>
                  <w:vAlign w:val="center"/>
                </w:tcPr>
                <w:p w14:paraId="5513CBD2">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rPr>
                    <w:t>低噪设备、</w:t>
                  </w:r>
                  <w:r>
                    <w:rPr>
                      <w:rFonts w:hint="default" w:ascii="Times New Roman" w:hAnsi="Times New Roman" w:eastAsia="宋体" w:cs="Times New Roman"/>
                      <w:color w:val="auto"/>
                      <w:sz w:val="21"/>
                      <w:szCs w:val="21"/>
                      <w:highlight w:val="none"/>
                      <w:lang w:val="en-US" w:eastAsia="zh-CN"/>
                    </w:rPr>
                    <w:t>加强维护、减速</w:t>
                  </w:r>
                </w:p>
              </w:tc>
              <w:tc>
                <w:tcPr>
                  <w:tcW w:w="1085" w:type="dxa"/>
                  <w:vMerge w:val="restart"/>
                  <w:tcBorders>
                    <w:tl2br w:val="nil"/>
                    <w:tr2bl w:val="nil"/>
                  </w:tcBorders>
                  <w:noWrap w:val="0"/>
                  <w:vAlign w:val="center"/>
                </w:tcPr>
                <w:p w14:paraId="5EDA3EC0">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2400</w:t>
                  </w:r>
                </w:p>
              </w:tc>
            </w:tr>
            <w:tr w14:paraId="1868807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0" w:type="auto"/>
                  <w:tcBorders>
                    <w:tl2br w:val="nil"/>
                    <w:tr2bl w:val="nil"/>
                  </w:tcBorders>
                  <w:noWrap w:val="0"/>
                  <w:vAlign w:val="center"/>
                </w:tcPr>
                <w:p w14:paraId="00834C4C">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2</w:t>
                  </w:r>
                </w:p>
              </w:tc>
              <w:tc>
                <w:tcPr>
                  <w:tcW w:w="910" w:type="dxa"/>
                  <w:tcBorders>
                    <w:tl2br w:val="nil"/>
                    <w:tr2bl w:val="nil"/>
                  </w:tcBorders>
                  <w:noWrap w:val="0"/>
                  <w:vAlign w:val="center"/>
                </w:tcPr>
                <w:p w14:paraId="7F5DE12A">
                  <w:pPr>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lang w:val="en-US" w:eastAsia="zh-CN"/>
                    </w:rPr>
                    <w:t>铲车</w:t>
                  </w:r>
                </w:p>
              </w:tc>
              <w:tc>
                <w:tcPr>
                  <w:tcW w:w="591" w:type="dxa"/>
                  <w:tcBorders>
                    <w:tl2br w:val="nil"/>
                    <w:tr2bl w:val="nil"/>
                  </w:tcBorders>
                  <w:noWrap w:val="0"/>
                  <w:vAlign w:val="center"/>
                </w:tcPr>
                <w:p w14:paraId="5D8B28F4">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1CE573AB">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117AF3F1">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516EC759">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1667" w:type="dxa"/>
                  <w:tcBorders>
                    <w:tl2br w:val="nil"/>
                    <w:tr2bl w:val="nil"/>
                  </w:tcBorders>
                  <w:noWrap w:val="0"/>
                  <w:vAlign w:val="center"/>
                </w:tcPr>
                <w:p w14:paraId="2CD58FCB">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80</w:t>
                  </w:r>
                </w:p>
              </w:tc>
              <w:tc>
                <w:tcPr>
                  <w:tcW w:w="2249" w:type="dxa"/>
                  <w:vMerge w:val="continue"/>
                  <w:tcBorders>
                    <w:tl2br w:val="nil"/>
                    <w:tr2bl w:val="nil"/>
                  </w:tcBorders>
                  <w:noWrap w:val="0"/>
                  <w:vAlign w:val="center"/>
                </w:tcPr>
                <w:p w14:paraId="0239EAF9">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p>
              </w:tc>
              <w:tc>
                <w:tcPr>
                  <w:tcW w:w="1085" w:type="dxa"/>
                  <w:vMerge w:val="continue"/>
                  <w:tcBorders>
                    <w:tl2br w:val="nil"/>
                    <w:tr2bl w:val="nil"/>
                  </w:tcBorders>
                  <w:noWrap w:val="0"/>
                  <w:vAlign w:val="center"/>
                </w:tcPr>
                <w:p w14:paraId="261B7969">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p>
              </w:tc>
            </w:tr>
            <w:tr w14:paraId="709A1C8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626BD3E0">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3</w:t>
                  </w:r>
                </w:p>
              </w:tc>
              <w:tc>
                <w:tcPr>
                  <w:tcW w:w="910" w:type="dxa"/>
                  <w:tcBorders>
                    <w:tl2br w:val="nil"/>
                    <w:tr2bl w:val="nil"/>
                  </w:tcBorders>
                  <w:shd w:val="clear" w:color="auto" w:fill="auto"/>
                  <w:noWrap w:val="0"/>
                  <w:vAlign w:val="center"/>
                </w:tcPr>
                <w:p w14:paraId="70D999F6">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铲车</w:t>
                  </w:r>
                </w:p>
              </w:tc>
              <w:tc>
                <w:tcPr>
                  <w:tcW w:w="591" w:type="dxa"/>
                  <w:tcBorders>
                    <w:tl2br w:val="nil"/>
                    <w:tr2bl w:val="nil"/>
                  </w:tcBorders>
                  <w:shd w:val="clear" w:color="auto" w:fill="auto"/>
                  <w:noWrap w:val="0"/>
                  <w:vAlign w:val="center"/>
                </w:tcPr>
                <w:p w14:paraId="5EBFE6F2">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shd w:val="clear" w:color="auto" w:fill="auto"/>
                  <w:noWrap w:val="0"/>
                  <w:vAlign w:val="center"/>
                </w:tcPr>
                <w:p w14:paraId="2A4525BE">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shd w:val="clear" w:color="auto" w:fill="auto"/>
                  <w:noWrap w:val="0"/>
                  <w:vAlign w:val="center"/>
                </w:tcPr>
                <w:p w14:paraId="0C047C18">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shd w:val="clear" w:color="auto" w:fill="auto"/>
                  <w:noWrap w:val="0"/>
                  <w:vAlign w:val="center"/>
                </w:tcPr>
                <w:p w14:paraId="60574F0E">
                  <w:pPr>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lang w:val="en-US" w:eastAsia="zh-CN"/>
                    </w:rPr>
                    <w:t>—</w:t>
                  </w:r>
                </w:p>
              </w:tc>
              <w:tc>
                <w:tcPr>
                  <w:tcW w:w="1667" w:type="dxa"/>
                  <w:tcBorders>
                    <w:tl2br w:val="nil"/>
                    <w:tr2bl w:val="nil"/>
                  </w:tcBorders>
                  <w:shd w:val="clear" w:color="auto" w:fill="auto"/>
                  <w:noWrap w:val="0"/>
                  <w:vAlign w:val="center"/>
                </w:tcPr>
                <w:p w14:paraId="072B3704">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sz w:val="21"/>
                      <w:szCs w:val="21"/>
                      <w:highlight w:val="none"/>
                      <w:u w:val="none"/>
                      <w:lang w:val="en-US" w:eastAsia="zh-CN"/>
                    </w:rPr>
                    <w:t>80</w:t>
                  </w:r>
                </w:p>
              </w:tc>
              <w:tc>
                <w:tcPr>
                  <w:tcW w:w="2249" w:type="dxa"/>
                  <w:vMerge w:val="continue"/>
                  <w:tcBorders>
                    <w:tl2br w:val="nil"/>
                    <w:tr2bl w:val="nil"/>
                  </w:tcBorders>
                  <w:noWrap w:val="0"/>
                  <w:vAlign w:val="center"/>
                </w:tcPr>
                <w:p w14:paraId="731AA32C">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p>
              </w:tc>
              <w:tc>
                <w:tcPr>
                  <w:tcW w:w="1085" w:type="dxa"/>
                  <w:vMerge w:val="continue"/>
                  <w:tcBorders>
                    <w:tl2br w:val="nil"/>
                    <w:tr2bl w:val="nil"/>
                  </w:tcBorders>
                  <w:noWrap w:val="0"/>
                  <w:vAlign w:val="center"/>
                </w:tcPr>
                <w:p w14:paraId="1A92E783">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p>
              </w:tc>
            </w:tr>
            <w:tr w14:paraId="41E55F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498E2124">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4</w:t>
                  </w:r>
                </w:p>
              </w:tc>
              <w:tc>
                <w:tcPr>
                  <w:tcW w:w="0" w:type="auto"/>
                  <w:tcBorders>
                    <w:tl2br w:val="nil"/>
                    <w:tr2bl w:val="nil"/>
                  </w:tcBorders>
                  <w:noWrap w:val="0"/>
                  <w:vAlign w:val="center"/>
                </w:tcPr>
                <w:p w14:paraId="295BD19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洒水车</w:t>
                  </w:r>
                </w:p>
              </w:tc>
              <w:tc>
                <w:tcPr>
                  <w:tcW w:w="591" w:type="dxa"/>
                  <w:tcBorders>
                    <w:tl2br w:val="nil"/>
                    <w:tr2bl w:val="nil"/>
                  </w:tcBorders>
                  <w:noWrap w:val="0"/>
                  <w:vAlign w:val="center"/>
                </w:tcPr>
                <w:p w14:paraId="7DE056F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4B62132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63C981B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42580F8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tcBorders>
                    <w:tl2br w:val="nil"/>
                    <w:tr2bl w:val="nil"/>
                  </w:tcBorders>
                  <w:noWrap w:val="0"/>
                  <w:vAlign w:val="center"/>
                </w:tcPr>
                <w:p w14:paraId="579FAF91">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70</w:t>
                  </w:r>
                </w:p>
              </w:tc>
              <w:tc>
                <w:tcPr>
                  <w:tcW w:w="2249" w:type="dxa"/>
                  <w:vMerge w:val="continue"/>
                  <w:tcBorders>
                    <w:tl2br w:val="nil"/>
                    <w:tr2bl w:val="nil"/>
                  </w:tcBorders>
                  <w:noWrap w:val="0"/>
                  <w:vAlign w:val="center"/>
                </w:tcPr>
                <w:p w14:paraId="369578A2">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p>
              </w:tc>
              <w:tc>
                <w:tcPr>
                  <w:tcW w:w="1085" w:type="dxa"/>
                  <w:vMerge w:val="restart"/>
                  <w:tcBorders>
                    <w:tl2br w:val="nil"/>
                    <w:tr2bl w:val="nil"/>
                  </w:tcBorders>
                  <w:noWrap w:val="0"/>
                  <w:vAlign w:val="center"/>
                </w:tcPr>
                <w:p w14:paraId="23533401">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600</w:t>
                  </w:r>
                </w:p>
              </w:tc>
            </w:tr>
            <w:tr w14:paraId="5DE26AD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7B4C7BEF">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5</w:t>
                  </w:r>
                </w:p>
              </w:tc>
              <w:tc>
                <w:tcPr>
                  <w:tcW w:w="0" w:type="auto"/>
                  <w:tcBorders>
                    <w:tl2br w:val="nil"/>
                    <w:tr2bl w:val="nil"/>
                  </w:tcBorders>
                  <w:noWrap w:val="0"/>
                  <w:vAlign w:val="center"/>
                </w:tcPr>
                <w:p w14:paraId="6953B76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水泵</w:t>
                  </w:r>
                </w:p>
              </w:tc>
              <w:tc>
                <w:tcPr>
                  <w:tcW w:w="591" w:type="dxa"/>
                  <w:tcBorders>
                    <w:tl2br w:val="nil"/>
                    <w:tr2bl w:val="nil"/>
                  </w:tcBorders>
                  <w:noWrap w:val="0"/>
                  <w:vAlign w:val="center"/>
                </w:tcPr>
                <w:p w14:paraId="157D214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2C11271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286E842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5FE16C2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0" w:type="auto"/>
                  <w:tcBorders>
                    <w:tl2br w:val="nil"/>
                    <w:tr2bl w:val="nil"/>
                  </w:tcBorders>
                  <w:noWrap w:val="0"/>
                  <w:vAlign w:val="center"/>
                </w:tcPr>
                <w:p w14:paraId="6AADEBD8">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75</w:t>
                  </w:r>
                </w:p>
              </w:tc>
              <w:tc>
                <w:tcPr>
                  <w:tcW w:w="2249" w:type="dxa"/>
                  <w:vMerge w:val="continue"/>
                  <w:tcBorders>
                    <w:tl2br w:val="nil"/>
                    <w:tr2bl w:val="nil"/>
                  </w:tcBorders>
                  <w:noWrap w:val="0"/>
                  <w:vAlign w:val="center"/>
                </w:tcPr>
                <w:p w14:paraId="4CE6DA95">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p>
              </w:tc>
              <w:tc>
                <w:tcPr>
                  <w:tcW w:w="1085" w:type="dxa"/>
                  <w:vMerge w:val="continue"/>
                  <w:tcBorders>
                    <w:tl2br w:val="nil"/>
                    <w:tr2bl w:val="nil"/>
                  </w:tcBorders>
                  <w:noWrap w:val="0"/>
                  <w:vAlign w:val="center"/>
                </w:tcPr>
                <w:p w14:paraId="17D61C31">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p>
              </w:tc>
            </w:tr>
          </w:tbl>
          <w:p w14:paraId="77C0E2BF">
            <w:pPr>
              <w:keepNext w:val="0"/>
              <w:keepLines w:val="0"/>
              <w:pageBreakBefore w:val="0"/>
              <w:widowControl w:val="0"/>
              <w:kinsoku/>
              <w:wordWrap/>
              <w:overflowPunct/>
              <w:topLinePunct w:val="0"/>
              <w:autoSpaceDE/>
              <w:autoSpaceDN/>
              <w:bidi w:val="0"/>
              <w:adjustRightInd w:val="0"/>
              <w:snapToGrid/>
              <w:spacing w:before="157" w:beforeLines="50" w:line="360" w:lineRule="auto"/>
              <w:jc w:val="center"/>
              <w:textAlignment w:val="auto"/>
              <w:rPr>
                <w:color w:val="auto"/>
              </w:rPr>
            </w:pPr>
            <w:r>
              <w:rPr>
                <w:color w:val="auto"/>
              </w:rPr>
              <w:drawing>
                <wp:inline distT="0" distB="0" distL="114300" distR="114300">
                  <wp:extent cx="5631180" cy="2908935"/>
                  <wp:effectExtent l="0" t="0" r="7620" b="571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29"/>
                          <a:stretch>
                            <a:fillRect/>
                          </a:stretch>
                        </pic:blipFill>
                        <pic:spPr>
                          <a:xfrm>
                            <a:off x="0" y="0"/>
                            <a:ext cx="5631180" cy="2908935"/>
                          </a:xfrm>
                          <a:prstGeom prst="rect">
                            <a:avLst/>
                          </a:prstGeom>
                          <a:noFill/>
                          <a:ln>
                            <a:noFill/>
                          </a:ln>
                        </pic:spPr>
                      </pic:pic>
                    </a:graphicData>
                  </a:graphic>
                </wp:inline>
              </w:drawing>
            </w:r>
          </w:p>
          <w:p w14:paraId="2712B55B">
            <w:pPr>
              <w:adjustRightInd w:val="0"/>
              <w:snapToGrid w:val="0"/>
              <w:spacing w:line="360" w:lineRule="auto"/>
              <w:jc w:val="center"/>
              <w:rPr>
                <w:rFonts w:hint="default" w:ascii="Times New Roman" w:hAnsi="Times New Roman" w:eastAsia="宋体"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图</w:t>
            </w:r>
            <w:r>
              <w:rPr>
                <w:rFonts w:hint="default" w:ascii="Times New Roman" w:hAnsi="Times New Roman" w:eastAsia="宋体" w:cs="Times New Roman"/>
                <w:b/>
                <w:bCs/>
                <w:color w:val="auto"/>
                <w:kern w:val="2"/>
                <w:sz w:val="24"/>
                <w:szCs w:val="24"/>
                <w:highlight w:val="none"/>
                <w:lang w:val="en-US" w:eastAsia="zh-CN" w:bidi="ar-SA"/>
              </w:rPr>
              <w:t>4-</w:t>
            </w:r>
            <w:r>
              <w:rPr>
                <w:rFonts w:hint="eastAsia" w:cs="Times New Roman"/>
                <w:b/>
                <w:bCs/>
                <w:color w:val="auto"/>
                <w:kern w:val="2"/>
                <w:sz w:val="24"/>
                <w:szCs w:val="24"/>
                <w:highlight w:val="none"/>
                <w:lang w:val="en-US" w:eastAsia="zh-CN" w:bidi="ar-SA"/>
              </w:rPr>
              <w:t xml:space="preserve">1 </w:t>
            </w:r>
            <w:r>
              <w:rPr>
                <w:rFonts w:hint="default" w:ascii="Times New Roman" w:hAnsi="Times New Roman" w:eastAsia="宋体" w:cs="Times New Roman"/>
                <w:b/>
                <w:bCs/>
                <w:color w:val="auto"/>
                <w:kern w:val="2"/>
                <w:sz w:val="24"/>
                <w:szCs w:val="24"/>
                <w:highlight w:val="none"/>
                <w:lang w:val="en-US" w:eastAsia="zh-CN" w:bidi="ar-SA"/>
              </w:rPr>
              <w:t>厂界噪声预测</w:t>
            </w:r>
            <w:r>
              <w:rPr>
                <w:rFonts w:hint="eastAsia" w:cs="Times New Roman"/>
                <w:b/>
                <w:bCs/>
                <w:color w:val="auto"/>
                <w:kern w:val="2"/>
                <w:sz w:val="24"/>
                <w:szCs w:val="24"/>
                <w:highlight w:val="none"/>
                <w:lang w:val="en-US" w:eastAsia="zh-CN" w:bidi="ar-SA"/>
              </w:rPr>
              <w:t>图</w:t>
            </w:r>
          </w:p>
          <w:p w14:paraId="34100E33">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w:t>
            </w:r>
            <w:r>
              <w:rPr>
                <w:rFonts w:hint="default" w:ascii="Times New Roman" w:hAnsi="Times New Roman" w:cs="Times New Roman"/>
                <w:b/>
                <w:bCs/>
                <w:color w:val="auto"/>
                <w:kern w:val="2"/>
                <w:sz w:val="24"/>
                <w:szCs w:val="24"/>
                <w:highlight w:val="none"/>
                <w:lang w:val="en-US" w:eastAsia="zh-CN" w:bidi="ar-SA"/>
              </w:rPr>
              <w:t>5</w:t>
            </w:r>
            <w:r>
              <w:rPr>
                <w:rFonts w:hint="default" w:ascii="Times New Roman" w:hAnsi="Times New Roman" w:eastAsia="宋体" w:cs="Times New Roman"/>
                <w:b/>
                <w:bCs/>
                <w:color w:val="auto"/>
                <w:kern w:val="2"/>
                <w:sz w:val="24"/>
                <w:szCs w:val="24"/>
                <w:highlight w:val="none"/>
                <w:lang w:val="en-US" w:eastAsia="zh-CN" w:bidi="ar-SA"/>
              </w:rPr>
              <w:t xml:space="preserve"> 厂界噪声预测结果表    </w:t>
            </w:r>
          </w:p>
          <w:p w14:paraId="4ADB1002">
            <w:pPr>
              <w:adjustRightInd w:val="0"/>
              <w:snapToGrid w:val="0"/>
              <w:jc w:val="right"/>
              <w:rPr>
                <w:rFonts w:hint="default" w:ascii="Times New Roman" w:hAnsi="Times New Roman" w:eastAsia="宋体" w:cs="Times New Roman"/>
                <w:b/>
                <w:bCs w:val="0"/>
                <w:color w:val="auto"/>
                <w:spacing w:val="0"/>
                <w:kern w:val="2"/>
                <w:sz w:val="16"/>
                <w:szCs w:val="16"/>
                <w:highlight w:val="none"/>
                <w:lang w:val="en-US" w:eastAsia="zh-CN" w:bidi="ar-SA"/>
              </w:rPr>
            </w:pPr>
            <w:r>
              <w:rPr>
                <w:rFonts w:hint="default" w:ascii="Times New Roman" w:hAnsi="Times New Roman" w:eastAsia="宋体" w:cs="Times New Roman"/>
                <w:b/>
                <w:bCs w:val="0"/>
                <w:color w:val="auto"/>
                <w:spacing w:val="0"/>
                <w:kern w:val="2"/>
                <w:sz w:val="16"/>
                <w:szCs w:val="16"/>
                <w:highlight w:val="none"/>
                <w:lang w:val="en-US" w:eastAsia="zh-CN" w:bidi="ar-SA"/>
              </w:rPr>
              <w:t>单位：Leq</w:t>
            </w:r>
            <w:r>
              <w:rPr>
                <w:rFonts w:hint="default" w:ascii="Times New Roman" w:hAnsi="Times New Roman" w:cs="Times New Roman"/>
                <w:b/>
                <w:bCs w:val="0"/>
                <w:color w:val="auto"/>
                <w:spacing w:val="0"/>
                <w:kern w:val="2"/>
                <w:sz w:val="16"/>
                <w:szCs w:val="16"/>
                <w:highlight w:val="none"/>
                <w:lang w:val="en-US" w:eastAsia="zh-CN" w:bidi="ar-SA"/>
              </w:rPr>
              <w:t>（</w:t>
            </w:r>
            <w:r>
              <w:rPr>
                <w:rFonts w:hint="default" w:ascii="Times New Roman" w:hAnsi="Times New Roman" w:eastAsia="宋体" w:cs="Times New Roman"/>
                <w:b/>
                <w:bCs w:val="0"/>
                <w:color w:val="auto"/>
                <w:spacing w:val="0"/>
                <w:kern w:val="2"/>
                <w:sz w:val="16"/>
                <w:szCs w:val="16"/>
                <w:highlight w:val="none"/>
                <w:lang w:val="en-US" w:eastAsia="zh-CN" w:bidi="ar-SA"/>
              </w:rPr>
              <w:t>dB</w:t>
            </w:r>
            <w:r>
              <w:rPr>
                <w:rFonts w:hint="default" w:ascii="Times New Roman" w:hAnsi="Times New Roman" w:cs="Times New Roman"/>
                <w:b/>
                <w:bCs w:val="0"/>
                <w:color w:val="auto"/>
                <w:spacing w:val="0"/>
                <w:kern w:val="2"/>
                <w:sz w:val="16"/>
                <w:szCs w:val="16"/>
                <w:highlight w:val="none"/>
                <w:lang w:val="en-US" w:eastAsia="zh-CN" w:bidi="ar-SA"/>
              </w:rPr>
              <w:t>）</w:t>
            </w:r>
          </w:p>
          <w:tbl>
            <w:tblPr>
              <w:tblStyle w:val="20"/>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51" w:type="dxa"/>
                <w:bottom w:w="0" w:type="dxa"/>
                <w:right w:w="51" w:type="dxa"/>
              </w:tblCellMar>
            </w:tblPr>
            <w:tblGrid>
              <w:gridCol w:w="2295"/>
              <w:gridCol w:w="1638"/>
              <w:gridCol w:w="1639"/>
              <w:gridCol w:w="1639"/>
              <w:gridCol w:w="1664"/>
            </w:tblGrid>
            <w:tr w14:paraId="345C59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293" w:type="pct"/>
                  <w:tcBorders>
                    <w:tl2br w:val="nil"/>
                    <w:tr2bl w:val="nil"/>
                  </w:tcBorders>
                  <w:noWrap w:val="0"/>
                  <w:vAlign w:val="center"/>
                </w:tcPr>
                <w:p w14:paraId="0071F0B9">
                  <w:pPr>
                    <w:widowControl/>
                    <w:spacing w:line="0" w:lineRule="atLeas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位置</w:t>
                  </w:r>
                </w:p>
              </w:tc>
              <w:tc>
                <w:tcPr>
                  <w:tcW w:w="923" w:type="pct"/>
                  <w:tcBorders>
                    <w:tl2br w:val="nil"/>
                    <w:tr2bl w:val="nil"/>
                  </w:tcBorders>
                  <w:noWrap w:val="0"/>
                  <w:vAlign w:val="center"/>
                </w:tcPr>
                <w:p w14:paraId="06AE895E">
                  <w:pPr>
                    <w:widowControl/>
                    <w:spacing w:line="0" w:lineRule="atLeas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东侧</w:t>
                  </w:r>
                  <w:r>
                    <w:rPr>
                      <w:rFonts w:hint="default" w:ascii="Times New Roman" w:hAnsi="Times New Roman" w:cs="Times New Roman"/>
                      <w:color w:val="auto"/>
                      <w:sz w:val="21"/>
                      <w:szCs w:val="21"/>
                      <w:highlight w:val="none"/>
                    </w:rPr>
                    <w:t>厂界</w:t>
                  </w:r>
                </w:p>
              </w:tc>
              <w:tc>
                <w:tcPr>
                  <w:tcW w:w="923" w:type="pct"/>
                  <w:tcBorders>
                    <w:tl2br w:val="nil"/>
                    <w:tr2bl w:val="nil"/>
                  </w:tcBorders>
                  <w:noWrap w:val="0"/>
                  <w:vAlign w:val="center"/>
                </w:tcPr>
                <w:p w14:paraId="1C79EAFC">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南侧厂界</w:t>
                  </w:r>
                </w:p>
              </w:tc>
              <w:tc>
                <w:tcPr>
                  <w:tcW w:w="923" w:type="pct"/>
                  <w:tcBorders>
                    <w:tl2br w:val="nil"/>
                    <w:tr2bl w:val="nil"/>
                  </w:tcBorders>
                  <w:noWrap w:val="0"/>
                  <w:vAlign w:val="center"/>
                </w:tcPr>
                <w:p w14:paraId="6A65D914">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西侧厂界</w:t>
                  </w:r>
                </w:p>
              </w:tc>
              <w:tc>
                <w:tcPr>
                  <w:tcW w:w="936" w:type="pct"/>
                  <w:tcBorders>
                    <w:tl2br w:val="nil"/>
                    <w:tr2bl w:val="nil"/>
                  </w:tcBorders>
                  <w:noWrap w:val="0"/>
                  <w:vAlign w:val="center"/>
                </w:tcPr>
                <w:p w14:paraId="7E24F527">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北侧厂界</w:t>
                  </w:r>
                </w:p>
              </w:tc>
            </w:tr>
            <w:tr w14:paraId="4203B4A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293" w:type="pct"/>
                  <w:tcBorders>
                    <w:tl2br w:val="nil"/>
                    <w:tr2bl w:val="nil"/>
                  </w:tcBorders>
                  <w:noWrap w:val="0"/>
                  <w:vAlign w:val="center"/>
                </w:tcPr>
                <w:p w14:paraId="66A387B0">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 w:val="21"/>
                      <w:szCs w:val="21"/>
                      <w:highlight w:val="none"/>
                      <w:lang w:val="en-US" w:eastAsia="zh-CN"/>
                    </w:rPr>
                    <w:t>贡献值</w:t>
                  </w:r>
                </w:p>
              </w:tc>
              <w:tc>
                <w:tcPr>
                  <w:tcW w:w="923" w:type="pct"/>
                  <w:tcBorders>
                    <w:tl2br w:val="nil"/>
                    <w:tr2bl w:val="nil"/>
                  </w:tcBorders>
                  <w:noWrap w:val="0"/>
                  <w:vAlign w:val="center"/>
                </w:tcPr>
                <w:p w14:paraId="532EFA79">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38.27</w:t>
                  </w:r>
                </w:p>
              </w:tc>
              <w:tc>
                <w:tcPr>
                  <w:tcW w:w="923" w:type="pct"/>
                  <w:tcBorders>
                    <w:tl2br w:val="nil"/>
                    <w:tr2bl w:val="nil"/>
                  </w:tcBorders>
                  <w:noWrap w:val="0"/>
                  <w:vAlign w:val="center"/>
                </w:tcPr>
                <w:p w14:paraId="4B4AF3A0">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44.43</w:t>
                  </w:r>
                </w:p>
              </w:tc>
              <w:tc>
                <w:tcPr>
                  <w:tcW w:w="923" w:type="pct"/>
                  <w:tcBorders>
                    <w:tl2br w:val="nil"/>
                    <w:tr2bl w:val="nil"/>
                  </w:tcBorders>
                  <w:noWrap w:val="0"/>
                  <w:vAlign w:val="center"/>
                </w:tcPr>
                <w:p w14:paraId="23989F6D">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44.41</w:t>
                  </w:r>
                </w:p>
              </w:tc>
              <w:tc>
                <w:tcPr>
                  <w:tcW w:w="936" w:type="pct"/>
                  <w:tcBorders>
                    <w:tl2br w:val="nil"/>
                    <w:tr2bl w:val="nil"/>
                  </w:tcBorders>
                  <w:noWrap w:val="0"/>
                  <w:vAlign w:val="center"/>
                </w:tcPr>
                <w:p w14:paraId="19195F99">
                  <w:pPr>
                    <w:widowControl/>
                    <w:spacing w:line="0" w:lineRule="atLeas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42.85</w:t>
                  </w:r>
                </w:p>
              </w:tc>
            </w:tr>
            <w:tr w14:paraId="771D9E9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293" w:type="pct"/>
                  <w:tcBorders>
                    <w:tl2br w:val="nil"/>
                    <w:tr2bl w:val="nil"/>
                  </w:tcBorders>
                  <w:noWrap w:val="0"/>
                  <w:vAlign w:val="center"/>
                </w:tcPr>
                <w:p w14:paraId="263C37F3">
                  <w:pPr>
                    <w:widowControl/>
                    <w:spacing w:line="0" w:lineRule="atLeas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tc>
              <w:tc>
                <w:tcPr>
                  <w:tcW w:w="3706" w:type="pct"/>
                  <w:gridSpan w:val="4"/>
                  <w:tcBorders>
                    <w:tl2br w:val="nil"/>
                    <w:tr2bl w:val="nil"/>
                  </w:tcBorders>
                  <w:noWrap w:val="0"/>
                  <w:vAlign w:val="center"/>
                </w:tcPr>
                <w:p w14:paraId="5D722C64">
                  <w:pPr>
                    <w:widowControl/>
                    <w:spacing w:line="0" w:lineRule="atLeast"/>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昼间</w:t>
                  </w:r>
                  <w:r>
                    <w:rPr>
                      <w:rFonts w:hint="default" w:ascii="Times New Roman" w:hAnsi="Times New Roman" w:cs="Times New Roman"/>
                      <w:color w:val="auto"/>
                      <w:sz w:val="21"/>
                      <w:szCs w:val="21"/>
                      <w:highlight w:val="none"/>
                      <w:lang w:val="en-US" w:eastAsia="zh-CN"/>
                    </w:rPr>
                    <w:t>60</w:t>
                  </w:r>
                </w:p>
              </w:tc>
            </w:tr>
          </w:tbl>
          <w:p w14:paraId="35E840EF">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本项目的噪声主要为</w:t>
            </w:r>
            <w:r>
              <w:rPr>
                <w:rFonts w:hint="default" w:ascii="Times New Roman" w:hAnsi="Times New Roman" w:cs="Times New Roman"/>
                <w:bCs/>
                <w:color w:val="auto"/>
                <w:sz w:val="24"/>
                <w:highlight w:val="none"/>
                <w:lang w:val="en-US" w:eastAsia="zh-CN"/>
              </w:rPr>
              <w:t>铲车</w:t>
            </w:r>
            <w:r>
              <w:rPr>
                <w:rFonts w:hint="default" w:ascii="Times New Roman" w:hAnsi="Times New Roman" w:cs="Times New Roman"/>
                <w:bCs/>
                <w:color w:val="auto"/>
                <w:sz w:val="24"/>
                <w:highlight w:val="none"/>
              </w:rPr>
              <w:t>、装卸车辆的噪声，在</w:t>
            </w:r>
            <w:r>
              <w:rPr>
                <w:rFonts w:hint="default" w:ascii="Times New Roman" w:hAnsi="Times New Roman" w:cs="Times New Roman"/>
                <w:bCs/>
                <w:color w:val="auto"/>
                <w:sz w:val="24"/>
                <w:highlight w:val="none"/>
                <w:lang w:val="en-US" w:eastAsia="zh-CN"/>
              </w:rPr>
              <w:t>70</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val="en-US" w:eastAsia="zh-CN"/>
              </w:rPr>
              <w:t>80</w:t>
            </w:r>
            <w:r>
              <w:rPr>
                <w:rFonts w:hint="default" w:ascii="Times New Roman" w:hAnsi="Times New Roman" w:cs="Times New Roman"/>
                <w:bCs/>
                <w:color w:val="auto"/>
                <w:sz w:val="24"/>
                <w:highlight w:val="none"/>
              </w:rPr>
              <w:t>dB</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A</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左右。</w:t>
            </w:r>
            <w:r>
              <w:rPr>
                <w:rFonts w:hint="default" w:ascii="Times New Roman" w:hAnsi="Times New Roman" w:cs="Times New Roman"/>
                <w:bCs/>
                <w:color w:val="auto"/>
                <w:sz w:val="24"/>
                <w:highlight w:val="none"/>
                <w:lang w:val="en-US" w:eastAsia="zh-CN"/>
              </w:rPr>
              <w:t>车辆采用低噪声设备、加强车辆维护、厂区内限速，夜间不生产</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在采取以上</w:t>
            </w:r>
            <w:r>
              <w:rPr>
                <w:rFonts w:hint="default" w:ascii="Times New Roman" w:hAnsi="Times New Roman" w:cs="Times New Roman"/>
                <w:bCs/>
                <w:color w:val="auto"/>
                <w:sz w:val="24"/>
                <w:highlight w:val="none"/>
              </w:rPr>
              <w:t>降噪措施后，项目厂界噪声满足《工业企业厂界环境噪声排放标准》（GB12348-2008）中2类标准，本项目对周围声环境影响较小。</w:t>
            </w:r>
          </w:p>
          <w:p w14:paraId="4AE3C9EA">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本项目运营期运输噪声主要表现为汽车运输对沿途居民生活的影响，如发动机声、鸣笛声。运营期运输车辆车流量较小，且一般都是分开运行，极少同时运行，环评要求建设单位应加强调度管理，禁止夜间运输，运输车辆要减速行驶，禁止鸣笛。采取以上措施后，运输噪声对周围影响较小。</w:t>
            </w:r>
          </w:p>
          <w:p w14:paraId="4102D087">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（2）监测要求</w:t>
            </w:r>
          </w:p>
          <w:p w14:paraId="12214BFD">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根据《排污单位自行监测技术指南 总则》（HJ819-2017），噪声监测要求详见表4-</w:t>
            </w:r>
            <w:r>
              <w:rPr>
                <w:rFonts w:hint="default" w:ascii="Times New Roman" w:hAnsi="Times New Roman" w:cs="Times New Roman"/>
                <w:bCs/>
                <w:color w:val="auto"/>
                <w:sz w:val="24"/>
                <w:highlight w:val="none"/>
                <w:lang w:val="en-US" w:eastAsia="zh-CN"/>
              </w:rPr>
              <w:t>6</w:t>
            </w:r>
            <w:r>
              <w:rPr>
                <w:rFonts w:hint="default" w:ascii="Times New Roman" w:hAnsi="Times New Roman" w:cs="Times New Roman"/>
                <w:bCs/>
                <w:color w:val="auto"/>
                <w:sz w:val="24"/>
                <w:highlight w:val="none"/>
              </w:rPr>
              <w:t>。</w:t>
            </w:r>
          </w:p>
          <w:p w14:paraId="606FE424">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w:t>
            </w:r>
            <w:r>
              <w:rPr>
                <w:rFonts w:hint="default" w:ascii="Times New Roman" w:hAnsi="Times New Roman" w:cs="Times New Roman"/>
                <w:b/>
                <w:bCs/>
                <w:color w:val="auto"/>
                <w:kern w:val="2"/>
                <w:sz w:val="24"/>
                <w:szCs w:val="24"/>
                <w:highlight w:val="none"/>
                <w:lang w:val="en-US" w:eastAsia="zh-CN" w:bidi="ar-SA"/>
              </w:rPr>
              <w:t>6</w:t>
            </w:r>
            <w:r>
              <w:rPr>
                <w:rFonts w:hint="default" w:ascii="Times New Roman" w:hAnsi="Times New Roman" w:eastAsia="宋体" w:cs="Times New Roman"/>
                <w:b/>
                <w:bCs/>
                <w:color w:val="auto"/>
                <w:kern w:val="2"/>
                <w:sz w:val="24"/>
                <w:szCs w:val="24"/>
                <w:highlight w:val="none"/>
                <w:lang w:val="en-US" w:eastAsia="zh-CN" w:bidi="ar-SA"/>
              </w:rPr>
              <w:t xml:space="preserve">  监测要求</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3"/>
              <w:gridCol w:w="1509"/>
              <w:gridCol w:w="1174"/>
              <w:gridCol w:w="1429"/>
              <w:gridCol w:w="3485"/>
            </w:tblGrid>
            <w:tr w14:paraId="3DA79D3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noWrap w:val="0"/>
                  <w:vAlign w:val="center"/>
                </w:tcPr>
                <w:p w14:paraId="322321C2">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监测类别</w:t>
                  </w:r>
                </w:p>
              </w:tc>
              <w:tc>
                <w:tcPr>
                  <w:tcW w:w="1493" w:type="dxa"/>
                  <w:noWrap w:val="0"/>
                  <w:vAlign w:val="center"/>
                </w:tcPr>
                <w:p w14:paraId="1D7319ED">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监测点位</w:t>
                  </w:r>
                </w:p>
              </w:tc>
              <w:tc>
                <w:tcPr>
                  <w:tcW w:w="1162" w:type="dxa"/>
                  <w:noWrap w:val="0"/>
                  <w:vAlign w:val="center"/>
                </w:tcPr>
                <w:p w14:paraId="5F232020">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监测指标</w:t>
                  </w:r>
                </w:p>
              </w:tc>
              <w:tc>
                <w:tcPr>
                  <w:tcW w:w="1414" w:type="dxa"/>
                  <w:noWrap w:val="0"/>
                  <w:vAlign w:val="center"/>
                </w:tcPr>
                <w:p w14:paraId="160DF773">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监测频次</w:t>
                  </w:r>
                </w:p>
              </w:tc>
              <w:tc>
                <w:tcPr>
                  <w:tcW w:w="3448" w:type="dxa"/>
                  <w:noWrap w:val="0"/>
                  <w:vAlign w:val="center"/>
                </w:tcPr>
                <w:p w14:paraId="0DAE62AE">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执行标准</w:t>
                  </w:r>
                </w:p>
              </w:tc>
            </w:tr>
            <w:tr w14:paraId="4C61C55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noWrap w:val="0"/>
                  <w:vAlign w:val="center"/>
                </w:tcPr>
                <w:p w14:paraId="591E570A">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声环境</w:t>
                  </w:r>
                </w:p>
              </w:tc>
              <w:tc>
                <w:tcPr>
                  <w:tcW w:w="1493" w:type="dxa"/>
                  <w:noWrap w:val="0"/>
                  <w:vAlign w:val="center"/>
                </w:tcPr>
                <w:p w14:paraId="5B8EF6C5">
                  <w:pPr>
                    <w:adjustRightInd w:val="0"/>
                    <w:snapToGrid w:val="0"/>
                    <w:jc w:val="center"/>
                    <w:rPr>
                      <w:rFonts w:hint="default" w:ascii="Times New Roman" w:hAnsi="Times New Roman" w:eastAsia="宋体" w:cs="Times New Roman"/>
                      <w:bCs/>
                      <w:color w:val="auto"/>
                      <w:szCs w:val="21"/>
                      <w:highlight w:val="none"/>
                      <w:lang w:eastAsia="zh-CN"/>
                    </w:rPr>
                  </w:pPr>
                  <w:r>
                    <w:rPr>
                      <w:rFonts w:hint="default" w:ascii="Times New Roman" w:hAnsi="Times New Roman" w:cs="Times New Roman"/>
                      <w:bCs/>
                      <w:color w:val="auto"/>
                      <w:szCs w:val="21"/>
                      <w:highlight w:val="none"/>
                      <w:lang w:val="en-US" w:eastAsia="zh-CN"/>
                    </w:rPr>
                    <w:t>储煤场</w:t>
                  </w:r>
                  <w:r>
                    <w:rPr>
                      <w:rFonts w:hint="default" w:ascii="Times New Roman" w:hAnsi="Times New Roman" w:cs="Times New Roman"/>
                      <w:bCs/>
                      <w:color w:val="auto"/>
                      <w:szCs w:val="21"/>
                      <w:highlight w:val="none"/>
                    </w:rPr>
                    <w:t>四周外1m布设</w:t>
                  </w:r>
                  <w:r>
                    <w:rPr>
                      <w:rFonts w:hint="default" w:ascii="Times New Roman" w:hAnsi="Times New Roman" w:cs="Times New Roman"/>
                      <w:bCs/>
                      <w:color w:val="auto"/>
                      <w:szCs w:val="21"/>
                      <w:highlight w:val="none"/>
                      <w:lang w:val="en-US" w:eastAsia="zh-CN"/>
                    </w:rPr>
                    <w:t>监测点</w:t>
                  </w:r>
                </w:p>
              </w:tc>
              <w:tc>
                <w:tcPr>
                  <w:tcW w:w="1162" w:type="dxa"/>
                  <w:noWrap w:val="0"/>
                  <w:vAlign w:val="center"/>
                </w:tcPr>
                <w:p w14:paraId="66EDF39E">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连续等效A声级</w:t>
                  </w:r>
                </w:p>
              </w:tc>
              <w:tc>
                <w:tcPr>
                  <w:tcW w:w="1414" w:type="dxa"/>
                  <w:noWrap w:val="0"/>
                  <w:vAlign w:val="center"/>
                </w:tcPr>
                <w:p w14:paraId="54C31A60">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每季度开展1次昼</w:t>
                  </w:r>
                  <w:r>
                    <w:rPr>
                      <w:rFonts w:hint="default" w:ascii="Times New Roman" w:hAnsi="Times New Roman" w:cs="Times New Roman"/>
                      <w:bCs/>
                      <w:color w:val="auto"/>
                      <w:szCs w:val="21"/>
                      <w:highlight w:val="none"/>
                      <w:lang w:val="en-US" w:eastAsia="zh-CN"/>
                    </w:rPr>
                    <w:t>间</w:t>
                  </w:r>
                  <w:r>
                    <w:rPr>
                      <w:rFonts w:hint="default" w:ascii="Times New Roman" w:hAnsi="Times New Roman" w:cs="Times New Roman"/>
                      <w:bCs/>
                      <w:color w:val="auto"/>
                      <w:szCs w:val="21"/>
                      <w:highlight w:val="none"/>
                    </w:rPr>
                    <w:t>监测</w:t>
                  </w:r>
                </w:p>
              </w:tc>
              <w:tc>
                <w:tcPr>
                  <w:tcW w:w="3448" w:type="dxa"/>
                  <w:noWrap w:val="0"/>
                  <w:vAlign w:val="center"/>
                </w:tcPr>
                <w:p w14:paraId="203976B4">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边界噪声满足《工业企业厂界环境噪声排放标准》（GB12348-2008）中的2类声环境功能区排放限值</w:t>
                  </w:r>
                </w:p>
              </w:tc>
            </w:tr>
          </w:tbl>
          <w:p w14:paraId="266A1735">
            <w:pPr>
              <w:spacing w:line="360" w:lineRule="auto"/>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rPr>
              <w:t>、固体废物</w:t>
            </w:r>
          </w:p>
          <w:p w14:paraId="31A83E08">
            <w:pPr>
              <w:pStyle w:val="30"/>
              <w:spacing w:line="360" w:lineRule="auto"/>
              <w:ind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固体废物排放信息</w:t>
            </w:r>
          </w:p>
          <w:p w14:paraId="34AC7777">
            <w:pPr>
              <w:spacing w:line="360" w:lineRule="auto"/>
              <w:ind w:firstLine="480" w:firstLineChars="200"/>
              <w:rPr>
                <w:rFonts w:hint="default" w:ascii="Times New Roman" w:hAnsi="Times New Roman" w:cs="Times New Roman"/>
                <w:bCs/>
                <w:color w:val="auto"/>
                <w:sz w:val="24"/>
                <w:highlight w:val="none"/>
                <w:lang w:val="en-US" w:eastAsia="zh-CN"/>
              </w:rPr>
            </w:pPr>
            <w:r>
              <w:rPr>
                <w:rFonts w:hint="eastAsia" w:cs="Times New Roman"/>
                <w:bCs/>
                <w:color w:val="auto"/>
                <w:sz w:val="24"/>
                <w:highlight w:val="none"/>
                <w:lang w:val="en-US" w:eastAsia="zh-CN"/>
              </w:rPr>
              <w:t>本项目车辆到指定地点维修，场区内不进行维修作业，无相应危险废物产生，本项目主要的固体废物为生活垃圾和</w:t>
            </w:r>
            <w:r>
              <w:rPr>
                <w:rFonts w:hint="default" w:ascii="Times New Roman" w:hAnsi="Times New Roman" w:cs="Times New Roman"/>
                <w:bCs/>
                <w:color w:val="auto"/>
                <w:sz w:val="24"/>
                <w:highlight w:val="none"/>
                <w:lang w:val="en-US" w:eastAsia="zh-CN"/>
              </w:rPr>
              <w:t>初期雨水收集池沉渣</w:t>
            </w:r>
            <w:r>
              <w:rPr>
                <w:rFonts w:hint="eastAsia" w:cs="Times New Roman"/>
                <w:bCs/>
                <w:color w:val="auto"/>
                <w:sz w:val="24"/>
                <w:highlight w:val="none"/>
                <w:lang w:val="en-US" w:eastAsia="zh-CN"/>
              </w:rPr>
              <w:t>。</w:t>
            </w:r>
          </w:p>
          <w:p w14:paraId="599CA09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生活垃圾</w:t>
            </w:r>
          </w:p>
          <w:p w14:paraId="28923AD3">
            <w:pPr>
              <w:pStyle w:val="3"/>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本项目员工</w:t>
            </w:r>
            <w:r>
              <w:rPr>
                <w:rFonts w:hint="default" w:ascii="Times New Roman" w:hAnsi="Times New Roman" w:cs="Times New Roman"/>
                <w:color w:val="auto"/>
                <w:sz w:val="24"/>
                <w:highlight w:val="none"/>
                <w:lang w:val="en-US" w:eastAsia="zh-CN"/>
              </w:rPr>
              <w:t>合计</w:t>
            </w:r>
            <w:r>
              <w:rPr>
                <w:rFonts w:hint="eastAsia" w:cs="Times New Roman"/>
                <w:color w:val="auto"/>
                <w:sz w:val="24"/>
                <w:highlight w:val="none"/>
                <w:lang w:val="en-US" w:eastAsia="zh-CN"/>
              </w:rPr>
              <w:t>4</w:t>
            </w:r>
            <w:r>
              <w:rPr>
                <w:rFonts w:hint="default" w:ascii="Times New Roman" w:hAnsi="Times New Roman" w:cs="Times New Roman"/>
                <w:color w:val="auto"/>
                <w:sz w:val="24"/>
                <w:highlight w:val="none"/>
              </w:rPr>
              <w:t>人，生活垃圾按照0.5kg/人•d计，生产天数为</w:t>
            </w:r>
            <w:r>
              <w:rPr>
                <w:rFonts w:hint="default" w:ascii="Times New Roman" w:hAnsi="Times New Roman" w:cs="Times New Roman"/>
                <w:color w:val="auto"/>
                <w:sz w:val="24"/>
                <w:highlight w:val="none"/>
                <w:lang w:val="en-US" w:eastAsia="zh-CN"/>
              </w:rPr>
              <w:t>300</w:t>
            </w:r>
            <w:r>
              <w:rPr>
                <w:rFonts w:hint="default" w:ascii="Times New Roman" w:hAnsi="Times New Roman" w:cs="Times New Roman"/>
                <w:color w:val="auto"/>
                <w:sz w:val="24"/>
                <w:highlight w:val="none"/>
              </w:rPr>
              <w:t>天，则产生的生活垃圾量为</w:t>
            </w:r>
            <w:r>
              <w:rPr>
                <w:rFonts w:hint="default" w:ascii="Times New Roman" w:hAnsi="Times New Roman" w:cs="Times New Roman"/>
                <w:color w:val="auto"/>
                <w:sz w:val="24"/>
                <w:highlight w:val="none"/>
                <w:lang w:val="en-US" w:eastAsia="zh-CN"/>
              </w:rPr>
              <w:t>0.</w:t>
            </w:r>
            <w:r>
              <w:rPr>
                <w:rFonts w:hint="eastAsia" w:cs="Times New Roman"/>
                <w:color w:val="auto"/>
                <w:sz w:val="24"/>
                <w:highlight w:val="none"/>
                <w:lang w:val="en-US" w:eastAsia="zh-CN"/>
              </w:rPr>
              <w:t>6</w:t>
            </w:r>
            <w:r>
              <w:rPr>
                <w:rFonts w:hint="default" w:ascii="Times New Roman" w:hAnsi="Times New Roman" w:cs="Times New Roman"/>
                <w:color w:val="auto"/>
                <w:sz w:val="24"/>
                <w:highlight w:val="none"/>
              </w:rPr>
              <w:t>t/a，集中收集，由所在地环卫部门清运处理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固体废物产生情况见表4-</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w:t>
            </w:r>
          </w:p>
          <w:p w14:paraId="45C438BE">
            <w:pPr>
              <w:adjustRightInd w:val="0"/>
              <w:snapToGrid w:val="0"/>
              <w:spacing w:line="360" w:lineRule="auto"/>
              <w:ind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2）初期雨水收集池沉渣</w:t>
            </w:r>
          </w:p>
          <w:p w14:paraId="1A566CB8">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eastAsia="zh-CN"/>
              </w:rPr>
              <w:t>项目</w:t>
            </w:r>
            <w:r>
              <w:rPr>
                <w:rFonts w:hint="default" w:ascii="Times New Roman" w:hAnsi="Times New Roman" w:eastAsia="宋体" w:cs="Times New Roman"/>
                <w:bCs/>
                <w:color w:val="auto"/>
                <w:sz w:val="24"/>
                <w:highlight w:val="none"/>
                <w:lang w:val="en-US" w:eastAsia="zh-CN"/>
              </w:rPr>
              <w:t>收集雨水</w:t>
            </w:r>
            <w:r>
              <w:rPr>
                <w:rFonts w:hint="default" w:ascii="Times New Roman" w:hAnsi="Times New Roman" w:eastAsia="宋体" w:cs="Times New Roman"/>
                <w:bCs/>
                <w:color w:val="auto"/>
                <w:sz w:val="24"/>
                <w:highlight w:val="none"/>
                <w:lang w:eastAsia="zh-CN"/>
              </w:rPr>
              <w:t>经沉淀处理后循环使用，</w:t>
            </w:r>
            <w:r>
              <w:rPr>
                <w:rFonts w:hint="default" w:ascii="Times New Roman" w:hAnsi="Times New Roman" w:cs="Times New Roman"/>
                <w:bCs/>
                <w:color w:val="auto"/>
                <w:sz w:val="24"/>
                <w:highlight w:val="none"/>
                <w:lang w:eastAsia="zh-CN"/>
              </w:rPr>
              <w:t>初期雨水收集池</w:t>
            </w:r>
            <w:r>
              <w:rPr>
                <w:rFonts w:hint="default" w:ascii="Times New Roman" w:hAnsi="Times New Roman" w:eastAsia="宋体" w:cs="Times New Roman"/>
                <w:bCs/>
                <w:color w:val="auto"/>
                <w:sz w:val="24"/>
                <w:highlight w:val="none"/>
                <w:lang w:eastAsia="zh-CN"/>
              </w:rPr>
              <w:t>会产生少量的沉渣，主要为煤渣、</w:t>
            </w:r>
            <w:r>
              <w:rPr>
                <w:rFonts w:hint="default" w:ascii="Times New Roman" w:hAnsi="Times New Roman" w:eastAsia="宋体" w:cs="Times New Roman"/>
                <w:bCs/>
                <w:color w:val="auto"/>
                <w:sz w:val="24"/>
                <w:highlight w:val="none"/>
                <w:lang w:val="en-US" w:eastAsia="zh-CN"/>
              </w:rPr>
              <w:t>沉渣等物质</w:t>
            </w:r>
            <w:r>
              <w:rPr>
                <w:rFonts w:hint="default" w:ascii="Times New Roman" w:hAnsi="Times New Roman" w:eastAsia="宋体" w:cs="Times New Roman"/>
                <w:bCs/>
                <w:color w:val="auto"/>
                <w:sz w:val="24"/>
                <w:highlight w:val="none"/>
                <w:lang w:eastAsia="zh-CN"/>
              </w:rPr>
              <w:t>，沉渣的产生量约为</w:t>
            </w:r>
            <w:r>
              <w:rPr>
                <w:rFonts w:hint="default" w:ascii="Times New Roman" w:hAnsi="Times New Roman" w:cs="Times New Roman"/>
                <w:bCs/>
                <w:color w:val="auto"/>
                <w:sz w:val="24"/>
                <w:highlight w:val="none"/>
                <w:lang w:val="en-US" w:eastAsia="zh-CN"/>
              </w:rPr>
              <w:t>0.6</w:t>
            </w:r>
            <w:r>
              <w:rPr>
                <w:rFonts w:hint="default" w:ascii="Times New Roman" w:hAnsi="Times New Roman" w:eastAsia="宋体" w:cs="Times New Roman"/>
                <w:bCs/>
                <w:color w:val="auto"/>
                <w:sz w:val="24"/>
                <w:highlight w:val="none"/>
                <w:lang w:eastAsia="zh-CN"/>
              </w:rPr>
              <w:t>t/a，定期清理后外售综合利用。</w:t>
            </w:r>
          </w:p>
          <w:p w14:paraId="1FDC4936">
            <w:pPr>
              <w:numPr>
                <w:ilvl w:val="0"/>
                <w:numId w:val="0"/>
              </w:numPr>
              <w:adjustRightInd w:val="0"/>
              <w:snapToGrid w:val="0"/>
              <w:spacing w:line="360" w:lineRule="auto"/>
              <w:ind w:firstLine="480" w:firstLineChars="20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采取上述措施后，运营期产生的固体废物可以得到有效处理处置，不会对周边环境产生危害性影响。</w:t>
            </w:r>
          </w:p>
          <w:p w14:paraId="3234AE29">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表4-</w:t>
            </w:r>
            <w:r>
              <w:rPr>
                <w:rFonts w:hint="default" w:ascii="Times New Roman" w:hAnsi="Times New Roman" w:cs="Times New Roman"/>
                <w:b/>
                <w:bCs/>
                <w:color w:val="auto"/>
                <w:kern w:val="2"/>
                <w:sz w:val="24"/>
                <w:szCs w:val="24"/>
                <w:highlight w:val="none"/>
                <w:lang w:val="en-US" w:eastAsia="zh-CN" w:bidi="ar-SA"/>
              </w:rPr>
              <w:t>7</w:t>
            </w:r>
            <w:r>
              <w:rPr>
                <w:rFonts w:hint="default" w:ascii="Times New Roman" w:hAnsi="Times New Roman" w:eastAsia="宋体" w:cs="Times New Roman"/>
                <w:b/>
                <w:bCs/>
                <w:color w:val="auto"/>
                <w:kern w:val="2"/>
                <w:sz w:val="24"/>
                <w:szCs w:val="24"/>
                <w:highlight w:val="none"/>
                <w:lang w:val="en-US" w:eastAsia="zh-CN" w:bidi="ar-SA"/>
              </w:rPr>
              <w:t xml:space="preserve">  固体废物排放信息</w:t>
            </w:r>
          </w:p>
          <w:tbl>
            <w:tblPr>
              <w:tblStyle w:val="20"/>
              <w:tblW w:w="4993"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1"/>
              <w:gridCol w:w="984"/>
              <w:gridCol w:w="1241"/>
              <w:gridCol w:w="1545"/>
              <w:gridCol w:w="884"/>
              <w:gridCol w:w="1250"/>
              <w:gridCol w:w="1326"/>
              <w:gridCol w:w="877"/>
            </w:tblGrid>
            <w:tr w14:paraId="35D88E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9" w:type="pct"/>
                  <w:noWrap w:val="0"/>
                  <w:vAlign w:val="center"/>
                </w:tcPr>
                <w:p w14:paraId="3A068549">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产生环节</w:t>
                  </w:r>
                </w:p>
              </w:tc>
              <w:tc>
                <w:tcPr>
                  <w:tcW w:w="554" w:type="pct"/>
                  <w:noWrap w:val="0"/>
                  <w:vAlign w:val="center"/>
                </w:tcPr>
                <w:p w14:paraId="5482EE2B">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名称</w:t>
                  </w:r>
                </w:p>
              </w:tc>
              <w:tc>
                <w:tcPr>
                  <w:tcW w:w="699" w:type="pct"/>
                  <w:noWrap w:val="0"/>
                  <w:vAlign w:val="center"/>
                </w:tcPr>
                <w:p w14:paraId="04FE45FA">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性质</w:t>
                  </w:r>
                </w:p>
              </w:tc>
              <w:tc>
                <w:tcPr>
                  <w:tcW w:w="870" w:type="pct"/>
                  <w:noWrap w:val="0"/>
                  <w:vAlign w:val="center"/>
                </w:tcPr>
                <w:p w14:paraId="6285C3BD">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代码</w:t>
                  </w:r>
                </w:p>
              </w:tc>
              <w:tc>
                <w:tcPr>
                  <w:tcW w:w="498" w:type="pct"/>
                  <w:noWrap w:val="0"/>
                  <w:vAlign w:val="center"/>
                </w:tcPr>
                <w:p w14:paraId="5E07ED7A">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年产生量t/a</w:t>
                  </w:r>
                </w:p>
              </w:tc>
              <w:tc>
                <w:tcPr>
                  <w:tcW w:w="704" w:type="pct"/>
                  <w:noWrap w:val="0"/>
                  <w:vAlign w:val="center"/>
                </w:tcPr>
                <w:p w14:paraId="60D259B3">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贮存方式</w:t>
                  </w:r>
                </w:p>
              </w:tc>
              <w:tc>
                <w:tcPr>
                  <w:tcW w:w="747" w:type="pct"/>
                  <w:noWrap w:val="0"/>
                  <w:vAlign w:val="center"/>
                </w:tcPr>
                <w:p w14:paraId="4EE9FAEE">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处置方式和去向</w:t>
                  </w:r>
                </w:p>
              </w:tc>
              <w:tc>
                <w:tcPr>
                  <w:tcW w:w="494" w:type="pct"/>
                  <w:noWrap w:val="0"/>
                  <w:vAlign w:val="center"/>
                </w:tcPr>
                <w:p w14:paraId="2E3AAFC8">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处置或利用量t/a</w:t>
                  </w:r>
                </w:p>
              </w:tc>
            </w:tr>
            <w:tr w14:paraId="5FF1529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429" w:type="pct"/>
                  <w:noWrap w:val="0"/>
                  <w:vAlign w:val="center"/>
                </w:tcPr>
                <w:p w14:paraId="26B1EC20">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日常生活</w:t>
                  </w:r>
                </w:p>
              </w:tc>
              <w:tc>
                <w:tcPr>
                  <w:tcW w:w="554" w:type="pct"/>
                  <w:noWrap w:val="0"/>
                  <w:vAlign w:val="center"/>
                </w:tcPr>
                <w:p w14:paraId="042E9118">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val="en-US" w:eastAsia="zh-CN"/>
                    </w:rPr>
                    <w:t>生活垃圾</w:t>
                  </w:r>
                </w:p>
              </w:tc>
              <w:tc>
                <w:tcPr>
                  <w:tcW w:w="699" w:type="pct"/>
                  <w:noWrap w:val="0"/>
                  <w:vAlign w:val="center"/>
                </w:tcPr>
                <w:p w14:paraId="2B3FA6C2">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一般固体废物</w:t>
                  </w:r>
                </w:p>
              </w:tc>
              <w:tc>
                <w:tcPr>
                  <w:tcW w:w="870" w:type="pct"/>
                  <w:noWrap w:val="0"/>
                  <w:vAlign w:val="center"/>
                </w:tcPr>
                <w:p w14:paraId="2E1FBB33">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900-099-S64</w:t>
                  </w:r>
                </w:p>
              </w:tc>
              <w:tc>
                <w:tcPr>
                  <w:tcW w:w="498" w:type="pct"/>
                  <w:noWrap w:val="0"/>
                  <w:vAlign w:val="center"/>
                </w:tcPr>
                <w:p w14:paraId="26F1C3C7">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w:t>
                  </w:r>
                  <w:r>
                    <w:rPr>
                      <w:rFonts w:hint="eastAsia" w:cs="Times New Roman"/>
                      <w:bCs/>
                      <w:color w:val="auto"/>
                      <w:szCs w:val="21"/>
                      <w:highlight w:val="none"/>
                      <w:lang w:val="en-US" w:eastAsia="zh-CN"/>
                    </w:rPr>
                    <w:t>6</w:t>
                  </w:r>
                </w:p>
              </w:tc>
              <w:tc>
                <w:tcPr>
                  <w:tcW w:w="704" w:type="pct"/>
                  <w:noWrap w:val="0"/>
                  <w:vAlign w:val="center"/>
                </w:tcPr>
                <w:p w14:paraId="71B176AF">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垃圾箱</w:t>
                  </w:r>
                </w:p>
              </w:tc>
              <w:tc>
                <w:tcPr>
                  <w:tcW w:w="747" w:type="pct"/>
                  <w:noWrap w:val="0"/>
                  <w:vAlign w:val="center"/>
                </w:tcPr>
                <w:p w14:paraId="2DEEF267">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环卫部门</w:t>
                  </w:r>
                </w:p>
              </w:tc>
              <w:tc>
                <w:tcPr>
                  <w:tcW w:w="494" w:type="pct"/>
                  <w:noWrap w:val="0"/>
                  <w:vAlign w:val="center"/>
                </w:tcPr>
                <w:p w14:paraId="3C7925C7">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0.75</w:t>
                  </w:r>
                </w:p>
              </w:tc>
            </w:tr>
            <w:tr w14:paraId="3FA5E0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429" w:type="pct"/>
                  <w:noWrap w:val="0"/>
                  <w:vAlign w:val="center"/>
                </w:tcPr>
                <w:p w14:paraId="615218F5">
                  <w:pPr>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生产</w:t>
                  </w:r>
                </w:p>
              </w:tc>
              <w:tc>
                <w:tcPr>
                  <w:tcW w:w="554" w:type="pct"/>
                  <w:noWrap w:val="0"/>
                  <w:vAlign w:val="center"/>
                </w:tcPr>
                <w:p w14:paraId="7FE679B7">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初期雨水收集池沉渣</w:t>
                  </w:r>
                </w:p>
              </w:tc>
              <w:tc>
                <w:tcPr>
                  <w:tcW w:w="699" w:type="pct"/>
                  <w:noWrap w:val="0"/>
                  <w:vAlign w:val="center"/>
                </w:tcPr>
                <w:p w14:paraId="75F1B019">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一般固体废物</w:t>
                  </w:r>
                </w:p>
              </w:tc>
              <w:tc>
                <w:tcPr>
                  <w:tcW w:w="870" w:type="pct"/>
                  <w:noWrap w:val="0"/>
                  <w:vAlign w:val="center"/>
                </w:tcPr>
                <w:p w14:paraId="32D37351">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900-099-S07</w:t>
                  </w:r>
                </w:p>
              </w:tc>
              <w:tc>
                <w:tcPr>
                  <w:tcW w:w="498" w:type="pct"/>
                  <w:noWrap w:val="0"/>
                  <w:vAlign w:val="center"/>
                </w:tcPr>
                <w:p w14:paraId="737B468C">
                  <w:pPr>
                    <w:adjustRightInd w:val="0"/>
                    <w:snapToGrid w:val="0"/>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0.6</w:t>
                  </w:r>
                </w:p>
              </w:tc>
              <w:tc>
                <w:tcPr>
                  <w:tcW w:w="704" w:type="pct"/>
                  <w:noWrap w:val="0"/>
                  <w:vAlign w:val="center"/>
                </w:tcPr>
                <w:p w14:paraId="1C5A694B">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747" w:type="pct"/>
                  <w:noWrap w:val="0"/>
                  <w:vAlign w:val="center"/>
                </w:tcPr>
                <w:p w14:paraId="69FD818F">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外售综合利用</w:t>
                  </w:r>
                </w:p>
              </w:tc>
              <w:tc>
                <w:tcPr>
                  <w:tcW w:w="494" w:type="pct"/>
                  <w:noWrap w:val="0"/>
                  <w:vAlign w:val="center"/>
                </w:tcPr>
                <w:p w14:paraId="3C16E353">
                  <w:pPr>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0.6</w:t>
                  </w:r>
                </w:p>
              </w:tc>
            </w:tr>
          </w:tbl>
          <w:p w14:paraId="3C6A76DF">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对于委托处理的固体废物，其运输转移过程中需做到以下几点：</w:t>
            </w:r>
          </w:p>
          <w:p w14:paraId="0B53D7E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rPr>
              <w:t>生活垃圾清运车辆（包括机动车辆和非机动车辆）运输垃圾应符合下列质量要求：车容应整洁，车体外部无污物、灰垢，标志应清晰；运输垃圾应密闭，在运输过程中无垃圾扬、撒、拖挂和污水滴漏；垃圾装运量应以车辆的额定荷载和有效容积为限，不得超重、超高运输；装卸垃圾应符合作业要求，不得乱倒、乱卸、乱抛垃圾；运输作业结束，应将车辆清洗干净</w:t>
            </w:r>
            <w:r>
              <w:rPr>
                <w:rFonts w:hint="default" w:ascii="Times New Roman" w:hAnsi="Times New Roman" w:eastAsia="宋体" w:cs="Times New Roman"/>
                <w:bCs/>
                <w:color w:val="auto"/>
                <w:sz w:val="24"/>
                <w:highlight w:val="none"/>
                <w:lang w:eastAsia="zh-CN"/>
              </w:rPr>
              <w:t>。</w:t>
            </w:r>
          </w:p>
          <w:p w14:paraId="1F336AE0">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eastAsia="宋体"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5</w:t>
            </w:r>
            <w:r>
              <w:rPr>
                <w:rFonts w:hint="default" w:ascii="Times New Roman" w:hAnsi="Times New Roman" w:cs="Times New Roman"/>
                <w:b/>
                <w:color w:val="auto"/>
                <w:sz w:val="24"/>
                <w:highlight w:val="none"/>
              </w:rPr>
              <w:t>、地下</w:t>
            </w:r>
            <w:r>
              <w:rPr>
                <w:rFonts w:hint="default" w:ascii="Times New Roman" w:hAnsi="Times New Roman" w:cs="Times New Roman"/>
                <w:b/>
                <w:color w:val="auto"/>
                <w:sz w:val="21"/>
                <w:szCs w:val="21"/>
                <w:highlight w:val="none"/>
              </w:rPr>
              <w:t>水</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lang w:val="en-US" w:eastAsia="zh-CN"/>
              </w:rPr>
              <w:t>土</w:t>
            </w:r>
            <w:r>
              <w:rPr>
                <w:rFonts w:hint="default" w:ascii="Times New Roman" w:hAnsi="Times New Roman" w:cs="Times New Roman"/>
                <w:b/>
                <w:color w:val="auto"/>
                <w:sz w:val="24"/>
                <w:highlight w:val="none"/>
                <w:lang w:val="en-US" w:eastAsia="zh-CN"/>
              </w:rPr>
              <w:t>壤</w:t>
            </w:r>
          </w:p>
          <w:p w14:paraId="195DDD2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根据《建设项目环境影响报告表编制技术指南</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污染影响类</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试行</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本项目不涉及集中式饮用水水源和热水、矿泉水、温泉等特殊地下水资源保护区，可不开展地下水专项评价工作；土壤不开展专项评价工作。</w:t>
            </w:r>
          </w:p>
          <w:p w14:paraId="543A2D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1</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污染源、污染途径</w:t>
            </w:r>
          </w:p>
          <w:p w14:paraId="7EC0912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rPr>
              <w:t>本项目运营期废水主要为职工生活污水和厂区初期雨水。正常状况下，上述废水可做到无废水外排</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不存在对地下水和土壤污染的途径</w:t>
            </w:r>
            <w:r>
              <w:rPr>
                <w:rFonts w:hint="default" w:ascii="Times New Roman" w:hAnsi="Times New Roman" w:cs="Times New Roman"/>
                <w:color w:val="auto"/>
                <w:sz w:val="24"/>
              </w:rPr>
              <w:t>。废水对地下水、土壤可能造成污染的主要途径为非正常状态</w:t>
            </w:r>
            <w:r>
              <w:rPr>
                <w:rFonts w:hint="default" w:ascii="Times New Roman" w:hAnsi="Times New Roman" w:cs="Times New Roman"/>
                <w:color w:val="auto"/>
                <w:sz w:val="24"/>
                <w:lang w:eastAsia="zh-CN"/>
              </w:rPr>
              <w:t>初期雨水收集池</w:t>
            </w:r>
            <w:r>
              <w:rPr>
                <w:rFonts w:hint="default" w:ascii="Times New Roman" w:hAnsi="Times New Roman" w:cs="Times New Roman"/>
                <w:color w:val="auto"/>
                <w:sz w:val="24"/>
              </w:rPr>
              <w:t>破损时发生的渗漏。</w:t>
            </w:r>
          </w:p>
          <w:p w14:paraId="470361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污染物类型</w:t>
            </w:r>
          </w:p>
          <w:p w14:paraId="1FFE700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污染物通过土层垂直下渗首先经过表土，再进入包气带，在包气带污染物可以得到一定程度的净化，不能被净化或固定的污染物随入渗水进入地下水层。本项目废水污染物以有机物及悬浮物为主。</w:t>
            </w:r>
          </w:p>
          <w:p w14:paraId="617402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（3</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地下水、土壤环境保护措施</w:t>
            </w:r>
          </w:p>
          <w:p w14:paraId="391E271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①源头控制</w:t>
            </w:r>
          </w:p>
          <w:p w14:paraId="320C0BA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源头控制措施主要包括在</w:t>
            </w:r>
            <w:r>
              <w:rPr>
                <w:rFonts w:hint="default" w:ascii="Times New Roman" w:hAnsi="Times New Roman" w:cs="Times New Roman"/>
                <w:color w:val="auto"/>
                <w:sz w:val="24"/>
                <w:highlight w:val="none"/>
                <w:lang w:eastAsia="zh-CN"/>
              </w:rPr>
              <w:t>初期雨水收集池</w:t>
            </w:r>
            <w:r>
              <w:rPr>
                <w:rFonts w:hint="default" w:ascii="Times New Roman" w:hAnsi="Times New Roman" w:eastAsia="宋体" w:cs="Times New Roman"/>
                <w:color w:val="auto"/>
                <w:sz w:val="24"/>
                <w:highlight w:val="none"/>
                <w:lang w:eastAsia="zh-CN"/>
              </w:rPr>
              <w:t>等构筑物采取相应措施，降低污染物渗漏的环境风险。本项目生活污水、初期雨水可以做到全部回用，无废水外排，从源头上减少了废水的排放量。</w:t>
            </w:r>
          </w:p>
          <w:p w14:paraId="1627292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②分区防控</w:t>
            </w:r>
          </w:p>
          <w:p w14:paraId="72D9305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color w:val="auto"/>
                <w:sz w:val="24"/>
                <w:lang w:eastAsia="zh-CN"/>
              </w:rPr>
              <w:t>根据建设项目场地天然包气带防污性能、污染控制难易程度和污染物特性，提出以下防渗技术要求。</w:t>
            </w:r>
          </w:p>
          <w:p w14:paraId="4C709473">
            <w:pPr>
              <w:adjustRightInd w:val="0"/>
              <w:snapToGrid w:val="0"/>
              <w:jc w:val="center"/>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表4-</w:t>
            </w:r>
            <w:r>
              <w:rPr>
                <w:rFonts w:hint="eastAsia" w:cs="Times New Roman"/>
                <w:b/>
                <w:bCs/>
                <w:color w:val="auto"/>
                <w:kern w:val="2"/>
                <w:sz w:val="24"/>
                <w:szCs w:val="24"/>
                <w:lang w:val="en-US" w:eastAsia="zh-CN" w:bidi="ar-SA"/>
              </w:rPr>
              <w:t>8</w:t>
            </w:r>
            <w:r>
              <w:rPr>
                <w:rFonts w:hint="default" w:ascii="Times New Roman" w:hAnsi="Times New Roman" w:eastAsia="宋体" w:cs="Times New Roman"/>
                <w:b/>
                <w:bCs/>
                <w:color w:val="auto"/>
                <w:kern w:val="2"/>
                <w:sz w:val="24"/>
                <w:szCs w:val="24"/>
                <w:lang w:val="en-US" w:eastAsia="zh-CN" w:bidi="ar-SA"/>
              </w:rPr>
              <w:t xml:space="preserve"> 分区防控措施</w:t>
            </w:r>
          </w:p>
          <w:tbl>
            <w:tblPr>
              <w:tblStyle w:val="21"/>
              <w:tblW w:w="0" w:type="auto"/>
              <w:tblInd w:w="5"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1"/>
              <w:gridCol w:w="1738"/>
              <w:gridCol w:w="1312"/>
              <w:gridCol w:w="5236"/>
            </w:tblGrid>
            <w:tr w14:paraId="215BA51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tl2br w:val="nil"/>
                    <w:tr2bl w:val="nil"/>
                  </w:tcBorders>
                  <w:vAlign w:val="center"/>
                </w:tcPr>
                <w:p w14:paraId="499013C6">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序号</w:t>
                  </w:r>
                </w:p>
              </w:tc>
              <w:tc>
                <w:tcPr>
                  <w:tcW w:w="1738" w:type="dxa"/>
                  <w:tcBorders>
                    <w:tl2br w:val="nil"/>
                    <w:tr2bl w:val="nil"/>
                  </w:tcBorders>
                  <w:vAlign w:val="center"/>
                </w:tcPr>
                <w:p w14:paraId="52DCD100">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场地</w:t>
                  </w:r>
                </w:p>
              </w:tc>
              <w:tc>
                <w:tcPr>
                  <w:tcW w:w="1312" w:type="dxa"/>
                  <w:tcBorders>
                    <w:tl2br w:val="nil"/>
                    <w:tr2bl w:val="nil"/>
                  </w:tcBorders>
                  <w:vAlign w:val="center"/>
                </w:tcPr>
                <w:p w14:paraId="739AD593">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防渗分区</w:t>
                  </w:r>
                </w:p>
              </w:tc>
              <w:tc>
                <w:tcPr>
                  <w:tcW w:w="5236" w:type="dxa"/>
                  <w:tcBorders>
                    <w:tl2br w:val="nil"/>
                    <w:tr2bl w:val="nil"/>
                  </w:tcBorders>
                  <w:vAlign w:val="center"/>
                </w:tcPr>
                <w:p w14:paraId="105C7D3E">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防渗技术要求</w:t>
                  </w:r>
                </w:p>
              </w:tc>
            </w:tr>
            <w:tr w14:paraId="58E1C56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tl2br w:val="nil"/>
                    <w:tr2bl w:val="nil"/>
                  </w:tcBorders>
                  <w:vAlign w:val="center"/>
                </w:tcPr>
                <w:p w14:paraId="2B3B70C5">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1</w:t>
                  </w:r>
                </w:p>
              </w:tc>
              <w:tc>
                <w:tcPr>
                  <w:tcW w:w="1738" w:type="dxa"/>
                  <w:tcBorders>
                    <w:tl2br w:val="nil"/>
                    <w:tr2bl w:val="nil"/>
                  </w:tcBorders>
                  <w:vAlign w:val="center"/>
                </w:tcPr>
                <w:p w14:paraId="6AE9DB71">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煤炭堆场</w:t>
                  </w:r>
                </w:p>
              </w:tc>
              <w:tc>
                <w:tcPr>
                  <w:tcW w:w="1312" w:type="dxa"/>
                  <w:vMerge w:val="restart"/>
                  <w:tcBorders>
                    <w:tl2br w:val="nil"/>
                    <w:tr2bl w:val="nil"/>
                  </w:tcBorders>
                  <w:vAlign w:val="center"/>
                </w:tcPr>
                <w:p w14:paraId="735BE018">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一般防渗区</w:t>
                  </w:r>
                </w:p>
              </w:tc>
              <w:tc>
                <w:tcPr>
                  <w:tcW w:w="5236" w:type="dxa"/>
                  <w:vMerge w:val="restart"/>
                  <w:tcBorders>
                    <w:tl2br w:val="nil"/>
                    <w:tr2bl w:val="nil"/>
                  </w:tcBorders>
                  <w:vAlign w:val="center"/>
                </w:tcPr>
                <w:p w14:paraId="39E7BFC1">
                  <w:pPr>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水泥硬化，</w:t>
                  </w:r>
                  <w:r>
                    <w:rPr>
                      <w:rFonts w:hint="default" w:ascii="Times New Roman" w:hAnsi="Times New Roman" w:eastAsia="宋体" w:cs="Times New Roman"/>
                      <w:bCs/>
                      <w:color w:val="auto"/>
                      <w:sz w:val="21"/>
                      <w:szCs w:val="21"/>
                      <w:highlight w:val="none"/>
                      <w:lang w:val="en-US" w:eastAsia="zh-CN"/>
                    </w:rPr>
                    <w:t>等效粘土防渗层Mb≥1.5m，K</w:t>
                  </w:r>
                  <w:r>
                    <w:rPr>
                      <w:rFonts w:hint="default" w:ascii="Times New Roman" w:hAnsi="Times New Roman" w:eastAsia="宋体" w:cs="Times New Roman"/>
                      <w:color w:val="auto"/>
                      <w:sz w:val="21"/>
                      <w:szCs w:val="21"/>
                      <w:highlight w:val="none"/>
                    </w:rPr>
                    <w:t>≤1.0×10</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rPr>
                    <w:t>cm/s</w:t>
                  </w:r>
                </w:p>
              </w:tc>
            </w:tr>
            <w:tr w14:paraId="4D49F8E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tl2br w:val="nil"/>
                    <w:tr2bl w:val="nil"/>
                  </w:tcBorders>
                  <w:vAlign w:val="center"/>
                </w:tcPr>
                <w:p w14:paraId="529185BC">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2</w:t>
                  </w:r>
                </w:p>
              </w:tc>
              <w:tc>
                <w:tcPr>
                  <w:tcW w:w="1738" w:type="dxa"/>
                  <w:tcBorders>
                    <w:tl2br w:val="nil"/>
                    <w:tr2bl w:val="nil"/>
                  </w:tcBorders>
                  <w:vAlign w:val="center"/>
                </w:tcPr>
                <w:p w14:paraId="6202E06F">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厂内旱厕</w:t>
                  </w:r>
                </w:p>
              </w:tc>
              <w:tc>
                <w:tcPr>
                  <w:tcW w:w="1312" w:type="dxa"/>
                  <w:vMerge w:val="continue"/>
                  <w:tcBorders>
                    <w:tl2br w:val="nil"/>
                    <w:tr2bl w:val="nil"/>
                  </w:tcBorders>
                  <w:vAlign w:val="center"/>
                </w:tcPr>
                <w:p w14:paraId="1E9DDB76">
                  <w:pPr>
                    <w:jc w:val="center"/>
                    <w:rPr>
                      <w:rFonts w:hint="default" w:ascii="Times New Roman" w:hAnsi="Times New Roman" w:eastAsia="宋体" w:cs="Times New Roman"/>
                      <w:bCs/>
                      <w:color w:val="auto"/>
                      <w:szCs w:val="21"/>
                      <w:lang w:val="en-US" w:eastAsia="zh-CN"/>
                    </w:rPr>
                  </w:pPr>
                </w:p>
              </w:tc>
              <w:tc>
                <w:tcPr>
                  <w:tcW w:w="5236" w:type="dxa"/>
                  <w:vMerge w:val="continue"/>
                  <w:tcBorders>
                    <w:tl2br w:val="nil"/>
                    <w:tr2bl w:val="nil"/>
                  </w:tcBorders>
                  <w:vAlign w:val="center"/>
                </w:tcPr>
                <w:p w14:paraId="3FF37DDB">
                  <w:pPr>
                    <w:jc w:val="center"/>
                    <w:rPr>
                      <w:rFonts w:hint="default" w:ascii="Times New Roman" w:hAnsi="Times New Roman" w:cs="Times New Roman"/>
                      <w:bCs/>
                      <w:color w:val="auto"/>
                      <w:sz w:val="21"/>
                      <w:szCs w:val="21"/>
                      <w:lang w:val="en-US" w:eastAsia="zh-CN"/>
                    </w:rPr>
                  </w:pPr>
                </w:p>
              </w:tc>
            </w:tr>
            <w:tr w14:paraId="515ADBA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tl2br w:val="nil"/>
                    <w:tr2bl w:val="nil"/>
                  </w:tcBorders>
                  <w:vAlign w:val="center"/>
                </w:tcPr>
                <w:p w14:paraId="19E58ADF">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3</w:t>
                  </w:r>
                </w:p>
              </w:tc>
              <w:tc>
                <w:tcPr>
                  <w:tcW w:w="1738" w:type="dxa"/>
                  <w:tcBorders>
                    <w:tl2br w:val="nil"/>
                    <w:tr2bl w:val="nil"/>
                  </w:tcBorders>
                  <w:vAlign w:val="center"/>
                </w:tcPr>
                <w:p w14:paraId="3B45E578">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初期雨水收集池</w:t>
                  </w:r>
                </w:p>
              </w:tc>
              <w:tc>
                <w:tcPr>
                  <w:tcW w:w="1312" w:type="dxa"/>
                  <w:vMerge w:val="continue"/>
                  <w:tcBorders>
                    <w:tl2br w:val="nil"/>
                    <w:tr2bl w:val="nil"/>
                  </w:tcBorders>
                  <w:vAlign w:val="center"/>
                </w:tcPr>
                <w:p w14:paraId="6FF0F13D">
                  <w:pPr>
                    <w:jc w:val="center"/>
                    <w:rPr>
                      <w:rFonts w:hint="default" w:ascii="Times New Roman" w:hAnsi="Times New Roman" w:eastAsia="宋体" w:cs="Times New Roman"/>
                      <w:bCs/>
                      <w:color w:val="auto"/>
                      <w:szCs w:val="21"/>
                      <w:lang w:val="en-US" w:eastAsia="zh-CN"/>
                    </w:rPr>
                  </w:pPr>
                </w:p>
              </w:tc>
              <w:tc>
                <w:tcPr>
                  <w:tcW w:w="5236" w:type="dxa"/>
                  <w:vMerge w:val="continue"/>
                  <w:tcBorders>
                    <w:tl2br w:val="nil"/>
                    <w:tr2bl w:val="nil"/>
                  </w:tcBorders>
                  <w:vAlign w:val="center"/>
                </w:tcPr>
                <w:p w14:paraId="100A30BF">
                  <w:pPr>
                    <w:jc w:val="center"/>
                    <w:rPr>
                      <w:rFonts w:hint="default" w:ascii="Times New Roman" w:hAnsi="Times New Roman" w:eastAsia="宋体" w:cs="Times New Roman"/>
                      <w:bCs/>
                      <w:color w:val="auto"/>
                      <w:sz w:val="21"/>
                      <w:szCs w:val="21"/>
                      <w:lang w:val="en-US" w:eastAsia="zh-CN"/>
                    </w:rPr>
                  </w:pPr>
                </w:p>
              </w:tc>
            </w:tr>
            <w:tr w14:paraId="66DDBF3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tl2br w:val="nil"/>
                    <w:tr2bl w:val="nil"/>
                  </w:tcBorders>
                  <w:vAlign w:val="center"/>
                </w:tcPr>
                <w:p w14:paraId="1B35012A">
                  <w:pPr>
                    <w:jc w:val="center"/>
                    <w:rPr>
                      <w:rFonts w:hint="default" w:ascii="Times New Roman" w:hAnsi="Times New Roman" w:eastAsia="宋体" w:cs="Times New Roman"/>
                      <w:bCs/>
                      <w:color w:val="auto"/>
                      <w:szCs w:val="21"/>
                      <w:lang w:val="en-US" w:eastAsia="zh-CN"/>
                    </w:rPr>
                  </w:pPr>
                  <w:r>
                    <w:rPr>
                      <w:rFonts w:hint="eastAsia" w:cs="Times New Roman"/>
                      <w:bCs/>
                      <w:color w:val="auto"/>
                      <w:szCs w:val="21"/>
                      <w:lang w:val="en-US" w:eastAsia="zh-CN"/>
                    </w:rPr>
                    <w:t>4</w:t>
                  </w:r>
                </w:p>
              </w:tc>
              <w:tc>
                <w:tcPr>
                  <w:tcW w:w="1738" w:type="dxa"/>
                  <w:tcBorders>
                    <w:tl2br w:val="nil"/>
                    <w:tr2bl w:val="nil"/>
                  </w:tcBorders>
                  <w:vAlign w:val="center"/>
                </w:tcPr>
                <w:p w14:paraId="03647E1B">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其他区域</w:t>
                  </w:r>
                </w:p>
              </w:tc>
              <w:tc>
                <w:tcPr>
                  <w:tcW w:w="1312" w:type="dxa"/>
                  <w:tcBorders>
                    <w:tl2br w:val="nil"/>
                    <w:tr2bl w:val="nil"/>
                  </w:tcBorders>
                  <w:vAlign w:val="center"/>
                </w:tcPr>
                <w:p w14:paraId="61F50F13">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简单防渗区</w:t>
                  </w:r>
                </w:p>
              </w:tc>
              <w:tc>
                <w:tcPr>
                  <w:tcW w:w="5236" w:type="dxa"/>
                  <w:tcBorders>
                    <w:tl2br w:val="nil"/>
                    <w:tr2bl w:val="nil"/>
                  </w:tcBorders>
                  <w:vAlign w:val="center"/>
                </w:tcPr>
                <w:p w14:paraId="356D8FC6">
                  <w:pPr>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color w:val="auto"/>
                      <w:sz w:val="21"/>
                      <w:szCs w:val="21"/>
                      <w:lang w:val="en-US" w:eastAsia="zh-CN"/>
                    </w:rPr>
                    <w:t>车辆进出口及主要通道使用水泥硬化</w:t>
                  </w:r>
                </w:p>
              </w:tc>
            </w:tr>
          </w:tbl>
          <w:p w14:paraId="236B7231">
            <w:pPr>
              <w:spacing w:line="480" w:lineRule="exact"/>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6</w:t>
            </w:r>
            <w:r>
              <w:rPr>
                <w:rFonts w:hint="default" w:ascii="Times New Roman" w:hAnsi="Times New Roman" w:cs="Times New Roman"/>
                <w:b/>
                <w:color w:val="auto"/>
                <w:sz w:val="24"/>
                <w:highlight w:val="none"/>
                <w:lang w:val="en-US" w:eastAsia="zh-CN"/>
              </w:rPr>
              <w:t>、生态影响</w:t>
            </w:r>
          </w:p>
          <w:p w14:paraId="63168E27">
            <w:pPr>
              <w:spacing w:line="480" w:lineRule="exact"/>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本项目地块位于</w:t>
            </w:r>
            <w:r>
              <w:rPr>
                <w:rFonts w:hint="eastAsia" w:cs="Times New Roman"/>
                <w:color w:val="auto"/>
                <w:sz w:val="24"/>
                <w:highlight w:val="none"/>
                <w:lang w:val="en-US" w:eastAsia="zh-CN"/>
              </w:rPr>
              <w:t>城子河区正阳煤矿</w:t>
            </w:r>
            <w:r>
              <w:rPr>
                <w:rFonts w:hint="default" w:ascii="Times New Roman" w:hAnsi="Times New Roman" w:cs="Times New Roman"/>
                <w:color w:val="auto"/>
                <w:sz w:val="24"/>
                <w:highlight w:val="none"/>
                <w:lang w:val="en-US" w:eastAsia="zh-CN"/>
              </w:rPr>
              <w:t>，土地类型为</w:t>
            </w:r>
            <w:r>
              <w:rPr>
                <w:rFonts w:hint="eastAsia" w:cs="Times New Roman"/>
                <w:color w:val="auto"/>
                <w:sz w:val="24"/>
                <w:highlight w:val="none"/>
                <w:lang w:val="en-US" w:eastAsia="zh-CN"/>
              </w:rPr>
              <w:t>采矿用地</w:t>
            </w:r>
            <w:r>
              <w:rPr>
                <w:rFonts w:hint="default" w:ascii="Times New Roman" w:hAnsi="Times New Roman" w:cs="Times New Roman"/>
                <w:color w:val="auto"/>
                <w:sz w:val="24"/>
                <w:highlight w:val="none"/>
                <w:lang w:val="en-US" w:eastAsia="zh-CN"/>
              </w:rPr>
              <w:t>。</w:t>
            </w:r>
          </w:p>
          <w:p w14:paraId="72B04FA0">
            <w:pPr>
              <w:spacing w:line="480" w:lineRule="exact"/>
              <w:ind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项目地块面积</w:t>
            </w:r>
            <w:r>
              <w:rPr>
                <w:rFonts w:hint="eastAsia" w:cs="Times New Roman"/>
                <w:color w:val="auto"/>
                <w:sz w:val="24"/>
                <w:highlight w:val="none"/>
                <w:lang w:val="en-US" w:eastAsia="zh-CN"/>
              </w:rPr>
              <w:t>13155</w:t>
            </w:r>
            <w:r>
              <w:rPr>
                <w:rFonts w:hint="default" w:ascii="Times New Roman" w:hAnsi="Times New Roman" w:cs="Times New Roman"/>
                <w:color w:val="auto"/>
                <w:sz w:val="24"/>
                <w:highlight w:val="none"/>
                <w:lang w:val="en-US" w:eastAsia="zh-CN"/>
              </w:rPr>
              <w:t>平方米，项目周边环境主要为</w:t>
            </w:r>
            <w:r>
              <w:rPr>
                <w:rFonts w:hint="eastAsia" w:cs="Times New Roman"/>
                <w:color w:val="auto"/>
                <w:sz w:val="24"/>
                <w:highlight w:val="none"/>
                <w:lang w:val="en-US" w:eastAsia="zh-CN"/>
              </w:rPr>
              <w:t>空地</w:t>
            </w:r>
            <w:r>
              <w:rPr>
                <w:rFonts w:hint="default" w:ascii="Times New Roman" w:hAnsi="Times New Roman" w:cs="Times New Roman"/>
                <w:color w:val="auto"/>
                <w:sz w:val="24"/>
                <w:highlight w:val="none"/>
                <w:lang w:val="en-US" w:eastAsia="zh-CN"/>
              </w:rPr>
              <w:t>、储煤场，无生态保护目标，本地块仅用于煤炭的贮存、销售，</w:t>
            </w:r>
            <w:r>
              <w:rPr>
                <w:rFonts w:hint="default" w:ascii="Times New Roman" w:hAnsi="Times New Roman" w:cs="Times New Roman"/>
                <w:color w:val="auto"/>
                <w:sz w:val="24"/>
                <w:szCs w:val="21"/>
              </w:rPr>
              <w:t>项目施</w:t>
            </w:r>
            <w:r>
              <w:rPr>
                <w:rFonts w:hint="default" w:ascii="Times New Roman" w:hAnsi="Times New Roman" w:cs="Times New Roman"/>
                <w:color w:val="auto"/>
                <w:sz w:val="24"/>
                <w:szCs w:val="21"/>
                <w:lang w:val="en-US" w:eastAsia="zh-CN"/>
              </w:rPr>
              <w:t>工</w:t>
            </w:r>
            <w:r>
              <w:rPr>
                <w:rFonts w:hint="default" w:ascii="Times New Roman" w:hAnsi="Times New Roman" w:cs="Times New Roman"/>
                <w:color w:val="auto"/>
                <w:sz w:val="24"/>
                <w:szCs w:val="21"/>
              </w:rPr>
              <w:t>运营过程中</w:t>
            </w:r>
            <w:r>
              <w:rPr>
                <w:rFonts w:hint="default" w:ascii="Times New Roman" w:hAnsi="Times New Roman" w:cs="Times New Roman"/>
                <w:color w:val="auto"/>
                <w:sz w:val="24"/>
                <w:szCs w:val="21"/>
                <w:lang w:val="en-US" w:eastAsia="zh-CN"/>
              </w:rPr>
              <w:t>仅产生少</w:t>
            </w:r>
            <w:r>
              <w:rPr>
                <w:rFonts w:hint="default" w:ascii="Times New Roman" w:hAnsi="Times New Roman" w:cs="Times New Roman"/>
                <w:color w:val="auto"/>
                <w:sz w:val="24"/>
                <w:highlight w:val="none"/>
                <w:lang w:val="en-US" w:eastAsia="zh-CN"/>
              </w:rPr>
              <w:t>量扬尘，在落实储煤点四周设置闭合防风抑尘网，场内堆存煤炭使用绿网苫盖；定期洒水降尘等措施后，运营期间产生的扬尘对生态环境</w:t>
            </w:r>
            <w:r>
              <w:rPr>
                <w:rFonts w:hint="default" w:ascii="Times New Roman" w:hAnsi="Times New Roman" w:cs="Times New Roman"/>
                <w:color w:val="auto"/>
                <w:sz w:val="24"/>
                <w:szCs w:val="21"/>
              </w:rPr>
              <w:t>的影响很小</w:t>
            </w:r>
            <w:r>
              <w:rPr>
                <w:rFonts w:hint="default" w:ascii="Times New Roman" w:hAnsi="Times New Roman" w:cs="Times New Roman"/>
                <w:color w:val="auto"/>
                <w:sz w:val="24"/>
                <w:szCs w:val="21"/>
                <w:lang w:eastAsia="zh-CN"/>
              </w:rPr>
              <w:t>；</w:t>
            </w:r>
            <w:r>
              <w:rPr>
                <w:rFonts w:hint="default" w:ascii="Times New Roman" w:hAnsi="Times New Roman" w:cs="Times New Roman"/>
                <w:color w:val="auto"/>
                <w:sz w:val="24"/>
                <w:szCs w:val="21"/>
                <w:lang w:val="en-US" w:eastAsia="zh-CN"/>
              </w:rPr>
              <w:t>项目无生产废水产生，</w:t>
            </w:r>
            <w:r>
              <w:rPr>
                <w:rFonts w:hint="default" w:ascii="Times New Roman" w:hAnsi="Times New Roman" w:cs="Times New Roman"/>
                <w:color w:val="auto"/>
                <w:sz w:val="24"/>
                <w:highlight w:val="none"/>
                <w:lang w:val="en-US" w:eastAsia="zh-CN"/>
              </w:rPr>
              <w:t>生活污水</w:t>
            </w:r>
            <w:r>
              <w:rPr>
                <w:rFonts w:hint="eastAsia" w:cs="Times New Roman"/>
                <w:color w:val="auto"/>
                <w:sz w:val="24"/>
                <w:highlight w:val="none"/>
                <w:lang w:val="en-US" w:eastAsia="zh-CN"/>
              </w:rPr>
              <w:t>排入</w:t>
            </w:r>
            <w:r>
              <w:rPr>
                <w:rFonts w:hint="default" w:ascii="Times New Roman" w:hAnsi="Times New Roman" w:eastAsia="宋体" w:cs="Times New Roman"/>
                <w:color w:val="auto"/>
                <w:sz w:val="24"/>
                <w:highlight w:val="none"/>
              </w:rPr>
              <w:t>防渗旱厕，定期清掏，外运堆肥。</w:t>
            </w:r>
            <w:r>
              <w:rPr>
                <w:rFonts w:hint="default" w:ascii="Times New Roman" w:hAnsi="Times New Roman" w:cs="Times New Roman"/>
                <w:color w:val="auto"/>
                <w:sz w:val="24"/>
                <w:highlight w:val="none"/>
                <w:lang w:val="en-US" w:eastAsia="zh-CN"/>
              </w:rPr>
              <w:t>；固体废物分类处理，对生态影响小；生产设备产生的噪声对生态环境的影响不大；综上，项目营运期污染物均得到有效处理和处置，对生态环境影响不大。</w:t>
            </w:r>
          </w:p>
          <w:p w14:paraId="6CD46261">
            <w:pPr>
              <w:spacing w:line="480" w:lineRule="exact"/>
              <w:rPr>
                <w:rFonts w:hint="default" w:ascii="Times New Roman" w:hAnsi="Times New Roman" w:eastAsia="宋体"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7</w:t>
            </w:r>
            <w:r>
              <w:rPr>
                <w:rFonts w:hint="default" w:ascii="Times New Roman" w:hAnsi="Times New Roman" w:eastAsia="宋体" w:cs="Times New Roman"/>
                <w:b/>
                <w:color w:val="auto"/>
                <w:sz w:val="24"/>
                <w:highlight w:val="none"/>
                <w:lang w:val="en-US" w:eastAsia="zh-CN"/>
              </w:rPr>
              <w:t>、环境风险</w:t>
            </w:r>
          </w:p>
          <w:p w14:paraId="2047E5DC">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rPr>
              <w:t>（1）</w:t>
            </w:r>
            <w:r>
              <w:rPr>
                <w:rFonts w:hint="default" w:ascii="Times New Roman" w:hAnsi="Times New Roman" w:eastAsia="宋体" w:cs="Times New Roman"/>
                <w:color w:val="auto"/>
                <w:sz w:val="24"/>
                <w:highlight w:val="none"/>
                <w:lang w:val="en-US" w:eastAsia="zh-CN"/>
              </w:rPr>
              <w:t>环境风险识别</w:t>
            </w:r>
          </w:p>
          <w:p w14:paraId="60CC6FC1">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sz w:val="24"/>
                <w:highlight w:val="none"/>
                <w:lang w:val="en-US"/>
              </w:rPr>
              <w:t>依据《建设项目环境风险评价技术导则》（HJ169-2018）中的危险物质或危险化学品，对项目的环境风险物质进行判断，本项目</w:t>
            </w:r>
            <w:r>
              <w:rPr>
                <w:rFonts w:hint="eastAsia" w:cs="Times New Roman"/>
                <w:color w:val="auto"/>
                <w:sz w:val="24"/>
                <w:highlight w:val="none"/>
                <w:lang w:val="en-US" w:eastAsia="zh-CN"/>
              </w:rPr>
              <w:t>未涉及风险物质</w:t>
            </w:r>
            <w:r>
              <w:rPr>
                <w:rFonts w:hint="default" w:ascii="Times New Roman" w:hAnsi="Times New Roman" w:eastAsia="宋体" w:cs="Times New Roman"/>
                <w:color w:val="auto"/>
                <w:sz w:val="24"/>
                <w:highlight w:val="none"/>
                <w:lang w:val="en-US"/>
              </w:rPr>
              <w:t>。</w:t>
            </w:r>
          </w:p>
          <w:p w14:paraId="0C4DFF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）环境风险</w:t>
            </w:r>
            <w:r>
              <w:rPr>
                <w:rFonts w:hint="eastAsia" w:cs="Times New Roman"/>
                <w:color w:val="auto"/>
                <w:sz w:val="24"/>
                <w:highlight w:val="none"/>
                <w:lang w:val="en-US" w:eastAsia="zh-CN"/>
              </w:rPr>
              <w:t>防控措施</w:t>
            </w:r>
          </w:p>
          <w:p w14:paraId="73812E2E">
            <w:pPr>
              <w:spacing w:line="360" w:lineRule="auto"/>
              <w:ind w:firstLine="480"/>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1）火灾、爆炸</w:t>
            </w:r>
          </w:p>
          <w:p w14:paraId="2F551CAD">
            <w:pPr>
              <w:spacing w:line="360" w:lineRule="auto"/>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堆煤场煤炭煤粉由于风速大导致扬尘外散，遇明火后被点燃，可使人中毒、窒息，泄漏物与空气形成爆炸性混合气体，引发火灾、爆炸事故。具有较大的危害性。故针对本项目的风险防范提出以下措施。</w:t>
            </w:r>
          </w:p>
          <w:p w14:paraId="01C71827">
            <w:pPr>
              <w:spacing w:line="360" w:lineRule="auto"/>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fldChar w:fldCharType="begin"/>
            </w:r>
            <w:r>
              <w:rPr>
                <w:rFonts w:hint="default" w:ascii="Times New Roman" w:hAnsi="Times New Roman" w:eastAsia="宋体" w:cs="Times New Roman"/>
                <w:color w:val="auto"/>
                <w:sz w:val="24"/>
                <w:highlight w:val="none"/>
                <w:lang w:val="en-US" w:eastAsia="zh-CN"/>
              </w:rPr>
              <w:instrText xml:space="preserve"> = 1 \* GB3 \* MERGEFORMAT </w:instrText>
            </w:r>
            <w:r>
              <w:rPr>
                <w:rFonts w:hint="default" w:ascii="Times New Roman" w:hAnsi="Times New Roman" w:eastAsia="宋体" w:cs="Times New Roman"/>
                <w:color w:val="auto"/>
                <w:sz w:val="24"/>
                <w:highlight w:val="none"/>
                <w:lang w:val="en-US" w:eastAsia="zh-CN"/>
              </w:rPr>
              <w:fldChar w:fldCharType="separate"/>
            </w:r>
            <w:r>
              <w:rPr>
                <w:rFonts w:hint="default" w:ascii="Times New Roman" w:hAnsi="Times New Roman" w:eastAsia="宋体" w:cs="Times New Roman"/>
                <w:color w:val="auto"/>
                <w:sz w:val="24"/>
                <w:highlight w:val="none"/>
                <w:lang w:val="en-US" w:eastAsia="zh-CN"/>
              </w:rPr>
              <w:t>①</w:t>
            </w:r>
            <w:r>
              <w:rPr>
                <w:rFonts w:hint="default" w:ascii="Times New Roman" w:hAnsi="Times New Roman" w:eastAsia="宋体" w:cs="Times New Roman"/>
                <w:color w:val="auto"/>
                <w:sz w:val="24"/>
                <w:highlight w:val="none"/>
                <w:lang w:val="en-US" w:eastAsia="zh-CN"/>
              </w:rPr>
              <w:fldChar w:fldCharType="end"/>
            </w:r>
            <w:r>
              <w:rPr>
                <w:rFonts w:hint="default" w:ascii="Times New Roman" w:hAnsi="Times New Roman" w:eastAsia="宋体" w:cs="Times New Roman"/>
                <w:color w:val="auto"/>
                <w:sz w:val="24"/>
                <w:highlight w:val="none"/>
                <w:lang w:val="en-US" w:eastAsia="zh-CN"/>
              </w:rPr>
              <w:t>项目应加强对极端天气的预警，加强管理和安全知识教育，增强防范意识，严禁向储煤场内倾倒易燃物，如坑木、锯末、生活垃圾等。</w:t>
            </w:r>
          </w:p>
          <w:p w14:paraId="2D97023B">
            <w:pPr>
              <w:spacing w:line="360" w:lineRule="auto"/>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fldChar w:fldCharType="begin"/>
            </w:r>
            <w:r>
              <w:rPr>
                <w:rFonts w:hint="default" w:ascii="Times New Roman" w:hAnsi="Times New Roman" w:eastAsia="宋体" w:cs="Times New Roman"/>
                <w:color w:val="auto"/>
                <w:sz w:val="24"/>
                <w:highlight w:val="none"/>
                <w:lang w:val="en-US" w:eastAsia="zh-CN"/>
              </w:rPr>
              <w:instrText xml:space="preserve"> = 2 \* GB3 \* MERGEFORMAT </w:instrText>
            </w:r>
            <w:r>
              <w:rPr>
                <w:rFonts w:hint="default" w:ascii="Times New Roman" w:hAnsi="Times New Roman" w:eastAsia="宋体" w:cs="Times New Roman"/>
                <w:color w:val="auto"/>
                <w:sz w:val="24"/>
                <w:highlight w:val="none"/>
                <w:lang w:val="en-US" w:eastAsia="zh-CN"/>
              </w:rPr>
              <w:fldChar w:fldCharType="separate"/>
            </w:r>
            <w:r>
              <w:rPr>
                <w:rFonts w:hint="default" w:ascii="Times New Roman" w:hAnsi="Times New Roman" w:eastAsia="宋体" w:cs="Times New Roman"/>
                <w:color w:val="auto"/>
                <w:sz w:val="24"/>
                <w:highlight w:val="none"/>
                <w:lang w:val="en-US" w:eastAsia="zh-CN"/>
              </w:rPr>
              <w:t>②</w:t>
            </w:r>
            <w:r>
              <w:rPr>
                <w:rFonts w:hint="default" w:ascii="Times New Roman" w:hAnsi="Times New Roman" w:eastAsia="宋体" w:cs="Times New Roman"/>
                <w:color w:val="auto"/>
                <w:sz w:val="24"/>
                <w:highlight w:val="none"/>
                <w:lang w:val="en-US" w:eastAsia="zh-CN"/>
              </w:rPr>
              <w:fldChar w:fldCharType="end"/>
            </w:r>
            <w:r>
              <w:rPr>
                <w:rFonts w:hint="default" w:ascii="Times New Roman" w:hAnsi="Times New Roman" w:eastAsia="宋体" w:cs="Times New Roman"/>
                <w:color w:val="auto"/>
                <w:sz w:val="24"/>
                <w:highlight w:val="none"/>
                <w:lang w:val="en-US" w:eastAsia="zh-CN"/>
              </w:rPr>
              <w:t>建设单位必须制定具有操作性的管理制度、危害预警措施、应急预案等，要有固定的储煤场管理与灾害治理专业队伍或专职人员；建立自燃预警管理制度，定期测温及预测、预警、预报机制，并建立相应技术管理资料库。</w:t>
            </w:r>
          </w:p>
          <w:p w14:paraId="4BA3A37F">
            <w:pPr>
              <w:spacing w:line="360" w:lineRule="auto"/>
              <w:ind w:firstLine="48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③</w:t>
            </w:r>
            <w:r>
              <w:rPr>
                <w:rFonts w:hint="default" w:ascii="Times New Roman" w:hAnsi="Times New Roman" w:eastAsia="宋体" w:cs="Times New Roman"/>
                <w:color w:val="auto"/>
                <w:sz w:val="24"/>
                <w:highlight w:val="none"/>
                <w:lang w:val="en-US" w:eastAsia="zh-CN"/>
              </w:rPr>
              <w:t>加强储煤场管理，杜绝外来炭物等可燃物进入储煤场，防止火灾发生。</w:t>
            </w:r>
          </w:p>
          <w:p w14:paraId="325BD2F9">
            <w:pPr>
              <w:spacing w:line="360" w:lineRule="auto"/>
              <w:ind w:firstLine="48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④</w:t>
            </w:r>
            <w:r>
              <w:rPr>
                <w:rFonts w:hint="default" w:ascii="Times New Roman" w:hAnsi="Times New Roman" w:eastAsia="宋体" w:cs="Times New Roman"/>
                <w:color w:val="auto"/>
                <w:sz w:val="24"/>
                <w:highlight w:val="none"/>
                <w:lang w:val="en-US" w:eastAsia="zh-CN"/>
              </w:rPr>
              <w:t>建立安全生产岗位责任制，制定全套切实可行的安全生产规律和安全操作规程，并设专人负责安全，定期对职工进行安全方面知识的教育和学习。</w:t>
            </w:r>
          </w:p>
          <w:p w14:paraId="529D4B80">
            <w:pPr>
              <w:spacing w:line="360" w:lineRule="auto"/>
              <w:ind w:firstLine="48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⑤</w:t>
            </w:r>
            <w:r>
              <w:rPr>
                <w:rFonts w:hint="default" w:ascii="Times New Roman" w:hAnsi="Times New Roman" w:eastAsia="宋体" w:cs="Times New Roman"/>
                <w:color w:val="auto"/>
                <w:sz w:val="24"/>
                <w:highlight w:val="none"/>
                <w:lang w:val="en-US" w:eastAsia="zh-CN"/>
              </w:rPr>
              <w:t>加强对公司职工教育培训，实行上岗证制度，增强职工风险意识，提高事故自救能力，制定和强化各种安全管理、安全生产的规程，减少人为风险事故的发生。</w:t>
            </w:r>
          </w:p>
          <w:p w14:paraId="3A77185E">
            <w:pPr>
              <w:spacing w:line="360" w:lineRule="auto"/>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fldChar w:fldCharType="begin"/>
            </w:r>
            <w:r>
              <w:rPr>
                <w:rFonts w:hint="default" w:ascii="Times New Roman" w:hAnsi="Times New Roman" w:eastAsia="宋体" w:cs="Times New Roman"/>
                <w:color w:val="auto"/>
                <w:sz w:val="24"/>
                <w:highlight w:val="none"/>
                <w:lang w:val="en-US" w:eastAsia="zh-CN"/>
              </w:rPr>
              <w:instrText xml:space="preserve"> = 6 \* GB3 \* MERGEFORMAT </w:instrText>
            </w:r>
            <w:r>
              <w:rPr>
                <w:rFonts w:hint="default" w:ascii="Times New Roman" w:hAnsi="Times New Roman" w:eastAsia="宋体" w:cs="Times New Roman"/>
                <w:color w:val="auto"/>
                <w:sz w:val="24"/>
                <w:highlight w:val="none"/>
                <w:lang w:val="en-US" w:eastAsia="zh-CN"/>
              </w:rPr>
              <w:fldChar w:fldCharType="separate"/>
            </w:r>
            <w:r>
              <w:rPr>
                <w:rFonts w:hint="default" w:ascii="Times New Roman" w:hAnsi="Times New Roman" w:eastAsia="宋体" w:cs="Times New Roman"/>
                <w:color w:val="auto"/>
                <w:sz w:val="24"/>
                <w:highlight w:val="none"/>
                <w:lang w:val="en-US" w:eastAsia="zh-CN"/>
              </w:rPr>
              <w:t>⑥</w:t>
            </w:r>
            <w:r>
              <w:rPr>
                <w:rFonts w:hint="default" w:ascii="Times New Roman" w:hAnsi="Times New Roman" w:eastAsia="宋体" w:cs="Times New Roman"/>
                <w:color w:val="auto"/>
                <w:sz w:val="24"/>
                <w:highlight w:val="none"/>
                <w:lang w:val="en-US" w:eastAsia="zh-CN"/>
              </w:rPr>
              <w:fldChar w:fldCharType="end"/>
            </w:r>
            <w:r>
              <w:rPr>
                <w:rFonts w:hint="default" w:ascii="Times New Roman" w:hAnsi="Times New Roman" w:eastAsia="宋体" w:cs="Times New Roman"/>
                <w:color w:val="auto"/>
                <w:sz w:val="24"/>
                <w:highlight w:val="none"/>
                <w:lang w:val="en-US" w:eastAsia="zh-CN"/>
              </w:rPr>
              <w:t>制定发生事故时迅速撤离人员至安全区的方案，一旦发生事故，则要根据具体情况采取应急措施。</w:t>
            </w:r>
          </w:p>
          <w:p w14:paraId="73A438E5">
            <w:pPr>
              <w:spacing w:line="360" w:lineRule="auto"/>
              <w:ind w:firstLine="48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⑦</w:t>
            </w:r>
            <w:r>
              <w:rPr>
                <w:rFonts w:hint="default" w:ascii="Times New Roman" w:hAnsi="Times New Roman" w:eastAsia="宋体" w:cs="Times New Roman"/>
                <w:color w:val="auto"/>
                <w:sz w:val="24"/>
                <w:highlight w:val="none"/>
                <w:lang w:val="en-US" w:eastAsia="zh-CN"/>
              </w:rPr>
              <w:t>要有充分的应急措施，项目应按照相关规定设置逃生系统，并能够有足够并匹配的消防器材及备用应急电源。</w:t>
            </w:r>
          </w:p>
          <w:p w14:paraId="3C59B4F6">
            <w:pPr>
              <w:numPr>
                <w:ilvl w:val="0"/>
                <w:numId w:val="3"/>
              </w:numPr>
              <w:spacing w:line="360" w:lineRule="auto"/>
              <w:ind w:firstLine="480"/>
              <w:rPr>
                <w:rFonts w:hint="eastAsia" w:cs="Times New Roman"/>
                <w:color w:val="auto"/>
                <w:sz w:val="24"/>
                <w:highlight w:val="none"/>
                <w:lang w:val="en-US" w:eastAsia="zh-CN"/>
              </w:rPr>
            </w:pPr>
            <w:r>
              <w:rPr>
                <w:rFonts w:hint="eastAsia" w:cs="Times New Roman"/>
                <w:color w:val="auto"/>
                <w:sz w:val="24"/>
                <w:highlight w:val="none"/>
                <w:lang w:val="en-US" w:eastAsia="zh-CN"/>
              </w:rPr>
              <w:t>环保措施故障</w:t>
            </w:r>
          </w:p>
          <w:p w14:paraId="25FF1522">
            <w:pPr>
              <w:numPr>
                <w:ilvl w:val="0"/>
                <w:numId w:val="0"/>
              </w:numPr>
              <w:spacing w:line="360" w:lineRule="auto"/>
              <w:rPr>
                <w:rFonts w:hint="default" w:cs="Times New Roman"/>
                <w:color w:val="auto"/>
                <w:sz w:val="24"/>
                <w:highlight w:val="none"/>
                <w:lang w:val="en-US" w:eastAsia="zh-CN"/>
              </w:rPr>
            </w:pPr>
            <w:r>
              <w:rPr>
                <w:rFonts w:hint="eastAsia" w:cs="Times New Roman"/>
                <w:color w:val="auto"/>
                <w:sz w:val="24"/>
                <w:highlight w:val="none"/>
                <w:lang w:val="en-US" w:eastAsia="zh-CN"/>
              </w:rPr>
              <w:t xml:space="preserve">    当环保措施故障，例如洒水车故障、抑尘网破损等情况，当立即停止装卸运输作业，并将煤堆进行苫盖处理。</w:t>
            </w:r>
          </w:p>
          <w:p w14:paraId="54470E4D">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lang w:val="en-US" w:eastAsia="zh-CN"/>
              </w:rPr>
              <w:t>8、运输线路环境影响</w:t>
            </w:r>
          </w:p>
          <w:p w14:paraId="1EB4C46E">
            <w:pPr>
              <w:pStyle w:val="19"/>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（1）运输路线环境敏感目标</w:t>
            </w:r>
          </w:p>
          <w:p w14:paraId="78B0627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24"/>
                <w:sz w:val="24"/>
                <w:szCs w:val="24"/>
                <w:highlight w:val="none"/>
                <w:lang w:val="en-US" w:eastAsia="zh-CN"/>
              </w:rPr>
              <w:t>本</w:t>
            </w:r>
            <w:r>
              <w:rPr>
                <w:rFonts w:hint="default" w:ascii="Times New Roman" w:hAnsi="Times New Roman" w:eastAsia="宋体" w:cs="Times New Roman"/>
                <w:color w:val="auto"/>
                <w:kern w:val="24"/>
                <w:sz w:val="24"/>
                <w:szCs w:val="24"/>
                <w:highlight w:val="none"/>
              </w:rPr>
              <w:t>项目</w:t>
            </w:r>
            <w:r>
              <w:rPr>
                <w:rFonts w:hint="default" w:ascii="Times New Roman" w:hAnsi="Times New Roman" w:eastAsia="宋体" w:cs="Times New Roman"/>
                <w:bCs/>
                <w:color w:val="auto"/>
                <w:kern w:val="0"/>
                <w:sz w:val="24"/>
                <w:szCs w:val="24"/>
                <w:highlight w:val="none"/>
              </w:rPr>
              <w:t>运输车辆</w:t>
            </w:r>
            <w:r>
              <w:rPr>
                <w:rFonts w:hint="eastAsia" w:cs="Times New Roman"/>
                <w:bCs/>
                <w:color w:val="auto"/>
                <w:kern w:val="0"/>
                <w:sz w:val="24"/>
                <w:szCs w:val="24"/>
                <w:highlight w:val="none"/>
                <w:lang w:val="en-US" w:eastAsia="zh-CN"/>
              </w:rPr>
              <w:t>可直接进入Z902</w:t>
            </w:r>
            <w:r>
              <w:rPr>
                <w:rFonts w:hint="default" w:ascii="Times New Roman" w:hAnsi="Times New Roman" w:eastAsia="宋体" w:cs="Times New Roman"/>
                <w:bCs/>
                <w:color w:val="auto"/>
                <w:kern w:val="0"/>
                <w:sz w:val="24"/>
                <w:szCs w:val="24"/>
                <w:highlight w:val="none"/>
              </w:rPr>
              <w:t>，</w:t>
            </w:r>
            <w:r>
              <w:rPr>
                <w:rFonts w:hint="default" w:ascii="Times New Roman" w:hAnsi="Times New Roman" w:eastAsia="宋体" w:cs="Times New Roman"/>
                <w:color w:val="auto"/>
                <w:kern w:val="24"/>
                <w:sz w:val="24"/>
                <w:szCs w:val="24"/>
                <w:highlight w:val="none"/>
              </w:rPr>
              <w:t>运输路线不经过居民区等环境敏感目标</w:t>
            </w:r>
            <w:r>
              <w:rPr>
                <w:rFonts w:hint="default" w:ascii="Times New Roman" w:hAnsi="Times New Roman" w:eastAsia="宋体" w:cs="Times New Roman"/>
                <w:color w:val="auto"/>
                <w:kern w:val="24"/>
                <w:sz w:val="24"/>
                <w:szCs w:val="24"/>
                <w:highlight w:val="none"/>
                <w:lang w:eastAsia="zh-CN"/>
              </w:rPr>
              <w:t>。</w:t>
            </w:r>
          </w:p>
          <w:p w14:paraId="15CC6E85">
            <w:pPr>
              <w:pStyle w:val="19"/>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（2）运输噪声影响分析</w:t>
            </w:r>
          </w:p>
          <w:p w14:paraId="610F16B4">
            <w:pPr>
              <w:pStyle w:val="19"/>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运输车辆行驶噪声源强约为70~8</w:t>
            </w:r>
            <w:r>
              <w:rPr>
                <w:rFonts w:hint="default" w:ascii="Times New Roman" w:hAnsi="Times New Roman" w:cs="Times New Roman"/>
                <w:color w:val="auto"/>
                <w:kern w:val="2"/>
                <w:sz w:val="24"/>
                <w:szCs w:val="24"/>
                <w:highlight w:val="none"/>
                <w:lang w:val="en-US" w:eastAsia="zh-CN" w:bidi="ar-SA"/>
              </w:rPr>
              <w:t>0</w:t>
            </w:r>
            <w:r>
              <w:rPr>
                <w:rFonts w:hint="default" w:ascii="Times New Roman" w:hAnsi="Times New Roman" w:eastAsia="宋体" w:cs="Times New Roman"/>
                <w:color w:val="auto"/>
                <w:kern w:val="2"/>
                <w:sz w:val="24"/>
                <w:szCs w:val="24"/>
                <w:highlight w:val="none"/>
                <w:lang w:val="en-US" w:eastAsia="zh-CN" w:bidi="ar-SA"/>
              </w:rPr>
              <w:t>dB（A），对运输交通噪声，禁止使用超过噪声限值的运输车辆，汽车运输机械设备应安装消声器和禁用高音喇叭，机动车辆必须加强维修和保养，保持技术性能良好，应限制鸣笛、合理安排运输车辆工作时间，22</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00</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次日6:00禁止运输工作，产品运输均在昼间进行，加强对运输车辆管理，杜绝超载现象，按期保养车辆保持车辆良好工况，运输车辆在经过沿线敏感目标时控制行驶速度，通过采取以上措施运输沿线公路交通噪声影响是可以接受的。</w:t>
            </w:r>
          </w:p>
          <w:p w14:paraId="175F2B1F">
            <w:pPr>
              <w:pStyle w:val="19"/>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（3）运输道路扬尘影响</w:t>
            </w:r>
          </w:p>
          <w:p w14:paraId="786BEFEB">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jc w:val="both"/>
              <w:textAlignment w:val="auto"/>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kern w:val="2"/>
                <w:sz w:val="24"/>
                <w:szCs w:val="24"/>
                <w:highlight w:val="none"/>
                <w:lang w:val="en-US" w:eastAsia="zh-CN" w:bidi="ar-SA"/>
              </w:rPr>
              <w:t>本项目运输过程中要加强</w:t>
            </w:r>
            <w:r>
              <w:rPr>
                <w:rFonts w:hint="default" w:ascii="Times New Roman" w:hAnsi="Times New Roman" w:cs="Times New Roman"/>
                <w:color w:val="auto"/>
                <w:kern w:val="2"/>
                <w:sz w:val="24"/>
                <w:szCs w:val="24"/>
                <w:highlight w:val="none"/>
                <w:lang w:val="en-US" w:eastAsia="zh-CN" w:bidi="ar-SA"/>
              </w:rPr>
              <w:t>厂区内</w:t>
            </w:r>
            <w:r>
              <w:rPr>
                <w:rFonts w:hint="default" w:ascii="Times New Roman" w:hAnsi="Times New Roman" w:eastAsia="宋体" w:cs="Times New Roman"/>
                <w:color w:val="auto"/>
                <w:kern w:val="2"/>
                <w:sz w:val="24"/>
                <w:szCs w:val="24"/>
                <w:highlight w:val="none"/>
                <w:lang w:val="en-US" w:eastAsia="zh-CN" w:bidi="ar-SA"/>
              </w:rPr>
              <w:t>道路养护，保障路面平整，控制汽车行驶速度，运输车辆采用苫布苫盖，同时采取洒水抑尘的措施，可有效降低汽车运输的起尘量，运输产生的扬尘环境空气的影响较小。</w:t>
            </w:r>
          </w:p>
        </w:tc>
      </w:tr>
    </w:tbl>
    <w:p w14:paraId="010C1AE2">
      <w:pPr>
        <w:adjustRightInd w:val="0"/>
        <w:snapToGrid w:val="0"/>
        <w:spacing w:line="360" w:lineRule="auto"/>
        <w:rPr>
          <w:rFonts w:hint="default" w:ascii="Times New Roman" w:hAnsi="Times New Roman" w:cs="Times New Roman"/>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09F76CFD">
      <w:pPr>
        <w:pStyle w:val="18"/>
        <w:keepNext w:val="0"/>
        <w:keepLines w:val="0"/>
        <w:pageBreakBefore w:val="0"/>
        <w:widowControl/>
        <w:kinsoku/>
        <w:wordWrap/>
        <w:overflowPunct/>
        <w:topLinePunct w:val="0"/>
        <w:autoSpaceDE/>
        <w:autoSpaceDN/>
        <w:bidi w:val="0"/>
        <w:adjustRightInd/>
        <w:snapToGrid/>
        <w:spacing w:before="0" w:beforeAutospacing="0" w:after="313" w:afterLines="100" w:afterAutospacing="0"/>
        <w:jc w:val="center"/>
        <w:textAlignment w:val="auto"/>
        <w:outlineLvl w:val="0"/>
        <w:rPr>
          <w:rFonts w:hint="eastAsia" w:ascii="宋体" w:hAnsi="宋体" w:eastAsia="宋体" w:cs="宋体"/>
          <w:snapToGrid w:val="0"/>
          <w:color w:val="auto"/>
          <w:sz w:val="30"/>
          <w:szCs w:val="30"/>
          <w:highlight w:val="none"/>
        </w:rPr>
      </w:pPr>
      <w:bookmarkStart w:id="39" w:name="_Toc15969"/>
      <w:bookmarkStart w:id="40" w:name="_Toc30012"/>
      <w:bookmarkStart w:id="41" w:name="_Toc27142"/>
      <w:bookmarkStart w:id="42" w:name="_Toc15003"/>
      <w:r>
        <w:rPr>
          <w:rFonts w:hint="eastAsia" w:ascii="宋体" w:hAnsi="宋体" w:eastAsia="宋体" w:cs="宋体"/>
          <w:snapToGrid w:val="0"/>
          <w:color w:val="auto"/>
          <w:sz w:val="30"/>
          <w:szCs w:val="30"/>
          <w:highlight w:val="none"/>
        </w:rPr>
        <w:t>五、</w:t>
      </w:r>
      <w:bookmarkStart w:id="43" w:name="_Hlk54167917"/>
      <w:r>
        <w:rPr>
          <w:rFonts w:hint="eastAsia" w:ascii="宋体" w:hAnsi="宋体" w:eastAsia="宋体" w:cs="宋体"/>
          <w:snapToGrid w:val="0"/>
          <w:color w:val="auto"/>
          <w:sz w:val="30"/>
          <w:szCs w:val="30"/>
          <w:highlight w:val="none"/>
        </w:rPr>
        <w:t>环境保护措施监督检查清单</w:t>
      </w:r>
      <w:bookmarkEnd w:id="39"/>
      <w:bookmarkEnd w:id="40"/>
      <w:bookmarkEnd w:id="41"/>
      <w:bookmarkEnd w:id="42"/>
      <w:bookmarkEnd w:id="43"/>
    </w:p>
    <w:tbl>
      <w:tblPr>
        <w:tblStyle w:val="20"/>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560"/>
        <w:gridCol w:w="1320"/>
        <w:gridCol w:w="1950"/>
        <w:gridCol w:w="2886"/>
      </w:tblGrid>
      <w:tr w14:paraId="3DBD96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084" w:type="dxa"/>
            <w:tcBorders>
              <w:tl2br w:val="single" w:color="auto" w:sz="4" w:space="0"/>
            </w:tcBorders>
            <w:noWrap w:val="0"/>
            <w:vAlign w:val="top"/>
          </w:tcPr>
          <w:p w14:paraId="0BF27FE9">
            <w:pPr>
              <w:adjustRightInd w:val="0"/>
              <w:snapToGrid w:val="0"/>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内容</w:t>
            </w:r>
          </w:p>
          <w:p w14:paraId="0C18739B">
            <w:pPr>
              <w:adjustRightInd w:val="0"/>
              <w:snapToGrid w:val="0"/>
              <w:rPr>
                <w:rFonts w:hint="eastAsia" w:ascii="宋体" w:hAnsi="宋体" w:eastAsia="宋体" w:cs="宋体"/>
                <w:color w:val="auto"/>
                <w:szCs w:val="21"/>
                <w:highlight w:val="none"/>
              </w:rPr>
            </w:pPr>
            <w:r>
              <w:rPr>
                <w:rFonts w:hint="eastAsia" w:ascii="宋体" w:hAnsi="宋体" w:eastAsia="宋体" w:cs="宋体"/>
                <w:color w:val="auto"/>
                <w:szCs w:val="21"/>
                <w:highlight w:val="none"/>
              </w:rPr>
              <w:t>要素</w:t>
            </w:r>
          </w:p>
        </w:tc>
        <w:tc>
          <w:tcPr>
            <w:tcW w:w="1560" w:type="dxa"/>
            <w:noWrap w:val="0"/>
            <w:vAlign w:val="center"/>
          </w:tcPr>
          <w:p w14:paraId="05793E56">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排放口</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编号、</w:t>
            </w:r>
          </w:p>
          <w:p w14:paraId="79DB5D7A">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名称</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/污染源</w:t>
            </w:r>
          </w:p>
        </w:tc>
        <w:tc>
          <w:tcPr>
            <w:tcW w:w="1320" w:type="dxa"/>
            <w:noWrap w:val="0"/>
            <w:vAlign w:val="center"/>
          </w:tcPr>
          <w:p w14:paraId="20203FF2">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污染物项目</w:t>
            </w:r>
          </w:p>
        </w:tc>
        <w:tc>
          <w:tcPr>
            <w:tcW w:w="1950" w:type="dxa"/>
            <w:noWrap w:val="0"/>
            <w:vAlign w:val="center"/>
          </w:tcPr>
          <w:p w14:paraId="18FB5F81">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环境保护措施</w:t>
            </w:r>
          </w:p>
        </w:tc>
        <w:tc>
          <w:tcPr>
            <w:tcW w:w="2886" w:type="dxa"/>
            <w:noWrap w:val="0"/>
            <w:vAlign w:val="center"/>
          </w:tcPr>
          <w:p w14:paraId="57526A9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执行标准</w:t>
            </w:r>
          </w:p>
        </w:tc>
      </w:tr>
      <w:tr w14:paraId="14AC1C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noWrap w:val="0"/>
            <w:vAlign w:val="center"/>
          </w:tcPr>
          <w:p w14:paraId="0142A024">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大气环境</w:t>
            </w:r>
          </w:p>
        </w:tc>
        <w:tc>
          <w:tcPr>
            <w:tcW w:w="1560" w:type="dxa"/>
            <w:noWrap w:val="0"/>
            <w:vAlign w:val="center"/>
          </w:tcPr>
          <w:p w14:paraId="12123E08">
            <w:pPr>
              <w:pStyle w:val="37"/>
              <w:ind w:left="0" w:leftChars="0" w:right="0" w:rightChars="0" w:firstLine="0" w:firstLineChars="0"/>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储煤场、运输车辆</w:t>
            </w:r>
          </w:p>
        </w:tc>
        <w:tc>
          <w:tcPr>
            <w:tcW w:w="1320" w:type="dxa"/>
            <w:noWrap w:val="0"/>
            <w:vAlign w:val="center"/>
          </w:tcPr>
          <w:p w14:paraId="5A042BFA">
            <w:pPr>
              <w:pStyle w:val="34"/>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颗粒物、二氧化硫</w:t>
            </w:r>
          </w:p>
        </w:tc>
        <w:tc>
          <w:tcPr>
            <w:tcW w:w="1950" w:type="dxa"/>
            <w:noWrap w:val="0"/>
            <w:vAlign w:val="center"/>
          </w:tcPr>
          <w:p w14:paraId="796277CD">
            <w:pPr>
              <w:pStyle w:val="34"/>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储煤点四周设置闭合防风抑尘网，场内堆存煤炭使用绿网苫盖；定期洒水降尘，禁止在重污染天气、大风天气作业；运输车辆进行全面苫盖</w:t>
            </w:r>
          </w:p>
        </w:tc>
        <w:tc>
          <w:tcPr>
            <w:tcW w:w="2886" w:type="dxa"/>
            <w:noWrap w:val="0"/>
            <w:vAlign w:val="center"/>
          </w:tcPr>
          <w:p w14:paraId="7B390E0C">
            <w:pPr>
              <w:pStyle w:val="34"/>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color w:val="auto"/>
                <w:szCs w:val="21"/>
              </w:rPr>
              <w:t>《煤炭工业污染物排放标准》（GB20426-2006）中表5无组织限制排放标准</w:t>
            </w:r>
          </w:p>
        </w:tc>
      </w:tr>
      <w:tr w14:paraId="7971A0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1084" w:type="dxa"/>
            <w:vMerge w:val="restart"/>
            <w:noWrap w:val="0"/>
            <w:vAlign w:val="center"/>
          </w:tcPr>
          <w:p w14:paraId="099F0844">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地表水环境</w:t>
            </w:r>
          </w:p>
        </w:tc>
        <w:tc>
          <w:tcPr>
            <w:tcW w:w="1560" w:type="dxa"/>
            <w:noWrap w:val="0"/>
            <w:vAlign w:val="center"/>
          </w:tcPr>
          <w:p w14:paraId="280811B0">
            <w:pPr>
              <w:adjustRightInd w:val="0"/>
              <w:snapToGrid w:val="0"/>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生活废水</w:t>
            </w:r>
          </w:p>
        </w:tc>
        <w:tc>
          <w:tcPr>
            <w:tcW w:w="1320" w:type="dxa"/>
            <w:noWrap w:val="0"/>
            <w:vAlign w:val="center"/>
          </w:tcPr>
          <w:p w14:paraId="00D340E2">
            <w:pPr>
              <w:pStyle w:val="34"/>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化学需氧量、五日生化需氧量、悬浮物、氨氮</w:t>
            </w:r>
          </w:p>
        </w:tc>
        <w:tc>
          <w:tcPr>
            <w:tcW w:w="1950" w:type="dxa"/>
            <w:noWrap w:val="0"/>
            <w:vAlign w:val="center"/>
          </w:tcPr>
          <w:p w14:paraId="4EB180A8">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排入防渗旱厕，定期清掏堆肥</w:t>
            </w:r>
          </w:p>
        </w:tc>
        <w:tc>
          <w:tcPr>
            <w:tcW w:w="2886" w:type="dxa"/>
            <w:vMerge w:val="restart"/>
            <w:noWrap w:val="0"/>
            <w:vAlign w:val="center"/>
          </w:tcPr>
          <w:p w14:paraId="269A2C0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不外排</w:t>
            </w:r>
          </w:p>
        </w:tc>
      </w:tr>
      <w:tr w14:paraId="74D577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1084" w:type="dxa"/>
            <w:vMerge w:val="continue"/>
            <w:noWrap w:val="0"/>
            <w:vAlign w:val="center"/>
          </w:tcPr>
          <w:p w14:paraId="1A56F2B8">
            <w:pPr>
              <w:adjustRightInd w:val="0"/>
              <w:snapToGrid w:val="0"/>
              <w:jc w:val="center"/>
              <w:rPr>
                <w:rFonts w:hint="default" w:ascii="Times New Roman" w:hAnsi="Times New Roman" w:cs="Times New Roman"/>
                <w:color w:val="auto"/>
                <w:szCs w:val="21"/>
                <w:highlight w:val="none"/>
              </w:rPr>
            </w:pPr>
          </w:p>
        </w:tc>
        <w:tc>
          <w:tcPr>
            <w:tcW w:w="1560" w:type="dxa"/>
            <w:noWrap w:val="0"/>
            <w:vAlign w:val="center"/>
          </w:tcPr>
          <w:p w14:paraId="6B2DA64B">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初期雨水</w:t>
            </w:r>
          </w:p>
        </w:tc>
        <w:tc>
          <w:tcPr>
            <w:tcW w:w="1320" w:type="dxa"/>
            <w:noWrap w:val="0"/>
            <w:vAlign w:val="center"/>
          </w:tcPr>
          <w:p w14:paraId="363413E4">
            <w:pPr>
              <w:pStyle w:val="34"/>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悬浮物</w:t>
            </w:r>
          </w:p>
        </w:tc>
        <w:tc>
          <w:tcPr>
            <w:tcW w:w="1950" w:type="dxa"/>
            <w:noWrap w:val="0"/>
            <w:vAlign w:val="center"/>
          </w:tcPr>
          <w:p w14:paraId="425A017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建设</w:t>
            </w:r>
            <w:r>
              <w:rPr>
                <w:rFonts w:hint="eastAsia" w:cs="Times New Roman"/>
                <w:color w:val="auto"/>
                <w:szCs w:val="21"/>
                <w:highlight w:val="none"/>
                <w:lang w:val="en-US" w:eastAsia="zh-CN"/>
              </w:rPr>
              <w:t>100</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lang w:val="en-US" w:eastAsia="zh-CN"/>
              </w:rPr>
              <w:t>初期雨水收集池处理将初期雨水收集沉淀后洒水降尘，不外排</w:t>
            </w:r>
          </w:p>
        </w:tc>
        <w:tc>
          <w:tcPr>
            <w:tcW w:w="2886" w:type="dxa"/>
            <w:vMerge w:val="continue"/>
            <w:noWrap w:val="0"/>
            <w:vAlign w:val="center"/>
          </w:tcPr>
          <w:p w14:paraId="13E5D40F">
            <w:pPr>
              <w:adjustRightInd w:val="0"/>
              <w:snapToGrid w:val="0"/>
              <w:jc w:val="center"/>
              <w:rPr>
                <w:rFonts w:hint="default" w:ascii="Times New Roman" w:hAnsi="Times New Roman" w:cs="Times New Roman"/>
                <w:color w:val="auto"/>
                <w:szCs w:val="21"/>
                <w:highlight w:val="none"/>
              </w:rPr>
            </w:pPr>
          </w:p>
        </w:tc>
      </w:tr>
      <w:tr w14:paraId="43F84B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noWrap w:val="0"/>
            <w:vAlign w:val="center"/>
          </w:tcPr>
          <w:p w14:paraId="6C75EE6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1560" w:type="dxa"/>
            <w:noWrap w:val="0"/>
            <w:vAlign w:val="center"/>
          </w:tcPr>
          <w:p w14:paraId="07C71EE8">
            <w:pPr>
              <w:pStyle w:val="37"/>
              <w:ind w:left="0" w:leftChars="0" w:right="0" w:righ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设备噪声</w:t>
            </w:r>
          </w:p>
        </w:tc>
        <w:tc>
          <w:tcPr>
            <w:tcW w:w="1320" w:type="dxa"/>
            <w:noWrap w:val="0"/>
            <w:vAlign w:val="center"/>
          </w:tcPr>
          <w:p w14:paraId="4257D3B3">
            <w:pPr>
              <w:pStyle w:val="37"/>
              <w:ind w:left="0" w:leftChars="0" w:right="0" w:righ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1950" w:type="dxa"/>
            <w:noWrap w:val="0"/>
            <w:vAlign w:val="center"/>
          </w:tcPr>
          <w:p w14:paraId="036CEF1D">
            <w:pPr>
              <w:pStyle w:val="37"/>
              <w:ind w:left="0" w:leftChars="0" w:right="0" w:rightChars="0"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选用低噪声设备，</w:t>
            </w:r>
            <w:r>
              <w:rPr>
                <w:rFonts w:hint="default" w:ascii="Times New Roman" w:hAnsi="Times New Roman" w:cs="Times New Roman"/>
                <w:color w:val="auto"/>
                <w:szCs w:val="21"/>
                <w:highlight w:val="none"/>
                <w:lang w:val="en-US" w:eastAsia="zh-CN"/>
              </w:rPr>
              <w:t>加强设备维护</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厂区内限速</w:t>
            </w:r>
          </w:p>
        </w:tc>
        <w:tc>
          <w:tcPr>
            <w:tcW w:w="2886" w:type="dxa"/>
            <w:noWrap w:val="0"/>
            <w:vAlign w:val="center"/>
          </w:tcPr>
          <w:p w14:paraId="1C8D0EAF">
            <w:pPr>
              <w:pStyle w:val="37"/>
              <w:ind w:left="0" w:leftChars="0" w:right="0" w:righ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厂界噪声满足</w:t>
            </w:r>
            <w:r>
              <w:rPr>
                <w:rFonts w:hint="default" w:ascii="Times New Roman" w:hAnsi="Times New Roman" w:cs="Times New Roman"/>
                <w:bCs/>
                <w:color w:val="auto"/>
                <w:szCs w:val="21"/>
                <w:highlight w:val="none"/>
              </w:rPr>
              <w:t>《工业企业厂界环境噪声排放标准》（GB12348-2008）</w:t>
            </w:r>
            <w:r>
              <w:rPr>
                <w:rFonts w:hint="default" w:ascii="Times New Roman" w:hAnsi="Times New Roman" w:cs="Times New Roman"/>
                <w:bCs/>
                <w:color w:val="auto"/>
                <w:szCs w:val="21"/>
                <w:highlight w:val="none"/>
                <w:lang w:val="en-US" w:eastAsia="zh-CN"/>
              </w:rPr>
              <w:t>2</w:t>
            </w:r>
            <w:r>
              <w:rPr>
                <w:rFonts w:hint="default" w:ascii="Times New Roman" w:hAnsi="Times New Roman" w:cs="Times New Roman"/>
                <w:bCs/>
                <w:color w:val="auto"/>
                <w:szCs w:val="21"/>
                <w:highlight w:val="none"/>
              </w:rPr>
              <w:t>类</w:t>
            </w:r>
            <w:r>
              <w:rPr>
                <w:rFonts w:hint="default" w:ascii="Times New Roman" w:hAnsi="Times New Roman" w:cs="Times New Roman"/>
                <w:color w:val="auto"/>
                <w:szCs w:val="21"/>
                <w:highlight w:val="none"/>
              </w:rPr>
              <w:t>标准</w:t>
            </w:r>
          </w:p>
        </w:tc>
      </w:tr>
      <w:tr w14:paraId="21EB82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1084" w:type="dxa"/>
            <w:noWrap w:val="0"/>
            <w:vAlign w:val="center"/>
          </w:tcPr>
          <w:p w14:paraId="09242383">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电磁辐射</w:t>
            </w:r>
          </w:p>
        </w:tc>
        <w:tc>
          <w:tcPr>
            <w:tcW w:w="1560" w:type="dxa"/>
            <w:noWrap w:val="0"/>
            <w:vAlign w:val="center"/>
          </w:tcPr>
          <w:p w14:paraId="21C4CD89">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1320" w:type="dxa"/>
            <w:noWrap w:val="0"/>
            <w:vAlign w:val="center"/>
          </w:tcPr>
          <w:p w14:paraId="4B8598DE">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1950" w:type="dxa"/>
            <w:noWrap w:val="0"/>
            <w:vAlign w:val="center"/>
          </w:tcPr>
          <w:p w14:paraId="0344C682">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2886" w:type="dxa"/>
            <w:noWrap w:val="0"/>
            <w:vAlign w:val="center"/>
          </w:tcPr>
          <w:p w14:paraId="7595741B">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r>
      <w:tr w14:paraId="34909E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0" w:hRule="atLeast"/>
          <w:jc w:val="center"/>
        </w:trPr>
        <w:tc>
          <w:tcPr>
            <w:tcW w:w="1084" w:type="dxa"/>
            <w:noWrap w:val="0"/>
            <w:vAlign w:val="center"/>
          </w:tcPr>
          <w:p w14:paraId="3836C37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固体废物</w:t>
            </w:r>
          </w:p>
        </w:tc>
        <w:tc>
          <w:tcPr>
            <w:tcW w:w="7716" w:type="dxa"/>
            <w:gridSpan w:val="4"/>
            <w:noWrap w:val="0"/>
            <w:vAlign w:val="center"/>
          </w:tcPr>
          <w:p w14:paraId="255DCDF2">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生活垃圾</w:t>
            </w:r>
            <w:r>
              <w:rPr>
                <w:rFonts w:hint="default" w:ascii="Times New Roman" w:hAnsi="Times New Roman" w:cs="Times New Roman"/>
                <w:color w:val="auto"/>
                <w:szCs w:val="21"/>
                <w:highlight w:val="none"/>
                <w:lang w:val="en-US" w:eastAsia="zh-CN"/>
              </w:rPr>
              <w:t>依托</w:t>
            </w:r>
            <w:r>
              <w:rPr>
                <w:rFonts w:hint="default" w:ascii="Times New Roman" w:hAnsi="Times New Roman" w:cs="Times New Roman"/>
                <w:color w:val="auto"/>
                <w:szCs w:val="21"/>
                <w:highlight w:val="none"/>
              </w:rPr>
              <w:t>当地环卫部门统一收集处理</w:t>
            </w:r>
            <w:r>
              <w:rPr>
                <w:rFonts w:hint="default" w:ascii="Times New Roman" w:hAnsi="Times New Roman" w:cs="Times New Roman"/>
                <w:color w:val="auto"/>
                <w:szCs w:val="21"/>
                <w:highlight w:val="none"/>
                <w:lang w:val="en-US" w:eastAsia="zh-CN"/>
              </w:rPr>
              <w:t>；初期雨水收集池沉渣</w:t>
            </w:r>
            <w:r>
              <w:rPr>
                <w:rFonts w:hint="default" w:ascii="Times New Roman" w:hAnsi="Times New Roman" w:cs="Times New Roman"/>
                <w:bCs/>
                <w:color w:val="auto"/>
                <w:szCs w:val="24"/>
                <w:highlight w:val="none"/>
              </w:rPr>
              <w:t>定期清理后外售综合利用</w:t>
            </w:r>
            <w:r>
              <w:rPr>
                <w:rFonts w:hint="default" w:ascii="Times New Roman" w:hAnsi="Times New Roman" w:eastAsia="宋体" w:cs="Times New Roman"/>
                <w:color w:val="auto"/>
                <w:szCs w:val="21"/>
                <w:highlight w:val="none"/>
                <w:lang w:eastAsia="zh-CN"/>
              </w:rPr>
              <w:t>。</w:t>
            </w:r>
          </w:p>
        </w:tc>
      </w:tr>
      <w:tr w14:paraId="6595BF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1084" w:type="dxa"/>
            <w:noWrap w:val="0"/>
            <w:vAlign w:val="center"/>
          </w:tcPr>
          <w:p w14:paraId="5E333DA4">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土壤及地下水污染防治措施</w:t>
            </w:r>
          </w:p>
        </w:tc>
        <w:tc>
          <w:tcPr>
            <w:tcW w:w="7716" w:type="dxa"/>
            <w:gridSpan w:val="4"/>
            <w:noWrap w:val="0"/>
            <w:vAlign w:val="center"/>
          </w:tcPr>
          <w:p w14:paraId="152D2B3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val="en-US" w:eastAsia="zh-CN"/>
              </w:rPr>
              <w:t>车辆进出口及主要通道使用水泥硬化，对煤炭堆场、初期雨水收集池、旱厕进行一般防渗，防渗层为等效黏土防渗层Mb≥1.5m，渗透系数≤10</w:t>
            </w:r>
            <w:r>
              <w:rPr>
                <w:rFonts w:hint="default" w:ascii="Times New Roman" w:hAnsi="Times New Roman" w:eastAsia="宋体" w:cs="Times New Roman"/>
                <w:color w:val="auto"/>
                <w:szCs w:val="21"/>
                <w:highlight w:val="none"/>
                <w:vertAlign w:val="superscript"/>
                <w:lang w:val="en-US" w:eastAsia="zh-CN"/>
              </w:rPr>
              <w:t>-7</w:t>
            </w:r>
            <w:r>
              <w:rPr>
                <w:rFonts w:hint="default" w:ascii="Times New Roman" w:hAnsi="Times New Roman" w:eastAsia="宋体" w:cs="Times New Roman"/>
                <w:color w:val="auto"/>
                <w:szCs w:val="21"/>
                <w:highlight w:val="none"/>
                <w:lang w:val="en-US" w:eastAsia="zh-CN"/>
              </w:rPr>
              <w:t>cm/s）。</w:t>
            </w:r>
          </w:p>
        </w:tc>
      </w:tr>
      <w:tr w14:paraId="35DF6F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1084" w:type="dxa"/>
            <w:noWrap w:val="0"/>
            <w:vAlign w:val="center"/>
          </w:tcPr>
          <w:p w14:paraId="6809082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生态保护措施</w:t>
            </w:r>
          </w:p>
        </w:tc>
        <w:tc>
          <w:tcPr>
            <w:tcW w:w="7716" w:type="dxa"/>
            <w:gridSpan w:val="4"/>
            <w:noWrap w:val="0"/>
            <w:vAlign w:val="center"/>
          </w:tcPr>
          <w:p w14:paraId="6EB5EC9F">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宋体" w:hAnsi="宋体" w:eastAsia="宋体" w:cs="宋体"/>
                <w:color w:val="auto"/>
                <w:szCs w:val="21"/>
                <w:highlight w:val="none"/>
                <w:lang w:val="en-US" w:eastAsia="zh-CN"/>
              </w:rPr>
              <w:t>/</w:t>
            </w:r>
          </w:p>
        </w:tc>
      </w:tr>
      <w:tr w14:paraId="6FD51C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1084" w:type="dxa"/>
            <w:noWrap w:val="0"/>
            <w:vAlign w:val="center"/>
          </w:tcPr>
          <w:p w14:paraId="1640D069">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环境风险</w:t>
            </w:r>
          </w:p>
          <w:p w14:paraId="7D9F45BB">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防范措施</w:t>
            </w:r>
          </w:p>
        </w:tc>
        <w:tc>
          <w:tcPr>
            <w:tcW w:w="7716" w:type="dxa"/>
            <w:gridSpan w:val="4"/>
            <w:noWrap w:val="0"/>
            <w:vAlign w:val="center"/>
          </w:tcPr>
          <w:p w14:paraId="41503ED7">
            <w:pPr>
              <w:adjustRightInd w:val="0"/>
              <w:snapToGrid w:val="0"/>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1、</w:t>
            </w:r>
            <w:r>
              <w:rPr>
                <w:rFonts w:hint="default" w:ascii="Times New Roman" w:hAnsi="Times New Roman" w:cs="Times New Roman"/>
                <w:color w:val="auto"/>
                <w:szCs w:val="21"/>
                <w:highlight w:val="none"/>
                <w:lang w:val="en-US" w:eastAsia="zh-CN"/>
              </w:rPr>
              <w:t>组织人员定期巡查；</w:t>
            </w:r>
            <w:r>
              <w:rPr>
                <w:rFonts w:hint="default" w:ascii="Times New Roman" w:hAnsi="Times New Roman" w:cs="Times New Roman"/>
                <w:color w:val="auto"/>
                <w:szCs w:val="21"/>
                <w:highlight w:val="none"/>
              </w:rPr>
              <w:t>2、设置安全警示标识及公告栏</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3、建立台账</w:t>
            </w:r>
          </w:p>
        </w:tc>
      </w:tr>
      <w:tr w14:paraId="7DAA9C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1084" w:type="dxa"/>
            <w:noWrap w:val="0"/>
            <w:vAlign w:val="center"/>
          </w:tcPr>
          <w:p w14:paraId="4B533F46">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其他环境</w:t>
            </w:r>
          </w:p>
          <w:p w14:paraId="09B89BB6">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管理要求</w:t>
            </w:r>
          </w:p>
        </w:tc>
        <w:tc>
          <w:tcPr>
            <w:tcW w:w="7716" w:type="dxa"/>
            <w:gridSpan w:val="4"/>
            <w:noWrap w:val="0"/>
            <w:vAlign w:val="center"/>
          </w:tcPr>
          <w:p w14:paraId="749163D7">
            <w:pPr>
              <w:numPr>
                <w:ilvl w:val="0"/>
                <w:numId w:val="0"/>
              </w:numPr>
              <w:adjustRightInd w:val="0"/>
              <w:snapToGrid w:val="0"/>
              <w:jc w:val="center"/>
              <w:rPr>
                <w:rFonts w:hint="default" w:ascii="Times New Roman" w:hAnsi="Times New Roman" w:cs="Times New Roman"/>
                <w:color w:val="auto"/>
                <w:lang w:eastAsia="zh-CN"/>
              </w:rPr>
            </w:pPr>
            <w:r>
              <w:rPr>
                <w:rFonts w:hint="default" w:ascii="Times New Roman" w:hAnsi="Times New Roman" w:eastAsia="宋体" w:cs="Times New Roman"/>
                <w:color w:val="auto"/>
                <w:kern w:val="2"/>
                <w:sz w:val="21"/>
                <w:szCs w:val="24"/>
                <w:lang w:val="en-US" w:eastAsia="zh-CN" w:bidi="ar-SA"/>
              </w:rPr>
              <w:t>1、</w:t>
            </w:r>
            <w:r>
              <w:rPr>
                <w:rFonts w:hint="default" w:ascii="Times New Roman" w:hAnsi="Times New Roman" w:cs="Times New Roman"/>
                <w:color w:val="auto"/>
                <w:szCs w:val="21"/>
                <w:highlight w:val="none"/>
              </w:rPr>
              <w:t>定期对厂区及周</w:t>
            </w:r>
            <w:r>
              <w:rPr>
                <w:rFonts w:hint="eastAsia" w:ascii="宋体" w:hAnsi="宋体" w:eastAsia="宋体" w:cs="宋体"/>
                <w:color w:val="auto"/>
                <w:szCs w:val="21"/>
                <w:highlight w:val="none"/>
              </w:rPr>
              <w:t>边进行清理保洁，保持良好的环境卫生面貌，防止出现</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脏、乱、差</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现象</w:t>
            </w:r>
            <w:r>
              <w:rPr>
                <w:rFonts w:hint="eastAsia" w:ascii="宋体" w:hAnsi="宋体" w:eastAsia="宋体" w:cs="宋体"/>
                <w:color w:val="auto"/>
                <w:szCs w:val="21"/>
                <w:highlight w:val="none"/>
                <w:lang w:eastAsia="zh-CN"/>
              </w:rPr>
              <w:t>。</w:t>
            </w:r>
          </w:p>
          <w:p w14:paraId="383202C6">
            <w:pPr>
              <w:numPr>
                <w:ilvl w:val="0"/>
                <w:numId w:val="0"/>
              </w:numPr>
              <w:adjustRightInd w:val="0"/>
              <w:snapToGrid w:val="0"/>
              <w:jc w:val="center"/>
              <w:rPr>
                <w:rFonts w:hint="default" w:ascii="Times New Roman" w:hAnsi="Times New Roman" w:cs="Times New Roman"/>
                <w:color w:val="auto"/>
                <w:lang w:eastAsia="zh-CN"/>
              </w:rPr>
            </w:pPr>
            <w:r>
              <w:rPr>
                <w:rFonts w:hint="default" w:ascii="Times New Roman" w:hAnsi="Times New Roman" w:eastAsia="宋体" w:cs="Times New Roman"/>
                <w:color w:val="auto"/>
                <w:kern w:val="2"/>
                <w:sz w:val="21"/>
                <w:szCs w:val="24"/>
                <w:lang w:val="en-US" w:eastAsia="zh-CN" w:bidi="ar-SA"/>
              </w:rPr>
              <w:t>2、</w:t>
            </w:r>
            <w:r>
              <w:rPr>
                <w:rFonts w:hint="default" w:ascii="Times New Roman" w:hAnsi="Times New Roman" w:eastAsia="宋体" w:cs="Times New Roman"/>
                <w:color w:val="auto"/>
                <w:szCs w:val="21"/>
                <w:highlight w:val="none"/>
                <w:lang w:val="en-US" w:eastAsia="zh-CN"/>
              </w:rPr>
              <w:t>根据《国务院办公厅关于印发控制污染物排放许可制度实施方案的通知》（国办发</w:t>
            </w:r>
            <w:r>
              <w:rPr>
                <w:rFonts w:hint="eastAsia" w:cs="Times New Roman"/>
                <w:color w:val="auto"/>
                <w:szCs w:val="21"/>
                <w:highlight w:val="none"/>
                <w:lang w:val="en-US" w:eastAsia="zh-CN"/>
              </w:rPr>
              <w:t>〔2016〕</w:t>
            </w:r>
            <w:r>
              <w:rPr>
                <w:rFonts w:hint="default" w:ascii="Times New Roman" w:hAnsi="Times New Roman" w:eastAsia="宋体" w:cs="Times New Roman"/>
                <w:color w:val="auto"/>
                <w:szCs w:val="21"/>
                <w:highlight w:val="none"/>
                <w:lang w:val="en-US" w:eastAsia="zh-CN"/>
              </w:rPr>
              <w:t>81号），将排污许可制度建设成为固定污染源环境管理的核心制度。本项目应严格按照国家排污许可证改革的要求，推进刷卡排污及污染源</w:t>
            </w:r>
            <w:r>
              <w:rPr>
                <w:rFonts w:hint="eastAsia"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一证式</w:t>
            </w:r>
            <w:r>
              <w:rPr>
                <w:rFonts w:hint="eastAsia"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管理工作，并作为建设单位在生产运营期接受环境监管和环境保护部门实施监管的主要法律文书，单位依法申领排污许可证，按证排污，自证守法。环境保护部门基于企事业单位守法承诺，依法发放排污许可证，依证强化事中事后监管。</w:t>
            </w:r>
          </w:p>
        </w:tc>
      </w:tr>
    </w:tbl>
    <w:p w14:paraId="0097A640">
      <w:pPr>
        <w:pStyle w:val="18"/>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highlight w:val="none"/>
        </w:rPr>
        <w:br w:type="page"/>
      </w:r>
      <w:bookmarkStart w:id="44" w:name="_Toc4881"/>
      <w:bookmarkStart w:id="45" w:name="_Toc25613"/>
      <w:bookmarkStart w:id="46" w:name="_Toc32071"/>
      <w:bookmarkStart w:id="47" w:name="_Toc22988"/>
      <w:r>
        <w:rPr>
          <w:rFonts w:hint="default" w:ascii="Times New Roman" w:hAnsi="Times New Roman" w:eastAsia="黑体" w:cs="Times New Roman"/>
          <w:snapToGrid w:val="0"/>
          <w:color w:val="auto"/>
          <w:sz w:val="30"/>
          <w:szCs w:val="30"/>
          <w:highlight w:val="none"/>
        </w:rPr>
        <w:t>六、结论</w:t>
      </w:r>
      <w:bookmarkEnd w:id="44"/>
      <w:bookmarkEnd w:id="45"/>
      <w:bookmarkEnd w:id="46"/>
      <w:bookmarkEnd w:id="47"/>
    </w:p>
    <w:tbl>
      <w:tblPr>
        <w:tblStyle w:val="20"/>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14:paraId="5DCE06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04EEBEF0">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本项目符合国家的产业政策，选址合理。项目在建设和运营中产生的环境影响较小，建设单位认真落实本报告提出的各项污染治理措施</w:t>
            </w:r>
            <w:r>
              <w:rPr>
                <w:rFonts w:hint="default" w:ascii="Times New Roman" w:hAnsi="Times New Roman" w:cs="Times New Roman"/>
                <w:bCs/>
                <w:color w:val="auto"/>
                <w:sz w:val="24"/>
                <w:highlight w:val="none"/>
                <w:lang w:eastAsia="zh-CN"/>
              </w:rPr>
              <w:t>，以</w:t>
            </w:r>
            <w:r>
              <w:rPr>
                <w:rFonts w:hint="default" w:ascii="Times New Roman" w:hAnsi="Times New Roman" w:cs="Times New Roman"/>
                <w:bCs/>
                <w:color w:val="auto"/>
                <w:sz w:val="24"/>
                <w:highlight w:val="none"/>
              </w:rPr>
              <w:t>及日常环保管理工作，在确保环保设施正常运行和达标排放前提下，从环保角度考虑，本项目建设可行。</w:t>
            </w:r>
          </w:p>
          <w:p w14:paraId="3E445837">
            <w:pPr>
              <w:widowControl/>
              <w:spacing w:line="480" w:lineRule="atLeast"/>
              <w:ind w:firstLine="420"/>
              <w:rPr>
                <w:rFonts w:hint="default" w:ascii="Times New Roman" w:hAnsi="Times New Roman" w:cs="Times New Roman"/>
                <w:color w:val="auto"/>
                <w:kern w:val="0"/>
                <w:sz w:val="24"/>
                <w:highlight w:val="none"/>
              </w:rPr>
            </w:pPr>
          </w:p>
          <w:p w14:paraId="550EC3C8">
            <w:pPr>
              <w:spacing w:line="360" w:lineRule="auto"/>
              <w:rPr>
                <w:rFonts w:hint="default" w:ascii="Times New Roman" w:hAnsi="Times New Roman" w:cs="Times New Roman"/>
                <w:color w:val="auto"/>
                <w:sz w:val="24"/>
                <w:highlight w:val="none"/>
              </w:rPr>
            </w:pPr>
          </w:p>
        </w:tc>
      </w:tr>
    </w:tbl>
    <w:p w14:paraId="358CC2E2">
      <w:pP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F079710">
      <w:pPr>
        <w:pStyle w:val="18"/>
        <w:adjustRightInd w:val="0"/>
        <w:spacing w:before="0" w:beforeAutospacing="0" w:after="0" w:afterAutospacing="0" w:line="360" w:lineRule="auto"/>
        <w:outlineLvl w:val="0"/>
        <w:rPr>
          <w:rFonts w:hint="eastAsia" w:ascii="宋体" w:hAnsi="宋体" w:eastAsia="宋体" w:cs="宋体"/>
          <w:snapToGrid w:val="0"/>
          <w:color w:val="auto"/>
          <w:sz w:val="32"/>
          <w:szCs w:val="32"/>
          <w:highlight w:val="none"/>
        </w:rPr>
      </w:pPr>
      <w:bookmarkStart w:id="48" w:name="_Toc24798"/>
      <w:bookmarkStart w:id="49" w:name="_Toc7416"/>
      <w:bookmarkStart w:id="50" w:name="_Toc23"/>
      <w:bookmarkStart w:id="51" w:name="_Toc31938"/>
      <w:bookmarkStart w:id="52" w:name="_Toc16362"/>
      <w:bookmarkStart w:id="53" w:name="_Toc80034807"/>
      <w:bookmarkStart w:id="54" w:name="_Toc6080"/>
      <w:bookmarkStart w:id="55" w:name="_Toc6953"/>
      <w:r>
        <w:rPr>
          <w:rFonts w:hint="eastAsia" w:ascii="宋体" w:hAnsi="宋体" w:eastAsia="宋体" w:cs="宋体"/>
          <w:snapToGrid w:val="0"/>
          <w:color w:val="auto"/>
          <w:sz w:val="32"/>
          <w:szCs w:val="32"/>
          <w:highlight w:val="none"/>
        </w:rPr>
        <w:t>附表</w:t>
      </w:r>
      <w:bookmarkEnd w:id="48"/>
      <w:bookmarkEnd w:id="49"/>
      <w:bookmarkEnd w:id="50"/>
      <w:bookmarkEnd w:id="51"/>
      <w:bookmarkEnd w:id="52"/>
      <w:bookmarkEnd w:id="53"/>
      <w:bookmarkEnd w:id="54"/>
      <w:bookmarkEnd w:id="55"/>
    </w:p>
    <w:p w14:paraId="3D7E5F26">
      <w:pPr>
        <w:pStyle w:val="18"/>
        <w:adjustRightInd w:val="0"/>
        <w:snapToGrid w:val="0"/>
        <w:spacing w:before="0" w:beforeAutospacing="0" w:after="0" w:afterAutospacing="0" w:line="360" w:lineRule="auto"/>
        <w:jc w:val="center"/>
        <w:outlineLvl w:val="0"/>
        <w:rPr>
          <w:rFonts w:hint="eastAsia" w:ascii="宋体" w:hAnsi="宋体" w:eastAsia="宋体" w:cs="宋体"/>
          <w:snapToGrid w:val="0"/>
          <w:color w:val="auto"/>
          <w:sz w:val="38"/>
          <w:szCs w:val="38"/>
          <w:highlight w:val="none"/>
        </w:rPr>
      </w:pPr>
      <w:bookmarkStart w:id="56" w:name="_Toc80034808"/>
      <w:bookmarkStart w:id="57" w:name="_Toc22722"/>
      <w:bookmarkStart w:id="58" w:name="_Toc16894"/>
      <w:bookmarkStart w:id="59" w:name="_Toc30416"/>
      <w:bookmarkStart w:id="60" w:name="_Toc3415"/>
      <w:r>
        <w:rPr>
          <w:rFonts w:hint="eastAsia" w:ascii="宋体" w:hAnsi="宋体" w:eastAsia="宋体" w:cs="宋体"/>
          <w:snapToGrid w:val="0"/>
          <w:color w:val="auto"/>
          <w:sz w:val="38"/>
          <w:szCs w:val="38"/>
          <w:highlight w:val="none"/>
        </w:rPr>
        <w:t>建设项目污染物排放量汇总表</w:t>
      </w:r>
      <w:bookmarkEnd w:id="56"/>
      <w:bookmarkEnd w:id="57"/>
      <w:bookmarkEnd w:id="58"/>
      <w:bookmarkEnd w:id="59"/>
      <w:bookmarkEnd w:id="60"/>
    </w:p>
    <w:tbl>
      <w:tblPr>
        <w:tblStyle w:val="20"/>
        <w:tblW w:w="1396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09"/>
        <w:gridCol w:w="1996"/>
        <w:gridCol w:w="1701"/>
        <w:gridCol w:w="1276"/>
        <w:gridCol w:w="1701"/>
        <w:gridCol w:w="1559"/>
        <w:gridCol w:w="1497"/>
        <w:gridCol w:w="1792"/>
        <w:gridCol w:w="1433"/>
      </w:tblGrid>
      <w:tr w14:paraId="1E8065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009" w:type="dxa"/>
            <w:tcBorders>
              <w:tl2br w:val="single" w:color="auto" w:sz="4" w:space="0"/>
            </w:tcBorders>
            <w:tcMar>
              <w:left w:w="28" w:type="dxa"/>
              <w:right w:w="28" w:type="dxa"/>
            </w:tcMar>
            <w:vAlign w:val="center"/>
          </w:tcPr>
          <w:p w14:paraId="4A638F0A">
            <w:pPr>
              <w:pStyle w:val="38"/>
              <w:spacing w:beforeLines="0" w:afterLines="0" w:line="240" w:lineRule="auto"/>
              <w:jc w:val="right"/>
              <w:rPr>
                <w:rFonts w:hint="eastAsia" w:ascii="宋体" w:hAnsi="宋体" w:eastAsia="宋体" w:cs="宋体"/>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项目</w:t>
            </w:r>
          </w:p>
          <w:p w14:paraId="58319617">
            <w:pPr>
              <w:pStyle w:val="38"/>
              <w:spacing w:beforeLines="0" w:afterLines="0" w:line="240" w:lineRule="auto"/>
              <w:jc w:val="left"/>
              <w:rPr>
                <w:rFonts w:hint="eastAsia" w:ascii="宋体" w:hAnsi="宋体" w:eastAsia="宋体" w:cs="宋体"/>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分类</w:t>
            </w:r>
          </w:p>
        </w:tc>
        <w:tc>
          <w:tcPr>
            <w:tcW w:w="1996" w:type="dxa"/>
            <w:tcMar>
              <w:left w:w="28" w:type="dxa"/>
              <w:right w:w="28" w:type="dxa"/>
            </w:tcMar>
            <w:vAlign w:val="center"/>
          </w:tcPr>
          <w:p w14:paraId="7B2CB8B3">
            <w:pPr>
              <w:pStyle w:val="38"/>
              <w:spacing w:beforeLines="0" w:afterLines="0" w:line="240" w:lineRule="auto"/>
              <w:rPr>
                <w:rFonts w:hint="eastAsia" w:ascii="宋体" w:hAnsi="宋体" w:eastAsia="宋体" w:cs="宋体"/>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污染物名称</w:t>
            </w:r>
          </w:p>
        </w:tc>
        <w:tc>
          <w:tcPr>
            <w:tcW w:w="1701" w:type="dxa"/>
            <w:tcMar>
              <w:left w:w="28" w:type="dxa"/>
              <w:right w:w="28" w:type="dxa"/>
            </w:tcMar>
            <w:vAlign w:val="center"/>
          </w:tcPr>
          <w:p w14:paraId="1C6FB852">
            <w:pPr>
              <w:pStyle w:val="38"/>
              <w:spacing w:beforeLines="0" w:afterLines="0" w:line="240" w:lineRule="auto"/>
              <w:rPr>
                <w:rFonts w:hint="eastAsia" w:ascii="宋体" w:hAnsi="宋体" w:eastAsia="宋体" w:cs="宋体"/>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现有工程</w:t>
            </w:r>
          </w:p>
          <w:p w14:paraId="46C99895">
            <w:pPr>
              <w:pStyle w:val="38"/>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276" w:type="dxa"/>
            <w:tcMar>
              <w:left w:w="28" w:type="dxa"/>
              <w:right w:w="28" w:type="dxa"/>
            </w:tcMar>
            <w:vAlign w:val="center"/>
          </w:tcPr>
          <w:p w14:paraId="6D6BA0BC">
            <w:pPr>
              <w:pStyle w:val="38"/>
              <w:spacing w:beforeLines="0" w:afterLines="0" w:line="240" w:lineRule="auto"/>
              <w:rPr>
                <w:rFonts w:hint="default" w:ascii="宋体" w:hAnsi="宋体" w:eastAsia="宋体" w:cs="宋体"/>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现有工程</w:t>
            </w:r>
          </w:p>
          <w:p w14:paraId="5F207402">
            <w:pPr>
              <w:pStyle w:val="38"/>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许可排放量</w:t>
            </w:r>
          </w:p>
          <w:p w14:paraId="1B5AE6FE">
            <w:pPr>
              <w:pStyle w:val="38"/>
              <w:spacing w:beforeLines="0" w:afterLine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701" w:type="dxa"/>
            <w:tcMar>
              <w:left w:w="28" w:type="dxa"/>
              <w:right w:w="28" w:type="dxa"/>
            </w:tcMar>
            <w:vAlign w:val="center"/>
          </w:tcPr>
          <w:p w14:paraId="560A04EC">
            <w:pPr>
              <w:pStyle w:val="38"/>
              <w:spacing w:beforeLines="0" w:afterLines="0" w:line="240" w:lineRule="auto"/>
              <w:rPr>
                <w:rFonts w:hint="default" w:ascii="宋体" w:hAnsi="宋体" w:eastAsia="宋体" w:cs="宋体"/>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在建工程</w:t>
            </w:r>
          </w:p>
          <w:p w14:paraId="1C229CE2">
            <w:pPr>
              <w:pStyle w:val="38"/>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14:paraId="50BE56D4">
            <w:pPr>
              <w:pStyle w:val="38"/>
              <w:spacing w:beforeLines="0" w:afterLines="0" w:line="240" w:lineRule="auto"/>
              <w:rPr>
                <w:rFonts w:hint="default" w:ascii="宋体" w:hAnsi="宋体" w:eastAsia="宋体" w:cs="宋体"/>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本项目</w:t>
            </w:r>
          </w:p>
          <w:p w14:paraId="3F261A1C">
            <w:pPr>
              <w:pStyle w:val="38"/>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497" w:type="dxa"/>
            <w:tcMar>
              <w:left w:w="28" w:type="dxa"/>
              <w:right w:w="28" w:type="dxa"/>
            </w:tcMar>
            <w:vAlign w:val="center"/>
          </w:tcPr>
          <w:p w14:paraId="5ACA858B">
            <w:pPr>
              <w:pStyle w:val="38"/>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宋体" w:hAnsi="宋体" w:eastAsia="宋体" w:cs="宋体"/>
                <w:snapToGrid w:val="0"/>
                <w:color w:val="auto"/>
                <w:spacing w:val="-6"/>
                <w:kern w:val="21"/>
                <w:sz w:val="21"/>
                <w:szCs w:val="21"/>
                <w:highlight w:val="none"/>
              </w:rPr>
              <w:t>以新带老削减量（新建项目不填</w:t>
            </w:r>
            <w:r>
              <w:rPr>
                <w:rFonts w:hint="eastAsia" w:ascii="宋体" w:hAnsi="宋体" w:eastAsia="宋体" w:cs="宋体"/>
                <w:snapToGrid w:val="0"/>
                <w:color w:val="auto"/>
                <w:spacing w:val="-16"/>
                <w:kern w:val="21"/>
                <w:sz w:val="21"/>
                <w:szCs w:val="21"/>
                <w:highlight w:val="none"/>
              </w:rPr>
              <w:t>）</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792" w:type="dxa"/>
            <w:tcMar>
              <w:left w:w="28" w:type="dxa"/>
              <w:right w:w="28" w:type="dxa"/>
            </w:tcMar>
            <w:vAlign w:val="center"/>
          </w:tcPr>
          <w:p w14:paraId="161F7D1C">
            <w:pPr>
              <w:pStyle w:val="38"/>
              <w:spacing w:beforeLines="0" w:afterLines="0" w:line="240" w:lineRule="auto"/>
              <w:rPr>
                <w:rFonts w:hint="default" w:ascii="宋体" w:hAnsi="宋体" w:eastAsia="宋体" w:cs="宋体"/>
                <w:snapToGrid w:val="0"/>
                <w:color w:val="auto"/>
                <w:spacing w:val="-16"/>
                <w:kern w:val="21"/>
                <w:sz w:val="21"/>
                <w:szCs w:val="21"/>
                <w:highlight w:val="none"/>
              </w:rPr>
            </w:pPr>
            <w:r>
              <w:rPr>
                <w:rFonts w:hint="default" w:ascii="宋体" w:hAnsi="宋体" w:eastAsia="宋体" w:cs="宋体"/>
                <w:snapToGrid w:val="0"/>
                <w:color w:val="auto"/>
                <w:spacing w:val="-16"/>
                <w:kern w:val="21"/>
                <w:sz w:val="21"/>
                <w:szCs w:val="21"/>
                <w:highlight w:val="none"/>
              </w:rPr>
              <w:t>本项目建成后</w:t>
            </w:r>
          </w:p>
          <w:p w14:paraId="424EC400">
            <w:pPr>
              <w:pStyle w:val="38"/>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宋体" w:hAnsi="宋体" w:eastAsia="宋体" w:cs="宋体"/>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433" w:type="dxa"/>
            <w:tcMar>
              <w:left w:w="28" w:type="dxa"/>
              <w:right w:w="28" w:type="dxa"/>
            </w:tcMar>
            <w:vAlign w:val="center"/>
          </w:tcPr>
          <w:p w14:paraId="1A93B41E">
            <w:pPr>
              <w:pStyle w:val="38"/>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宋体" w:hAnsi="宋体" w:eastAsia="宋体" w:cs="宋体"/>
                <w:snapToGrid w:val="0"/>
                <w:color w:val="auto"/>
                <w:spacing w:val="-16"/>
                <w:kern w:val="21"/>
                <w:sz w:val="21"/>
                <w:szCs w:val="21"/>
                <w:highlight w:val="none"/>
              </w:rPr>
              <w:t>变化量</w:t>
            </w:r>
          </w:p>
          <w:p w14:paraId="68873669">
            <w:pPr>
              <w:pStyle w:val="38"/>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14:paraId="5CF2BA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Align w:val="center"/>
          </w:tcPr>
          <w:p w14:paraId="770B4C2E">
            <w:pPr>
              <w:pStyle w:val="38"/>
              <w:spacing w:beforeLines="0" w:afterLines="0" w:line="240" w:lineRule="auto"/>
              <w:rPr>
                <w:rFonts w:hint="eastAsia" w:ascii="宋体" w:hAnsi="宋体" w:eastAsia="宋体" w:cs="宋体"/>
                <w:snapToGrid w:val="0"/>
                <w:color w:val="auto"/>
                <w:kern w:val="21"/>
                <w:sz w:val="21"/>
                <w:szCs w:val="21"/>
                <w:highlight w:val="none"/>
              </w:rPr>
            </w:pPr>
            <w:r>
              <w:rPr>
                <w:rFonts w:hint="eastAsia" w:ascii="宋体" w:hAnsi="宋体" w:eastAsia="宋体" w:cs="宋体"/>
                <w:snapToGrid w:val="0"/>
                <w:color w:val="auto"/>
                <w:kern w:val="21"/>
                <w:sz w:val="21"/>
                <w:szCs w:val="21"/>
                <w:highlight w:val="none"/>
              </w:rPr>
              <w:t>废气</w:t>
            </w:r>
          </w:p>
        </w:tc>
        <w:tc>
          <w:tcPr>
            <w:tcW w:w="1996" w:type="dxa"/>
            <w:vAlign w:val="center"/>
          </w:tcPr>
          <w:p w14:paraId="3BF70ED5">
            <w:pPr>
              <w:jc w:val="center"/>
              <w:rPr>
                <w:rFonts w:hint="eastAsia" w:ascii="宋体" w:hAnsi="宋体" w:eastAsia="宋体" w:cs="宋体"/>
                <w:snapToGrid w:val="0"/>
                <w:color w:val="auto"/>
                <w:kern w:val="21"/>
                <w:sz w:val="21"/>
                <w:szCs w:val="21"/>
                <w:highlight w:val="none"/>
              </w:rPr>
            </w:pPr>
            <w:r>
              <w:rPr>
                <w:rFonts w:hint="eastAsia" w:ascii="宋体" w:hAnsi="宋体" w:eastAsia="宋体" w:cs="宋体"/>
                <w:snapToGrid w:val="0"/>
                <w:color w:val="auto"/>
                <w:kern w:val="21"/>
                <w:sz w:val="21"/>
                <w:szCs w:val="21"/>
                <w:highlight w:val="none"/>
              </w:rPr>
              <w:t>颗粒物</w:t>
            </w:r>
          </w:p>
        </w:tc>
        <w:tc>
          <w:tcPr>
            <w:tcW w:w="1701" w:type="dxa"/>
            <w:vAlign w:val="center"/>
          </w:tcPr>
          <w:p w14:paraId="7F8D9725">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276" w:type="dxa"/>
            <w:vAlign w:val="center"/>
          </w:tcPr>
          <w:p w14:paraId="431A65BD">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701" w:type="dxa"/>
            <w:vAlign w:val="center"/>
          </w:tcPr>
          <w:p w14:paraId="05B7BBFA">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59" w:type="dxa"/>
            <w:vAlign w:val="center"/>
          </w:tcPr>
          <w:p w14:paraId="1D2BE7C5">
            <w:pPr>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10.72448</w:t>
            </w:r>
            <w:r>
              <w:rPr>
                <w:rFonts w:hint="default" w:ascii="Times New Roman" w:hAnsi="Times New Roman" w:cs="Times New Roman"/>
                <w:snapToGrid w:val="0"/>
                <w:color w:val="auto"/>
                <w:kern w:val="21"/>
                <w:sz w:val="21"/>
                <w:szCs w:val="21"/>
                <w:highlight w:val="none"/>
                <w:lang w:val="en-US" w:eastAsia="zh-CN"/>
              </w:rPr>
              <w:t>t/a</w:t>
            </w:r>
          </w:p>
        </w:tc>
        <w:tc>
          <w:tcPr>
            <w:tcW w:w="1497" w:type="dxa"/>
            <w:vAlign w:val="center"/>
          </w:tcPr>
          <w:p w14:paraId="039D8D77">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792" w:type="dxa"/>
            <w:shd w:val="clear" w:color="auto" w:fill="auto"/>
            <w:vAlign w:val="center"/>
          </w:tcPr>
          <w:p w14:paraId="6544DBC8">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10.72448</w:t>
            </w:r>
            <w:r>
              <w:rPr>
                <w:rFonts w:hint="default" w:ascii="Times New Roman" w:hAnsi="Times New Roman" w:cs="Times New Roman"/>
                <w:snapToGrid w:val="0"/>
                <w:color w:val="auto"/>
                <w:kern w:val="21"/>
                <w:sz w:val="21"/>
                <w:szCs w:val="21"/>
                <w:highlight w:val="none"/>
                <w:lang w:val="en-US" w:eastAsia="zh-CN"/>
              </w:rPr>
              <w:t>t/a</w:t>
            </w:r>
          </w:p>
        </w:tc>
        <w:tc>
          <w:tcPr>
            <w:tcW w:w="1433" w:type="dxa"/>
            <w:vAlign w:val="center"/>
          </w:tcPr>
          <w:p w14:paraId="255DE0D8">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lang w:val="en-US" w:eastAsia="zh-CN"/>
              </w:rPr>
              <w:t>+</w:t>
            </w:r>
            <w:r>
              <w:rPr>
                <w:rFonts w:hint="eastAsia" w:cs="Times New Roman"/>
                <w:snapToGrid w:val="0"/>
                <w:color w:val="auto"/>
                <w:kern w:val="21"/>
                <w:sz w:val="21"/>
                <w:szCs w:val="21"/>
                <w:highlight w:val="none"/>
                <w:lang w:val="en-US" w:eastAsia="zh-CN"/>
              </w:rPr>
              <w:t>10.72448</w:t>
            </w:r>
            <w:r>
              <w:rPr>
                <w:rFonts w:hint="default" w:ascii="Times New Roman" w:hAnsi="Times New Roman" w:cs="Times New Roman"/>
                <w:snapToGrid w:val="0"/>
                <w:color w:val="auto"/>
                <w:kern w:val="21"/>
                <w:sz w:val="21"/>
                <w:szCs w:val="21"/>
                <w:highlight w:val="none"/>
                <w:lang w:val="en-US" w:eastAsia="zh-CN"/>
              </w:rPr>
              <w:t>t/a</w:t>
            </w:r>
          </w:p>
        </w:tc>
      </w:tr>
      <w:tr w14:paraId="4AE08C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Align w:val="center"/>
          </w:tcPr>
          <w:p w14:paraId="3F058BB6">
            <w:pPr>
              <w:pStyle w:val="38"/>
              <w:spacing w:beforeLines="0" w:afterLines="0" w:line="240" w:lineRule="auto"/>
              <w:rPr>
                <w:rFonts w:hint="eastAsia" w:ascii="宋体" w:hAnsi="宋体" w:eastAsia="宋体" w:cs="宋体"/>
                <w:snapToGrid w:val="0"/>
                <w:color w:val="auto"/>
                <w:kern w:val="21"/>
                <w:sz w:val="21"/>
                <w:szCs w:val="21"/>
                <w:highlight w:val="none"/>
              </w:rPr>
            </w:pPr>
            <w:r>
              <w:rPr>
                <w:rFonts w:hint="eastAsia" w:ascii="宋体" w:hAnsi="宋体" w:eastAsia="宋体" w:cs="宋体"/>
                <w:snapToGrid w:val="0"/>
                <w:color w:val="auto"/>
                <w:kern w:val="21"/>
                <w:sz w:val="21"/>
                <w:szCs w:val="21"/>
                <w:highlight w:val="none"/>
              </w:rPr>
              <w:t>废水</w:t>
            </w:r>
          </w:p>
        </w:tc>
        <w:tc>
          <w:tcPr>
            <w:tcW w:w="1996" w:type="dxa"/>
            <w:vAlign w:val="center"/>
          </w:tcPr>
          <w:p w14:paraId="465090FB">
            <w:pPr>
              <w:jc w:val="center"/>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w:t>
            </w:r>
          </w:p>
        </w:tc>
        <w:tc>
          <w:tcPr>
            <w:tcW w:w="1701" w:type="dxa"/>
            <w:vAlign w:val="center"/>
          </w:tcPr>
          <w:p w14:paraId="322CE889">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276" w:type="dxa"/>
            <w:vAlign w:val="center"/>
          </w:tcPr>
          <w:p w14:paraId="56F69FF3">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701" w:type="dxa"/>
            <w:vAlign w:val="center"/>
          </w:tcPr>
          <w:p w14:paraId="1E77CC39">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559" w:type="dxa"/>
            <w:vAlign w:val="center"/>
          </w:tcPr>
          <w:p w14:paraId="23F2E203">
            <w:pPr>
              <w:jc w:val="center"/>
              <w:rPr>
                <w:rFonts w:hint="default" w:ascii="Times New Roman" w:hAnsi="Times New Roman" w:eastAsia="宋体" w:cs="Times New Roman"/>
                <w:snapToGrid w:val="0"/>
                <w:color w:val="auto"/>
                <w:kern w:val="21"/>
                <w:sz w:val="21"/>
                <w:szCs w:val="21"/>
                <w:highlight w:val="none"/>
                <w:lang w:val="en-US"/>
              </w:rPr>
            </w:pPr>
            <w:r>
              <w:rPr>
                <w:rFonts w:hint="default" w:ascii="Times New Roman" w:hAnsi="Times New Roman" w:cs="Times New Roman"/>
                <w:snapToGrid w:val="0"/>
                <w:color w:val="auto"/>
                <w:kern w:val="21"/>
                <w:sz w:val="21"/>
                <w:szCs w:val="21"/>
                <w:highlight w:val="none"/>
                <w:lang w:val="en-US" w:eastAsia="zh-CN"/>
              </w:rPr>
              <w:t>/</w:t>
            </w:r>
          </w:p>
        </w:tc>
        <w:tc>
          <w:tcPr>
            <w:tcW w:w="1497" w:type="dxa"/>
            <w:vAlign w:val="center"/>
          </w:tcPr>
          <w:p w14:paraId="7623683D">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792" w:type="dxa"/>
            <w:vAlign w:val="center"/>
          </w:tcPr>
          <w:p w14:paraId="0A628B4A">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lang w:val="en-US" w:eastAsia="zh-CN"/>
              </w:rPr>
              <w:t>/</w:t>
            </w:r>
          </w:p>
        </w:tc>
        <w:tc>
          <w:tcPr>
            <w:tcW w:w="1433" w:type="dxa"/>
            <w:vAlign w:val="center"/>
          </w:tcPr>
          <w:p w14:paraId="3DB96BE3">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lang w:val="en-US" w:eastAsia="zh-CN"/>
              </w:rPr>
              <w:t>/</w:t>
            </w:r>
          </w:p>
        </w:tc>
      </w:tr>
      <w:tr w14:paraId="19CAC3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Merge w:val="restart"/>
            <w:vAlign w:val="center"/>
          </w:tcPr>
          <w:p w14:paraId="118D4411">
            <w:pPr>
              <w:pStyle w:val="38"/>
              <w:spacing w:beforeLines="0" w:afterLines="0" w:line="240" w:lineRule="auto"/>
              <w:rPr>
                <w:rFonts w:hint="eastAsia" w:ascii="宋体" w:hAnsi="宋体" w:eastAsia="宋体" w:cs="宋体"/>
                <w:snapToGrid w:val="0"/>
                <w:color w:val="auto"/>
                <w:kern w:val="21"/>
                <w:sz w:val="21"/>
                <w:szCs w:val="21"/>
                <w:highlight w:val="none"/>
              </w:rPr>
            </w:pPr>
            <w:r>
              <w:rPr>
                <w:rFonts w:hint="eastAsia" w:ascii="宋体" w:hAnsi="宋体" w:eastAsia="宋体" w:cs="宋体"/>
                <w:snapToGrid w:val="0"/>
                <w:color w:val="auto"/>
                <w:kern w:val="21"/>
                <w:sz w:val="21"/>
                <w:szCs w:val="21"/>
                <w:highlight w:val="none"/>
              </w:rPr>
              <w:t>一般工业固体废物</w:t>
            </w:r>
          </w:p>
        </w:tc>
        <w:tc>
          <w:tcPr>
            <w:tcW w:w="1996" w:type="dxa"/>
            <w:vAlign w:val="center"/>
          </w:tcPr>
          <w:p w14:paraId="4031C7FB">
            <w:pPr>
              <w:jc w:val="center"/>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生活垃圾</w:t>
            </w:r>
          </w:p>
        </w:tc>
        <w:tc>
          <w:tcPr>
            <w:tcW w:w="1701" w:type="dxa"/>
            <w:vAlign w:val="center"/>
          </w:tcPr>
          <w:p w14:paraId="4D3903B9">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276" w:type="dxa"/>
            <w:vAlign w:val="center"/>
          </w:tcPr>
          <w:p w14:paraId="1C8FD532">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01" w:type="dxa"/>
            <w:vAlign w:val="center"/>
          </w:tcPr>
          <w:p w14:paraId="6DADD2B1">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559" w:type="dxa"/>
            <w:vAlign w:val="center"/>
          </w:tcPr>
          <w:p w14:paraId="1B7992F1">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w:t>
            </w:r>
            <w:r>
              <w:rPr>
                <w:rFonts w:hint="eastAsia" w:cs="Times New Roman"/>
                <w:snapToGrid w:val="0"/>
                <w:color w:val="auto"/>
                <w:kern w:val="21"/>
                <w:sz w:val="21"/>
                <w:szCs w:val="21"/>
                <w:highlight w:val="none"/>
                <w:lang w:val="en-US" w:eastAsia="zh-CN"/>
              </w:rPr>
              <w:t>6</w:t>
            </w:r>
            <w:r>
              <w:rPr>
                <w:rFonts w:hint="default" w:ascii="Times New Roman" w:hAnsi="Times New Roman" w:cs="Times New Roman"/>
                <w:snapToGrid w:val="0"/>
                <w:color w:val="auto"/>
                <w:kern w:val="21"/>
                <w:sz w:val="21"/>
                <w:szCs w:val="21"/>
                <w:highlight w:val="none"/>
                <w:lang w:val="en-US" w:eastAsia="zh-CN"/>
              </w:rPr>
              <w:t>t/a</w:t>
            </w:r>
          </w:p>
        </w:tc>
        <w:tc>
          <w:tcPr>
            <w:tcW w:w="1497" w:type="dxa"/>
            <w:vAlign w:val="center"/>
          </w:tcPr>
          <w:p w14:paraId="6F2C3942">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92" w:type="dxa"/>
            <w:vAlign w:val="center"/>
          </w:tcPr>
          <w:p w14:paraId="43D0D314">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w:t>
            </w:r>
            <w:r>
              <w:rPr>
                <w:rFonts w:hint="eastAsia" w:cs="Times New Roman"/>
                <w:snapToGrid w:val="0"/>
                <w:color w:val="auto"/>
                <w:kern w:val="21"/>
                <w:sz w:val="21"/>
                <w:szCs w:val="21"/>
                <w:highlight w:val="none"/>
                <w:lang w:val="en-US" w:eastAsia="zh-CN"/>
              </w:rPr>
              <w:t>6</w:t>
            </w:r>
            <w:r>
              <w:rPr>
                <w:rFonts w:hint="default" w:ascii="Times New Roman" w:hAnsi="Times New Roman" w:cs="Times New Roman"/>
                <w:snapToGrid w:val="0"/>
                <w:color w:val="auto"/>
                <w:kern w:val="21"/>
                <w:sz w:val="21"/>
                <w:szCs w:val="21"/>
                <w:highlight w:val="none"/>
                <w:lang w:val="en-US" w:eastAsia="zh-CN"/>
              </w:rPr>
              <w:t>t/a</w:t>
            </w:r>
          </w:p>
        </w:tc>
        <w:tc>
          <w:tcPr>
            <w:tcW w:w="1433" w:type="dxa"/>
            <w:vAlign w:val="center"/>
          </w:tcPr>
          <w:p w14:paraId="34815D51">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w:t>
            </w:r>
            <w:r>
              <w:rPr>
                <w:rFonts w:hint="eastAsia" w:cs="Times New Roman"/>
                <w:snapToGrid w:val="0"/>
                <w:color w:val="auto"/>
                <w:kern w:val="21"/>
                <w:sz w:val="21"/>
                <w:szCs w:val="21"/>
                <w:highlight w:val="none"/>
                <w:lang w:val="en-US" w:eastAsia="zh-CN"/>
              </w:rPr>
              <w:t>6</w:t>
            </w:r>
            <w:r>
              <w:rPr>
                <w:rFonts w:hint="default" w:ascii="Times New Roman" w:hAnsi="Times New Roman" w:cs="Times New Roman"/>
                <w:snapToGrid w:val="0"/>
                <w:color w:val="auto"/>
                <w:kern w:val="21"/>
                <w:sz w:val="21"/>
                <w:szCs w:val="21"/>
                <w:highlight w:val="none"/>
                <w:lang w:val="en-US" w:eastAsia="zh-CN"/>
              </w:rPr>
              <w:t>t/a</w:t>
            </w:r>
          </w:p>
        </w:tc>
      </w:tr>
      <w:tr w14:paraId="7A86B6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Merge w:val="continue"/>
            <w:vAlign w:val="center"/>
          </w:tcPr>
          <w:p w14:paraId="54D1C3DE">
            <w:pPr>
              <w:pStyle w:val="38"/>
              <w:spacing w:beforeLines="0" w:afterLines="0" w:line="240" w:lineRule="auto"/>
              <w:rPr>
                <w:rFonts w:hint="eastAsia" w:ascii="宋体" w:hAnsi="宋体" w:eastAsia="宋体" w:cs="宋体"/>
                <w:snapToGrid w:val="0"/>
                <w:color w:val="auto"/>
                <w:kern w:val="21"/>
                <w:sz w:val="21"/>
                <w:szCs w:val="21"/>
                <w:highlight w:val="none"/>
              </w:rPr>
            </w:pPr>
          </w:p>
        </w:tc>
        <w:tc>
          <w:tcPr>
            <w:tcW w:w="1996" w:type="dxa"/>
            <w:vAlign w:val="center"/>
          </w:tcPr>
          <w:p w14:paraId="4B9564B6">
            <w:pPr>
              <w:jc w:val="center"/>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收集池沉渣</w:t>
            </w:r>
          </w:p>
        </w:tc>
        <w:tc>
          <w:tcPr>
            <w:tcW w:w="1701" w:type="dxa"/>
            <w:vAlign w:val="center"/>
          </w:tcPr>
          <w:p w14:paraId="5EBEBAFA">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276" w:type="dxa"/>
            <w:vAlign w:val="center"/>
          </w:tcPr>
          <w:p w14:paraId="77ED4849">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01" w:type="dxa"/>
            <w:vAlign w:val="center"/>
          </w:tcPr>
          <w:p w14:paraId="201A0D6E">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559" w:type="dxa"/>
            <w:vAlign w:val="center"/>
          </w:tcPr>
          <w:p w14:paraId="1008B578">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0.6t/a</w:t>
            </w:r>
          </w:p>
        </w:tc>
        <w:tc>
          <w:tcPr>
            <w:tcW w:w="1497" w:type="dxa"/>
            <w:vAlign w:val="center"/>
          </w:tcPr>
          <w:p w14:paraId="09814C1C">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92" w:type="dxa"/>
            <w:vAlign w:val="center"/>
          </w:tcPr>
          <w:p w14:paraId="04A01629">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0.6t/a</w:t>
            </w:r>
          </w:p>
        </w:tc>
        <w:tc>
          <w:tcPr>
            <w:tcW w:w="1433" w:type="dxa"/>
            <w:vAlign w:val="center"/>
          </w:tcPr>
          <w:p w14:paraId="47EB5A6A">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+0.6t/a</w:t>
            </w:r>
          </w:p>
        </w:tc>
      </w:tr>
    </w:tbl>
    <w:p w14:paraId="7B6542C3">
      <w:pPr>
        <w:pStyle w:val="38"/>
        <w:spacing w:before="192" w:beforeLines="80" w:after="24"/>
        <w:jc w:val="left"/>
        <w:rPr>
          <w:rFonts w:hint="default" w:ascii="Times New Roman" w:hAnsi="Times New Roman" w:cs="Times New Roman"/>
          <w:color w:val="auto"/>
          <w:highlight w:val="none"/>
        </w:rPr>
        <w:sectPr>
          <w:footerReference r:id="rId7"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42EE0DE5">
      <w:pPr>
        <w:pStyle w:val="19"/>
        <w:ind w:firstLine="0" w:firstLineChars="0"/>
        <w:jc w:val="center"/>
        <w:rPr>
          <w:rFonts w:hint="default" w:ascii="Times New Roman" w:hAnsi="Times New Roman" w:eastAsia="黑体" w:cs="Times New Roman"/>
          <w:snapToGrid w:val="0"/>
          <w:color w:val="auto"/>
          <w:sz w:val="28"/>
          <w:szCs w:val="28"/>
          <w:highlight w:val="none"/>
        </w:rPr>
      </w:pPr>
      <w:r>
        <w:rPr>
          <w:rFonts w:hint="default" w:ascii="Times New Roman" w:hAnsi="Times New Roman" w:cs="Times New Roman"/>
          <w:color w:val="auto"/>
          <w:highlight w:val="none"/>
        </w:rPr>
        <w:drawing>
          <wp:anchor distT="0" distB="0" distL="114300" distR="114300" simplePos="0" relativeHeight="251664384" behindDoc="0" locked="0" layoutInCell="1" allowOverlap="1">
            <wp:simplePos x="0" y="0"/>
            <wp:positionH relativeFrom="column">
              <wp:posOffset>7829550</wp:posOffset>
            </wp:positionH>
            <wp:positionV relativeFrom="paragraph">
              <wp:posOffset>21590</wp:posOffset>
            </wp:positionV>
            <wp:extent cx="695325" cy="685800"/>
            <wp:effectExtent l="0" t="0" r="9525" b="0"/>
            <wp:wrapNone/>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30"/>
                    <a:stretch>
                      <a:fillRect/>
                    </a:stretch>
                  </pic:blipFill>
                  <pic:spPr>
                    <a:xfrm>
                      <a:off x="0" y="0"/>
                      <a:ext cx="695325" cy="685800"/>
                    </a:xfrm>
                    <a:prstGeom prst="rect">
                      <a:avLst/>
                    </a:prstGeom>
                    <a:noFill/>
                    <a:ln>
                      <a:noFill/>
                    </a:ln>
                  </pic:spPr>
                </pic:pic>
              </a:graphicData>
            </a:graphic>
          </wp:anchor>
        </w:drawing>
      </w:r>
      <w:r>
        <w:rPr>
          <w:rFonts w:hint="default" w:ascii="Times New Roman" w:hAnsi="Times New Roman" w:cs="Times New Roman"/>
          <w:color w:val="auto"/>
          <w:sz w:val="18"/>
        </w:rPr>
        <mc:AlternateContent>
          <mc:Choice Requires="wps">
            <w:drawing>
              <wp:anchor distT="0" distB="0" distL="114300" distR="114300" simplePos="0" relativeHeight="251682816" behindDoc="0" locked="0" layoutInCell="1" allowOverlap="1">
                <wp:simplePos x="0" y="0"/>
                <wp:positionH relativeFrom="column">
                  <wp:posOffset>5145405</wp:posOffset>
                </wp:positionH>
                <wp:positionV relativeFrom="paragraph">
                  <wp:posOffset>1417955</wp:posOffset>
                </wp:positionV>
                <wp:extent cx="876300" cy="283210"/>
                <wp:effectExtent l="6350" t="6350" r="6350" b="167640"/>
                <wp:wrapNone/>
                <wp:docPr id="30" name="矩形标注 30"/>
                <wp:cNvGraphicFramePr/>
                <a:graphic xmlns:a="http://schemas.openxmlformats.org/drawingml/2006/main">
                  <a:graphicData uri="http://schemas.microsoft.com/office/word/2010/wordprocessingShape">
                    <wps:wsp>
                      <wps:cNvSpPr/>
                      <wps:spPr>
                        <a:xfrm>
                          <a:off x="5485130" y="2521585"/>
                          <a:ext cx="876300" cy="283210"/>
                        </a:xfrm>
                        <a:prstGeom prst="wedgeRectCallout">
                          <a:avLst>
                            <a:gd name="adj1" fmla="val -47971"/>
                            <a:gd name="adj2" fmla="val 102075"/>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36B87BE">
                            <w:pPr>
                              <w:jc w:val="center"/>
                              <w:rPr>
                                <w:rFonts w:hint="default"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5.15pt;margin-top:111.65pt;height:22.3pt;width:69pt;z-index:251682816;v-text-anchor:middle;mso-width-relative:page;mso-height-relative:page;" filled="f" stroked="t" coordsize="21600,21600" o:gfxdata="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UBOFjdkAAAALAQAADwAAAAAAAAABACAAAAAi&#10;AAAAZHJzL2Rvd25yZXYueG1sUEsBAhQAFAAAAAgAh07iQFClWGK0AgAASAUAAA4AAAAAAAAAAQAg&#10;AAAAKAEAAGRycy9lMm9Eb2MueG1sUEsFBgAAAAAGAAYAWQEAAE4GAAAAAA==&#10;" adj="438,32848">
                <v:fill on="f" focussize="0,0"/>
                <v:stroke weight="1pt" color="#FFFFFF [3212]" miterlimit="8" joinstyle="miter"/>
                <v:imagedata o:title=""/>
                <o:lock v:ext="edit" aspectratio="f"/>
                <v:textbox>
                  <w:txbxContent>
                    <w:p w14:paraId="036B87BE">
                      <w:pPr>
                        <w:jc w:val="center"/>
                        <w:rPr>
                          <w:rFonts w:hint="default" w:eastAsia="宋体"/>
                          <w:lang w:val="en-US" w:eastAsia="zh-CN"/>
                        </w:rPr>
                      </w:pPr>
                      <w:r>
                        <w:rPr>
                          <w:rFonts w:hint="eastAsia"/>
                          <w:lang w:val="en-US" w:eastAsia="zh-CN"/>
                        </w:rPr>
                        <w:t>项目位置</w:t>
                      </w:r>
                    </w:p>
                  </w:txbxContent>
                </v:textbox>
              </v:shape>
            </w:pict>
          </mc:Fallback>
        </mc:AlternateContent>
      </w:r>
      <w:r>
        <w:rPr>
          <w:color w:val="auto"/>
        </w:rPr>
        <w:drawing>
          <wp:inline distT="0" distB="0" distL="114300" distR="114300">
            <wp:extent cx="8526145" cy="4721860"/>
            <wp:effectExtent l="0" t="0" r="8255" b="2540"/>
            <wp:docPr id="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
                    <pic:cNvPicPr>
                      <a:picLocks noChangeAspect="1"/>
                    </pic:cNvPicPr>
                  </pic:nvPicPr>
                  <pic:blipFill>
                    <a:blip r:embed="rId31"/>
                    <a:stretch>
                      <a:fillRect/>
                    </a:stretch>
                  </pic:blipFill>
                  <pic:spPr>
                    <a:xfrm>
                      <a:off x="0" y="0"/>
                      <a:ext cx="8526145" cy="4721860"/>
                    </a:xfrm>
                    <a:prstGeom prst="rect">
                      <a:avLst/>
                    </a:prstGeom>
                    <a:noFill/>
                    <a:ln>
                      <a:noFill/>
                    </a:ln>
                  </pic:spPr>
                </pic:pic>
              </a:graphicData>
            </a:graphic>
          </wp:inline>
        </w:drawing>
      </w:r>
    </w:p>
    <w:p w14:paraId="60932F5A">
      <w:pPr>
        <w:pStyle w:val="19"/>
        <w:ind w:firstLine="0" w:firstLineChars="0"/>
        <w:jc w:val="center"/>
        <w:rPr>
          <w:rFonts w:hint="default" w:ascii="Times New Roman" w:hAnsi="Times New Roman" w:cs="Times New Roman"/>
          <w:color w:val="auto"/>
        </w:rPr>
      </w:pPr>
      <w:r>
        <w:rPr>
          <w:rStyle w:val="58"/>
          <w:rFonts w:hint="eastAsia" w:ascii="宋体" w:hAnsi="宋体" w:eastAsia="宋体" w:cs="宋体"/>
          <w:b w:val="0"/>
          <w:bCs w:val="0"/>
          <w:color w:val="auto"/>
          <w:sz w:val="28"/>
          <w:szCs w:val="28"/>
        </w:rPr>
        <mc:AlternateContent>
          <mc:Choice Requires="wpg">
            <w:drawing>
              <wp:anchor distT="0" distB="0" distL="114300" distR="114300" simplePos="0" relativeHeight="251660288" behindDoc="0" locked="0" layoutInCell="1" allowOverlap="1">
                <wp:simplePos x="0" y="0"/>
                <wp:positionH relativeFrom="column">
                  <wp:posOffset>6509385</wp:posOffset>
                </wp:positionH>
                <wp:positionV relativeFrom="paragraph">
                  <wp:posOffset>4264660</wp:posOffset>
                </wp:positionV>
                <wp:extent cx="1361440" cy="904875"/>
                <wp:effectExtent l="4445" t="4445" r="5715" b="5080"/>
                <wp:wrapNone/>
                <wp:docPr id="24" name="Group 104"/>
                <wp:cNvGraphicFramePr/>
                <a:graphic xmlns:a="http://schemas.openxmlformats.org/drawingml/2006/main">
                  <a:graphicData uri="http://schemas.microsoft.com/office/word/2010/wordprocessingGroup">
                    <wpg:wgp>
                      <wpg:cNvGrpSpPr/>
                      <wpg:grpSpPr>
                        <a:xfrm>
                          <a:off x="0" y="0"/>
                          <a:ext cx="1361494" cy="904875"/>
                          <a:chOff x="11475" y="8370"/>
                          <a:chExt cx="2159" cy="1425"/>
                        </a:xfrm>
                      </wpg:grpSpPr>
                      <wps:wsp>
                        <wps:cNvPr id="25" name="Rectangle 98"/>
                        <wps:cNvSpPr>
                          <a:spLocks noChangeArrowheads="1"/>
                        </wps:cNvSpPr>
                        <wps:spPr bwMode="auto">
                          <a:xfrm>
                            <a:off x="11475" y="8370"/>
                            <a:ext cx="2130" cy="142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26" name="Text Box 99"/>
                        <wps:cNvSpPr txBox="1">
                          <a:spLocks noChangeArrowheads="1"/>
                        </wps:cNvSpPr>
                        <wps:spPr bwMode="auto">
                          <a:xfrm>
                            <a:off x="12122" y="8531"/>
                            <a:ext cx="1169" cy="435"/>
                          </a:xfrm>
                          <a:prstGeom prst="rect">
                            <a:avLst/>
                          </a:prstGeom>
                          <a:noFill/>
                          <a:ln>
                            <a:noFill/>
                          </a:ln>
                        </wps:spPr>
                        <wps:txbx>
                          <w:txbxContent>
                            <w:p w14:paraId="18FA3EF3">
                              <w:pPr>
                                <w:rPr>
                                  <w:b/>
                                  <w:bCs/>
                                </w:rPr>
                              </w:pPr>
                              <w:r>
                                <w:rPr>
                                  <w:rFonts w:hint="eastAsia"/>
                                  <w:b/>
                                  <w:bCs/>
                                </w:rPr>
                                <w:t xml:space="preserve">图 </w:t>
                              </w:r>
                              <w:r>
                                <w:rPr>
                                  <w:b/>
                                  <w:bCs/>
                                </w:rPr>
                                <w:t xml:space="preserve"> </w:t>
                              </w:r>
                              <w:r>
                                <w:rPr>
                                  <w:rFonts w:hint="eastAsia"/>
                                  <w:b/>
                                  <w:bCs/>
                                </w:rPr>
                                <w:t>例</w:t>
                              </w:r>
                            </w:p>
                          </w:txbxContent>
                        </wps:txbx>
                        <wps:bodyPr rot="0" vert="horz" wrap="square" lIns="91440" tIns="45720" rIns="91440" bIns="45720" anchor="t" anchorCtr="0" upright="1">
                          <a:noAutofit/>
                        </wps:bodyPr>
                      </wps:wsp>
                      <wps:wsp>
                        <wps:cNvPr id="27" name="Text Box 100"/>
                        <wps:cNvSpPr txBox="1">
                          <a:spLocks noChangeArrowheads="1"/>
                        </wps:cNvSpPr>
                        <wps:spPr bwMode="auto">
                          <a:xfrm>
                            <a:off x="12239" y="9120"/>
                            <a:ext cx="1395" cy="435"/>
                          </a:xfrm>
                          <a:prstGeom prst="rect">
                            <a:avLst/>
                          </a:prstGeom>
                          <a:noFill/>
                          <a:ln>
                            <a:noFill/>
                          </a:ln>
                        </wps:spPr>
                        <wps:txbx>
                          <w:txbxContent>
                            <w:p w14:paraId="5D370A98">
                              <w:pPr>
                                <w:rPr>
                                  <w:b/>
                                  <w:bCs/>
                                </w:rPr>
                              </w:pPr>
                              <w:r>
                                <w:rPr>
                                  <w:rFonts w:hint="eastAsia"/>
                                  <w:b/>
                                  <w:bCs/>
                                </w:rPr>
                                <w:t>本项目位置</w:t>
                              </w:r>
                            </w:p>
                          </w:txbxContent>
                        </wps:txbx>
                        <wps:bodyPr rot="0" vert="horz" wrap="square" lIns="91440" tIns="45720" rIns="91440" bIns="45720" anchor="t" anchorCtr="0" upright="1">
                          <a:noAutofit/>
                        </wps:bodyPr>
                      </wps:wsp>
                      <wps:wsp>
                        <wps:cNvPr id="28" name="AutoShape 102"/>
                        <wps:cNvSpPr>
                          <a:spLocks noChangeArrowheads="1"/>
                        </wps:cNvSpPr>
                        <wps:spPr bwMode="auto">
                          <a:xfrm>
                            <a:off x="11970" y="9120"/>
                            <a:ext cx="360" cy="405"/>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wpg:wgp>
                  </a:graphicData>
                </a:graphic>
              </wp:anchor>
            </w:drawing>
          </mc:Choice>
          <mc:Fallback>
            <w:pict>
              <v:group id="Group 104" o:spid="_x0000_s1026" o:spt="203" style="position:absolute;left:0pt;margin-left:512.55pt;margin-top:335.8pt;height:71.25pt;width:107.2pt;z-index:251660288;mso-width-relative:page;mso-height-relative:page;" coordorigin="11475,8370" coordsize="2159,1425" o:gfxdata="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BisdNl3AAAAA0BAAAPAAAAAAAAAAEAIAAAACIAAABkcnMvZG93bnJldi54bWxQ&#10;SwECFAAUAAAACACHTuJA/gKCcUkDAAC0DAAADgAAAAAAAAABACAAAAArAQAAZHJzL2Uyb0RvYy54&#10;bWxQSwUGAAAAAAYABgBZAQAA5gYAAAAA&#10;">
                <o:lock v:ext="edit" aspectratio="f"/>
                <v:rect id="Rectangle 98" o:spid="_x0000_s1026" o:spt="1" style="position:absolute;left:11475;top:8370;height:1425;width:2130;" fillcolor="#FFFFFF" filled="t" stroked="t" coordsize="21600,21600" o:gfxdata="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h3e0vQAA&#10;ANs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rect>
                <v:shape id="Text Box 99" o:spid="_x0000_s1026" o:spt="202" type="#_x0000_t202" style="position:absolute;left:12122;top:8531;height:435;width:1169;" filled="f" stroked="f" coordsize="21600,21600" o:gfxdata="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enGk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8FA3EF3">
                        <w:pPr>
                          <w:rPr>
                            <w:b/>
                            <w:bCs/>
                          </w:rPr>
                        </w:pPr>
                        <w:r>
                          <w:rPr>
                            <w:rFonts w:hint="eastAsia"/>
                            <w:b/>
                            <w:bCs/>
                          </w:rPr>
                          <w:t xml:space="preserve">图 </w:t>
                        </w:r>
                        <w:r>
                          <w:rPr>
                            <w:b/>
                            <w:bCs/>
                          </w:rPr>
                          <w:t xml:space="preserve"> </w:t>
                        </w:r>
                        <w:r>
                          <w:rPr>
                            <w:rFonts w:hint="eastAsia"/>
                            <w:b/>
                            <w:bCs/>
                          </w:rPr>
                          <w:t>例</w:t>
                        </w:r>
                      </w:p>
                    </w:txbxContent>
                  </v:textbox>
                </v:shape>
                <v:shape id="Text Box 100" o:spid="_x0000_s1026" o:spt="202" type="#_x0000_t202" style="position:absolute;left:12239;top:9120;height:435;width:1395;" filled="f" stroked="f" coordsize="21600,21600" o:gfxdata="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NtQ/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5D370A98">
                        <w:pPr>
                          <w:rPr>
                            <w:b/>
                            <w:bCs/>
                          </w:rPr>
                        </w:pPr>
                        <w:r>
                          <w:rPr>
                            <w:rFonts w:hint="eastAsia"/>
                            <w:b/>
                            <w:bCs/>
                          </w:rPr>
                          <w:t>本项目位置</w:t>
                        </w:r>
                      </w:p>
                    </w:txbxContent>
                  </v:textbox>
                </v:shape>
                <v:shape id="AutoShape 102" o:spid="_x0000_s1026" style="position:absolute;left:11970;top:9120;height:405;width:360;" fillcolor="#FF0000" filled="t" stroked="t" coordsize="360,405" o:gfxdata="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z0PjLtwAAANsAAAAP&#10;AAAAAAAAAAEAIAAAACIAAABkcnMvZG93bnJldi54bWxQSwECFAAUAAAACACHTuJAMy8FnjsAAAA5&#10;AAAAEAAAAAAAAAABACAAAAAGAQAAZHJzL3NoYXBleG1sLnhtbFBLBQYAAAAABgAGAFsBAACwAwAA&#10;AAA=&#10;" path="m0,154l137,154,180,0,222,154,359,154,248,250,291,404,180,309,68,404,111,250xe">
                  <v:path o:connectlocs="180,0;0,154;68,404;291,404;359,154" o:connectangles="247,164,82,82,0"/>
                  <v:fill on="t" focussize="0,0"/>
                  <v:stroke color="#000000" miterlimit="8" joinstyle="miter"/>
                  <v:imagedata o:title=""/>
                  <o:lock v:ext="edit" aspectratio="f"/>
                </v:shape>
              </v:group>
            </w:pict>
          </mc:Fallback>
        </mc:AlternateContent>
      </w:r>
      <w:r>
        <w:rPr>
          <w:rStyle w:val="58"/>
          <w:rFonts w:hint="eastAsia" w:ascii="宋体" w:hAnsi="宋体" w:eastAsia="宋体" w:cs="宋体"/>
          <w:b w:val="0"/>
          <w:bCs w:val="0"/>
          <w:color w:val="auto"/>
          <w:sz w:val="28"/>
          <w:szCs w:val="28"/>
        </w:rPr>
        <mc:AlternateContent>
          <mc:Choice Requires="wps">
            <w:drawing>
              <wp:anchor distT="0" distB="0" distL="114300" distR="114300" simplePos="0" relativeHeight="251659264" behindDoc="0" locked="0" layoutInCell="1" allowOverlap="1">
                <wp:simplePos x="0" y="0"/>
                <wp:positionH relativeFrom="column">
                  <wp:posOffset>4745990</wp:posOffset>
                </wp:positionH>
                <wp:positionV relativeFrom="paragraph">
                  <wp:posOffset>2204085</wp:posOffset>
                </wp:positionV>
                <wp:extent cx="248285" cy="212725"/>
                <wp:effectExtent l="15875" t="13970" r="21590" b="20955"/>
                <wp:wrapNone/>
                <wp:docPr id="23" name="AutoShape 101"/>
                <wp:cNvGraphicFramePr/>
                <a:graphic xmlns:a="http://schemas.openxmlformats.org/drawingml/2006/main">
                  <a:graphicData uri="http://schemas.microsoft.com/office/word/2010/wordprocessingShape">
                    <wps:wsp>
                      <wps:cNvSpPr>
                        <a:spLocks noChangeArrowheads="1"/>
                      </wps:cNvSpPr>
                      <wps:spPr bwMode="auto">
                        <a:xfrm>
                          <a:off x="0" y="0"/>
                          <a:ext cx="248285" cy="212725"/>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01" o:spid="_x0000_s1026" style="position:absolute;left:0pt;margin-left:373.7pt;margin-top:173.55pt;height:16.75pt;width:19.55pt;z-index:251659264;mso-width-relative:page;mso-height-relative:page;" fillcolor="#FF0000" filled="t" stroked="t" coordsize="248285,212725" o:gfxdata="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Wj3v2wAAAAsBAAAPAAAAAAAAAAEAIAAAACIAAABkcnMvZG93bnJldi54bWxQSwECFAAUAAAA&#10;CACHTuJAJ6+JKCQCAAB1BAAADgAAAAAAAAABACAAAAAqAQAAZHJzL2Uyb0RvYy54bWxQSwUGAAAA&#10;AAYABgBZAQAAwAUAAAAA&#10;" path="m0,81253l94836,81254,124142,0,153448,81254,248284,81253,171559,131470,200866,212724,124142,162506,47418,212724,76725,131470xe">
                <v:path o:connectlocs="124142,0;0,81253;47418,212724;200866,212724;248284,81253" o:connectangles="247,164,82,82,0"/>
                <v:fill on="t" focussize="0,0"/>
                <v:stroke color="#000000" miterlimit="8" joinstyle="miter"/>
                <v:imagedata o:title=""/>
                <o:lock v:ext="edit" aspectratio="f"/>
              </v:shape>
            </w:pict>
          </mc:Fallback>
        </mc:AlternateContent>
      </w:r>
      <w:bookmarkStart w:id="61" w:name="_Toc3209"/>
      <w:bookmarkStart w:id="62" w:name="_Toc13308"/>
      <w:bookmarkStart w:id="63" w:name="_Toc24633"/>
      <w:r>
        <w:rPr>
          <w:rStyle w:val="58"/>
          <w:rFonts w:hint="eastAsia" w:ascii="宋体" w:hAnsi="宋体" w:eastAsia="宋体" w:cs="宋体"/>
          <w:b w:val="0"/>
          <w:bCs w:val="0"/>
          <w:color w:val="auto"/>
          <w:sz w:val="28"/>
          <w:szCs w:val="28"/>
        </w:rPr>
        <w:t>附图</w:t>
      </w:r>
      <w:r>
        <w:rPr>
          <w:rStyle w:val="58"/>
          <w:rFonts w:hint="default" w:ascii="Times New Roman" w:hAnsi="Times New Roman" w:cs="Times New Roman"/>
          <w:b w:val="0"/>
          <w:bCs w:val="0"/>
          <w:color w:val="auto"/>
          <w:sz w:val="28"/>
          <w:szCs w:val="28"/>
        </w:rPr>
        <w:t>1</w:t>
      </w:r>
      <w:r>
        <w:rPr>
          <w:rStyle w:val="58"/>
          <w:rFonts w:hint="eastAsia" w:ascii="宋体" w:hAnsi="宋体" w:eastAsia="宋体" w:cs="宋体"/>
          <w:b w:val="0"/>
          <w:bCs w:val="0"/>
          <w:color w:val="auto"/>
          <w:sz w:val="28"/>
          <w:szCs w:val="28"/>
        </w:rPr>
        <w:t>项目地理位置图</w:t>
      </w:r>
      <w:bookmarkEnd w:id="61"/>
      <w:bookmarkEnd w:id="62"/>
      <w:r>
        <w:rPr>
          <w:rFonts w:hint="default" w:ascii="Times New Roman" w:hAnsi="Times New Roman" w:cs="Times New Roman"/>
          <w:color w:val="auto"/>
          <w:sz w:val="21"/>
        </w:rPr>
        <mc:AlternateContent>
          <mc:Choice Requires="wps">
            <w:drawing>
              <wp:anchor distT="0" distB="0" distL="114300" distR="114300" simplePos="0" relativeHeight="251668480" behindDoc="0" locked="0" layoutInCell="1" allowOverlap="1">
                <wp:simplePos x="0" y="0"/>
                <wp:positionH relativeFrom="column">
                  <wp:posOffset>-7654290</wp:posOffset>
                </wp:positionH>
                <wp:positionV relativeFrom="paragraph">
                  <wp:posOffset>1814830</wp:posOffset>
                </wp:positionV>
                <wp:extent cx="1174750" cy="304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17475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FA7B4A">
                            <w:pP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2.7pt;margin-top:142.9pt;height:24pt;width:92.5pt;z-index:251668480;mso-width-relative:page;mso-height-relative:page;" filled="f" stroked="f" coordsize="21600,21600" o:gfxdata="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VauzP3gAAAA8BAAAPAAAAAAAAAAEAIAAAACIA&#10;AABkcnMvZG93bnJldi54bWxQSwECFAAUAAAACACHTuJAjNWQwDwCAABoBAAADgAAAAAAAAABACAA&#10;AAAtAQAAZHJzL2Uyb0RvYy54bWxQSwUGAAAAAAYABgBZAQAA2wUAAAAA&#10;">
                <v:fill on="f" focussize="0,0"/>
                <v:stroke on="f" weight="0.5pt"/>
                <v:imagedata o:title=""/>
                <o:lock v:ext="edit" aspectratio="f"/>
                <v:textbox>
                  <w:txbxContent>
                    <w:p w14:paraId="17FA7B4A">
                      <w:pPr>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67456" behindDoc="0" locked="0" layoutInCell="1" allowOverlap="1">
                <wp:simplePos x="0" y="0"/>
                <wp:positionH relativeFrom="column">
                  <wp:posOffset>-7268845</wp:posOffset>
                </wp:positionH>
                <wp:positionV relativeFrom="paragraph">
                  <wp:posOffset>2131060</wp:posOffset>
                </wp:positionV>
                <wp:extent cx="127000" cy="104140"/>
                <wp:effectExtent l="16510" t="13335" r="27940" b="15875"/>
                <wp:wrapNone/>
                <wp:docPr id="36" name="五角星 36"/>
                <wp:cNvGraphicFramePr/>
                <a:graphic xmlns:a="http://schemas.openxmlformats.org/drawingml/2006/main">
                  <a:graphicData uri="http://schemas.microsoft.com/office/word/2010/wordprocessingShape">
                    <wps:wsp>
                      <wps:cNvSpPr/>
                      <wps:spPr>
                        <a:xfrm>
                          <a:off x="0" y="0"/>
                          <a:ext cx="127000" cy="104140"/>
                        </a:xfrm>
                        <a:prstGeom prst="star5">
                          <a:avLst>
                            <a:gd name="adj" fmla="val 19114"/>
                            <a:gd name="hf" fmla="val 105146"/>
                            <a:gd name="vf" fmla="val 110557"/>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572.35pt;margin-top:167.8pt;height:8.2pt;width:10pt;z-index:251667456;mso-width-relative:page;mso-height-relative:page;" fillcolor="#FF0000" filled="t" stroked="t" coordsize="127000,104140" o:gfxdata="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Tq+ym3QAAAA8BAAAPAAAAAAAAAAEAIAAAACIAAABkcnMvZG93&#10;bnJldi54bWxQSwECFAAUAAAACACHTuJAnxhODjQCAACVBAAADgAAAAAAAAABACAAAAAsAQAAZHJz&#10;L2Uyb0RvYy54bWxQSwUGAAAAAAYABgBZAQAA0gUAAAAA&#10;" path="m0,39777l48497,39763,63500,0,78502,39763,126999,39777,87774,64367,102745,104139,63500,79573,24254,104139,39225,64367xe">
                <v:path o:connectlocs="63500,0;0,39777;24254,104139;102745,104139;126999,39777" o:connectangles="247,164,82,82,0"/>
                <v:fill on="t" focussize="0,0"/>
                <v:stroke color="#000000" joinstyle="miter"/>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66432" behindDoc="0" locked="0" layoutInCell="1" allowOverlap="1">
                <wp:simplePos x="0" y="0"/>
                <wp:positionH relativeFrom="column">
                  <wp:posOffset>-7798435</wp:posOffset>
                </wp:positionH>
                <wp:positionV relativeFrom="page">
                  <wp:posOffset>2472055</wp:posOffset>
                </wp:positionV>
                <wp:extent cx="1689100" cy="1304290"/>
                <wp:effectExtent l="4445" t="4445" r="20955" b="786765"/>
                <wp:wrapNone/>
                <wp:docPr id="19" name="圆角矩形标注 19"/>
                <wp:cNvGraphicFramePr/>
                <a:graphic xmlns:a="http://schemas.openxmlformats.org/drawingml/2006/main">
                  <a:graphicData uri="http://schemas.microsoft.com/office/word/2010/wordprocessingShape">
                    <wps:wsp>
                      <wps:cNvSpPr/>
                      <wps:spPr>
                        <a:xfrm>
                          <a:off x="0" y="0"/>
                          <a:ext cx="1689100" cy="1304290"/>
                        </a:xfrm>
                        <a:prstGeom prst="wedgeRoundRectCallout">
                          <a:avLst>
                            <a:gd name="adj1" fmla="val -10714"/>
                            <a:gd name="adj2" fmla="val 10871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77DF6785">
                            <w:r>
                              <w:drawing>
                                <wp:inline distT="0" distB="0" distL="114300" distR="114300">
                                  <wp:extent cx="1330960" cy="1094740"/>
                                  <wp:effectExtent l="0" t="0" r="2540" b="1016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32"/>
                                          <a:stretch>
                                            <a:fillRect/>
                                          </a:stretch>
                                        </pic:blipFill>
                                        <pic:spPr>
                                          <a:xfrm>
                                            <a:off x="0" y="0"/>
                                            <a:ext cx="1330960" cy="109474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62" type="#_x0000_t62" style="position:absolute;left:0pt;margin-left:-614.05pt;margin-top:194.65pt;height:102.7pt;width:133pt;mso-position-vertical-relative:page;z-index:251666432;mso-width-relative:page;mso-height-relative:page;" fillcolor="#FFFFFF" filled="t" stroked="t" coordsize="21600,21600" o:gfxdata="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CWvdndAAAA&#10;DgEAAA8AAAAAAAAAAQAgAAAAIgAAAGRycy9kb3ducmV2LnhtbFBLAQIUABQAAAAIAIdO4kAzQmVy&#10;UQIAAMAEAAAOAAAAAAAAAAEAIAAAACwBAABkcnMvZTJvRG9jLnhtbFBLBQYAAAAABgAGAFkBAADv&#10;BQAAAAA=&#10;" adj="8486,34282,14400">
                <v:fill on="t" focussize="0,0"/>
                <v:stroke color="#000000" joinstyle="miter"/>
                <v:imagedata o:title=""/>
                <o:lock v:ext="edit" aspectratio="f"/>
                <v:textbox>
                  <w:txbxContent>
                    <w:p w14:paraId="77DF6785">
                      <w:r>
                        <w:drawing>
                          <wp:inline distT="0" distB="0" distL="114300" distR="114300">
                            <wp:extent cx="1330960" cy="1094740"/>
                            <wp:effectExtent l="0" t="0" r="2540" b="1016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32"/>
                                    <a:stretch>
                                      <a:fillRect/>
                                    </a:stretch>
                                  </pic:blipFill>
                                  <pic:spPr>
                                    <a:xfrm>
                                      <a:off x="0" y="0"/>
                                      <a:ext cx="1330960" cy="1094740"/>
                                    </a:xfrm>
                                    <a:prstGeom prst="rect">
                                      <a:avLst/>
                                    </a:prstGeom>
                                    <a:noFill/>
                                    <a:ln>
                                      <a:noFill/>
                                    </a:ln>
                                  </pic:spPr>
                                </pic:pic>
                              </a:graphicData>
                            </a:graphic>
                          </wp:inline>
                        </w:drawing>
                      </w:r>
                    </w:p>
                  </w:txbxContent>
                </v:textbox>
              </v:shape>
            </w:pict>
          </mc:Fallback>
        </mc:AlternateContent>
      </w:r>
      <w:bookmarkEnd w:id="63"/>
    </w:p>
    <w:p w14:paraId="3C9262C6">
      <w:pPr>
        <w:pStyle w:val="19"/>
        <w:spacing w:line="240" w:lineRule="auto"/>
        <w:ind w:firstLine="0" w:firstLineChars="0"/>
        <w:jc w:val="both"/>
        <w:outlineLvl w:val="9"/>
        <w:rPr>
          <w:rFonts w:hint="default" w:ascii="Times New Roman" w:hAnsi="Times New Roman" w:eastAsia="黑体" w:cs="Times New Roman"/>
          <w:snapToGrid w:val="0"/>
          <w:color w:val="auto"/>
          <w:sz w:val="28"/>
          <w:szCs w:val="28"/>
          <w:highlight w:val="none"/>
          <w:lang w:val="en-US" w:eastAsia="zh-CN"/>
        </w:rPr>
      </w:pPr>
      <w:r>
        <w:rPr>
          <w:color w:val="auto"/>
          <w:sz w:val="18"/>
        </w:rPr>
        <mc:AlternateContent>
          <mc:Choice Requires="wps">
            <w:drawing>
              <wp:anchor distT="0" distB="0" distL="114300" distR="114300" simplePos="0" relativeHeight="251723776" behindDoc="0" locked="0" layoutInCell="1" allowOverlap="1">
                <wp:simplePos x="0" y="0"/>
                <wp:positionH relativeFrom="column">
                  <wp:posOffset>7218045</wp:posOffset>
                </wp:positionH>
                <wp:positionV relativeFrom="paragraph">
                  <wp:posOffset>4127500</wp:posOffset>
                </wp:positionV>
                <wp:extent cx="259715" cy="138430"/>
                <wp:effectExtent l="6350" t="6350" r="19685" b="7620"/>
                <wp:wrapNone/>
                <wp:docPr id="14" name="矩形 14"/>
                <wp:cNvGraphicFramePr/>
                <a:graphic xmlns:a="http://schemas.openxmlformats.org/drawingml/2006/main">
                  <a:graphicData uri="http://schemas.microsoft.com/office/word/2010/wordprocessingShape">
                    <wps:wsp>
                      <wps:cNvSpPr/>
                      <wps:spPr>
                        <a:xfrm>
                          <a:off x="8322945" y="5091430"/>
                          <a:ext cx="259715" cy="138430"/>
                        </a:xfrm>
                        <a:prstGeom prst="rect">
                          <a:avLst/>
                        </a:prstGeom>
                      </wps:spPr>
                      <wps:style>
                        <a:lnRef idx="2">
                          <a:schemeClr val="accent2"/>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8.35pt;margin-top:325pt;height:10.9pt;width:20.45pt;z-index:251723776;v-text-anchor:middle;mso-width-relative:page;mso-height-relative:page;" filled="f" stroked="t" coordsize="21600,21600" o:gfxdata="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&#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J3/EbPYAAAADQEAAA8AAAAAAAAAAQAgAAAAIgAAAGRy&#10;cy9kb3ducmV2LnhtbFBLAQIUABQAAAAIAIdO4kAUP9HCdwIAANgEAAAOAAAAAAAAAAEAIAAAACcB&#10;AABkcnMvZTJvRG9jLnhtbFBLBQYAAAAABgAGAFkBAAAQBgAAAAA=&#10;">
                <v:fill on="f" focussize="0,0"/>
                <v:stroke weight="1pt" color="#EE822F [3205]" miterlimit="8" joinstyle="miter"/>
                <v:imagedata o:title=""/>
                <o:lock v:ext="edit" aspectratio="f"/>
              </v:rect>
            </w:pict>
          </mc:Fallback>
        </mc:AlternateContent>
      </w:r>
      <w:r>
        <w:rPr>
          <w:rFonts w:hint="default" w:ascii="Times New Roman" w:hAnsi="Times New Roman" w:cs="Times New Roman"/>
          <w:color w:val="auto"/>
          <w:highlight w:val="none"/>
        </w:rPr>
        <w:drawing>
          <wp:anchor distT="0" distB="0" distL="114300" distR="114300" simplePos="0" relativeHeight="251670528" behindDoc="0" locked="0" layoutInCell="1" allowOverlap="1">
            <wp:simplePos x="0" y="0"/>
            <wp:positionH relativeFrom="column">
              <wp:posOffset>17145</wp:posOffset>
            </wp:positionH>
            <wp:positionV relativeFrom="paragraph">
              <wp:posOffset>20320</wp:posOffset>
            </wp:positionV>
            <wp:extent cx="695325" cy="685800"/>
            <wp:effectExtent l="0" t="0" r="3175" b="0"/>
            <wp:wrapNone/>
            <wp:docPr id="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
                    <pic:cNvPicPr>
                      <a:picLocks noChangeAspect="1"/>
                    </pic:cNvPicPr>
                  </pic:nvPicPr>
                  <pic:blipFill>
                    <a:blip r:embed="rId30"/>
                    <a:stretch>
                      <a:fillRect/>
                    </a:stretch>
                  </pic:blipFill>
                  <pic:spPr>
                    <a:xfrm>
                      <a:off x="0" y="0"/>
                      <a:ext cx="695325" cy="685800"/>
                    </a:xfrm>
                    <a:prstGeom prst="rect">
                      <a:avLst/>
                    </a:prstGeom>
                    <a:noFill/>
                    <a:ln>
                      <a:noFill/>
                    </a:ln>
                  </pic:spPr>
                </pic:pic>
              </a:graphicData>
            </a:graphic>
          </wp:anchor>
        </w:drawing>
      </w:r>
      <w:r>
        <w:rPr>
          <w:color w:val="auto"/>
          <w:sz w:val="18"/>
        </w:rPr>
        <mc:AlternateContent>
          <mc:Choice Requires="wps">
            <w:drawing>
              <wp:anchor distT="0" distB="0" distL="114300" distR="114300" simplePos="0" relativeHeight="251696128" behindDoc="0" locked="0" layoutInCell="1" allowOverlap="1">
                <wp:simplePos x="0" y="0"/>
                <wp:positionH relativeFrom="column">
                  <wp:posOffset>2891155</wp:posOffset>
                </wp:positionH>
                <wp:positionV relativeFrom="paragraph">
                  <wp:posOffset>2059305</wp:posOffset>
                </wp:positionV>
                <wp:extent cx="18415" cy="67945"/>
                <wp:effectExtent l="6350" t="1905" r="13335" b="6350"/>
                <wp:wrapNone/>
                <wp:docPr id="22" name="直接连接符 22"/>
                <wp:cNvGraphicFramePr/>
                <a:graphic xmlns:a="http://schemas.openxmlformats.org/drawingml/2006/main">
                  <a:graphicData uri="http://schemas.microsoft.com/office/word/2010/wordprocessingShape">
                    <wps:wsp>
                      <wps:cNvCnPr/>
                      <wps:spPr>
                        <a:xfrm flipH="1" flipV="1">
                          <a:off x="0" y="0"/>
                          <a:ext cx="18415" cy="67945"/>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27.65pt;margin-top:162.15pt;height:5.35pt;width:1.45pt;z-index:251696128;mso-width-relative:page;mso-height-relative:page;" filled="f" stroked="t" coordsize="21600,21600" o:gfxdata="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KjYKFNkAAAALAQAADwAAAAAAAAABACAAAAAiAAAAZHJzL2Rvd25yZXYu&#10;eG1sUEsBAhQAFAAAAAgAh07iQERpZov6AQAAyQMAAA4AAAAAAAAAAQAgAAAAKAEAAGRycy9lMm9E&#10;b2MueG1sUEsFBgAAAAAGAAYAWQEAAJQFAAAAAA==&#10;">
                <v:fill on="f" focussize="0,0"/>
                <v:stroke weight="1pt" color="#4874CB [3204]"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15584" behindDoc="0" locked="0" layoutInCell="1" allowOverlap="1">
                <wp:simplePos x="0" y="0"/>
                <wp:positionH relativeFrom="column">
                  <wp:posOffset>5780405</wp:posOffset>
                </wp:positionH>
                <wp:positionV relativeFrom="paragraph">
                  <wp:posOffset>2781300</wp:posOffset>
                </wp:positionV>
                <wp:extent cx="476250" cy="357505"/>
                <wp:effectExtent l="3810" t="5080" r="15240" b="18415"/>
                <wp:wrapNone/>
                <wp:docPr id="93" name="直接连接符 93"/>
                <wp:cNvGraphicFramePr/>
                <a:graphic xmlns:a="http://schemas.openxmlformats.org/drawingml/2006/main">
                  <a:graphicData uri="http://schemas.microsoft.com/office/word/2010/wordprocessingShape">
                    <wps:wsp>
                      <wps:cNvCnPr/>
                      <wps:spPr>
                        <a:xfrm flipH="1">
                          <a:off x="0" y="0"/>
                          <a:ext cx="476250" cy="357505"/>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55.15pt;margin-top:219pt;height:28.15pt;width:37.5pt;z-index:251715584;mso-width-relative:page;mso-height-relative:page;" filled="f" stroked="t" coordsize="21600,21600" o:gfxdata="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NGHkG2AAAAAsBAAAPAAAAAAAAAAEAIAAAACIAAABkcnMvZG93bnJldi54bWxQ&#10;SwECFAAUAAAACACHTuJAxb+Q7fcBAADBAwAADgAAAAAAAAABACAAAAAnAQAAZHJzL2Uyb0RvYy54&#10;bWxQSwUGAAAAAAYABgBZAQAAkAUAAAAA&#10;">
                <v:fill on="f" focussize="0,0"/>
                <v:stroke weight="1pt" color="#4874CB [3204]"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14560" behindDoc="0" locked="0" layoutInCell="1" allowOverlap="1">
                <wp:simplePos x="0" y="0"/>
                <wp:positionH relativeFrom="column">
                  <wp:posOffset>3718560</wp:posOffset>
                </wp:positionH>
                <wp:positionV relativeFrom="paragraph">
                  <wp:posOffset>3146425</wp:posOffset>
                </wp:positionV>
                <wp:extent cx="2070100" cy="898525"/>
                <wp:effectExtent l="2540" t="5715" r="3810" b="10160"/>
                <wp:wrapNone/>
                <wp:docPr id="88" name="直接连接符 88"/>
                <wp:cNvGraphicFramePr/>
                <a:graphic xmlns:a="http://schemas.openxmlformats.org/drawingml/2006/main">
                  <a:graphicData uri="http://schemas.microsoft.com/office/word/2010/wordprocessingShape">
                    <wps:wsp>
                      <wps:cNvCnPr/>
                      <wps:spPr>
                        <a:xfrm flipH="1">
                          <a:off x="0" y="0"/>
                          <a:ext cx="2070100" cy="898525"/>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92.8pt;margin-top:247.75pt;height:70.75pt;width:163pt;z-index:251714560;mso-width-relative:page;mso-height-relative:page;" filled="f" stroked="t" coordsize="21600,21600" o:gfxdata="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Q++AM2gAAAAsBAAAPAAAAAAAAAAEAIAAAACIAAABkcnMvZG93bnJldi54bWxQ&#10;SwECFAAUAAAACACHTuJA1KqNOfUBAADCAwAADgAAAAAAAAABACAAAAApAQAAZHJzL2Uyb0RvYy54&#10;bWxQSwUGAAAAAAYABgBZAQAAkAUAAAAA&#10;">
                <v:fill on="f" focussize="0,0"/>
                <v:stroke weight="1pt" color="#4874CB [3204]"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13536" behindDoc="0" locked="0" layoutInCell="1" allowOverlap="1">
                <wp:simplePos x="0" y="0"/>
                <wp:positionH relativeFrom="column">
                  <wp:posOffset>6233160</wp:posOffset>
                </wp:positionH>
                <wp:positionV relativeFrom="paragraph">
                  <wp:posOffset>2192655</wp:posOffset>
                </wp:positionV>
                <wp:extent cx="1299210" cy="588645"/>
                <wp:effectExtent l="2540" t="5715" r="12700" b="15240"/>
                <wp:wrapNone/>
                <wp:docPr id="87" name="直接连接符 87"/>
                <wp:cNvGraphicFramePr/>
                <a:graphic xmlns:a="http://schemas.openxmlformats.org/drawingml/2006/main">
                  <a:graphicData uri="http://schemas.microsoft.com/office/word/2010/wordprocessingShape">
                    <wps:wsp>
                      <wps:cNvCnPr/>
                      <wps:spPr>
                        <a:xfrm flipH="1">
                          <a:off x="0" y="0"/>
                          <a:ext cx="1299210" cy="588645"/>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90.8pt;margin-top:172.65pt;height:46.35pt;width:102.3pt;z-index:251713536;mso-width-relative:page;mso-height-relative:page;" filled="f" stroked="t" coordsize="21600,21600" o:gfxdata="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wAzIC2wAAAAwBAAAPAAAAAAAAAAEAIAAAACIAAABkcnMvZG93bnJldi54&#10;bWxQSwECFAAUAAAACACHTuJAQ2+eTPcBAADCAwAADgAAAAAAAAABACAAAAAqAQAAZHJzL2Uyb0Rv&#10;Yy54bWxQSwUGAAAAAAYABgBZAQAAkwUAAAAA&#10;">
                <v:fill on="f" focussize="0,0"/>
                <v:stroke weight="1pt" color="#4874CB [3204]"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12512" behindDoc="0" locked="0" layoutInCell="1" allowOverlap="1">
                <wp:simplePos x="0" y="0"/>
                <wp:positionH relativeFrom="column">
                  <wp:posOffset>7157720</wp:posOffset>
                </wp:positionH>
                <wp:positionV relativeFrom="paragraph">
                  <wp:posOffset>920750</wp:posOffset>
                </wp:positionV>
                <wp:extent cx="377190" cy="1273175"/>
                <wp:effectExtent l="6350" t="1905" r="16510" b="20320"/>
                <wp:wrapNone/>
                <wp:docPr id="86" name="直接连接符 86"/>
                <wp:cNvGraphicFramePr/>
                <a:graphic xmlns:a="http://schemas.openxmlformats.org/drawingml/2006/main">
                  <a:graphicData uri="http://schemas.microsoft.com/office/word/2010/wordprocessingShape">
                    <wps:wsp>
                      <wps:cNvCnPr/>
                      <wps:spPr>
                        <a:xfrm>
                          <a:off x="0" y="0"/>
                          <a:ext cx="377190" cy="1273175"/>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63.6pt;margin-top:72.5pt;height:100.25pt;width:29.7pt;z-index:251712512;mso-width-relative:page;mso-height-relative:page;" filled="f" stroked="t" coordsize="21600,21600" o:gfxdata="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FNr2SLZAAAADQEAAA8AAAAAAAAAAQAgAAAAIgAAAGRycy9kb3ducmV2LnhtbFBLAQIUABQA&#10;AAAIAIdO4kDTWNAZ7wEAALgDAAAOAAAAAAAAAAEAIAAAACgBAABkcnMvZTJvRG9jLnhtbFBLBQYA&#10;AAAABgAGAFkBAACJBQAAAAA=&#10;">
                <v:fill on="f" focussize="0,0"/>
                <v:stroke weight="1pt" color="#4874CB [3204]"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11488" behindDoc="0" locked="0" layoutInCell="1" allowOverlap="1">
                <wp:simplePos x="0" y="0"/>
                <wp:positionH relativeFrom="column">
                  <wp:posOffset>3287395</wp:posOffset>
                </wp:positionH>
                <wp:positionV relativeFrom="paragraph">
                  <wp:posOffset>916305</wp:posOffset>
                </wp:positionV>
                <wp:extent cx="3866515" cy="1215390"/>
                <wp:effectExtent l="1905" t="6350" r="17780" b="16510"/>
                <wp:wrapNone/>
                <wp:docPr id="84" name="直接连接符 84"/>
                <wp:cNvGraphicFramePr/>
                <a:graphic xmlns:a="http://schemas.openxmlformats.org/drawingml/2006/main">
                  <a:graphicData uri="http://schemas.microsoft.com/office/word/2010/wordprocessingShape">
                    <wps:wsp>
                      <wps:cNvCnPr/>
                      <wps:spPr>
                        <a:xfrm flipH="1">
                          <a:off x="0" y="0"/>
                          <a:ext cx="3866515" cy="1215390"/>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58.85pt;margin-top:72.15pt;height:95.7pt;width:304.45pt;z-index:251711488;mso-width-relative:page;mso-height-relative:page;" filled="f" stroked="t" coordsize="21600,21600" o:gfxdata="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wJKjV2wAAAAwBAAAPAAAAAAAAAAEAIAAAACIAAABkcnMvZG93bnJl&#10;di54bWxQSwECFAAUAAAACACHTuJAvALUIPoBAADDAwAADgAAAAAAAAABACAAAAAqAQAAZHJzL2Uy&#10;b0RvYy54bWxQSwUGAAAAAAYABgBZAQAAlgUAAAAA&#10;">
                <v:fill on="f" focussize="0,0"/>
                <v:stroke weight="1pt" color="#4874CB [3204]"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10464" behindDoc="0" locked="0" layoutInCell="1" allowOverlap="1">
                <wp:simplePos x="0" y="0"/>
                <wp:positionH relativeFrom="column">
                  <wp:posOffset>3211195</wp:posOffset>
                </wp:positionH>
                <wp:positionV relativeFrom="paragraph">
                  <wp:posOffset>2022475</wp:posOffset>
                </wp:positionV>
                <wp:extent cx="53340" cy="116205"/>
                <wp:effectExtent l="5715" t="2540" r="17145" b="14605"/>
                <wp:wrapNone/>
                <wp:docPr id="76" name="直接连接符 76"/>
                <wp:cNvGraphicFramePr/>
                <a:graphic xmlns:a="http://schemas.openxmlformats.org/drawingml/2006/main">
                  <a:graphicData uri="http://schemas.microsoft.com/office/word/2010/wordprocessingShape">
                    <wps:wsp>
                      <wps:cNvCnPr/>
                      <wps:spPr>
                        <a:xfrm>
                          <a:off x="0" y="0"/>
                          <a:ext cx="53340" cy="116205"/>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52.85pt;margin-top:159.25pt;height:9.15pt;width:4.2pt;z-index:251710464;mso-width-relative:page;mso-height-relative:page;" filled="f" stroked="t" coordsize="21600,21600" o:gfxdata="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RjAxIdkAAAALAQAADwAAAAAAAAABACAAAAAiAAAAZHJzL2Rvd25yZXYueG1sUEsBAhQAFAAA&#10;AAgAh07iQCiL+9vuAQAAtgMAAA4AAAAAAAAAAQAgAAAAKAEAAGRycy9lMm9Eb2MueG1sUEsFBgAA&#10;AAAGAAYAWQEAAIgFAAAAAA==&#10;">
                <v:fill on="f" focussize="0,0"/>
                <v:stroke weight="1pt" color="#4874CB [3204]"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09440" behindDoc="0" locked="0" layoutInCell="1" allowOverlap="1">
                <wp:simplePos x="0" y="0"/>
                <wp:positionH relativeFrom="column">
                  <wp:posOffset>1304925</wp:posOffset>
                </wp:positionH>
                <wp:positionV relativeFrom="paragraph">
                  <wp:posOffset>2027555</wp:posOffset>
                </wp:positionV>
                <wp:extent cx="1871980" cy="715645"/>
                <wp:effectExtent l="2540" t="5715" r="11430" b="21590"/>
                <wp:wrapNone/>
                <wp:docPr id="74" name="直接连接符 74"/>
                <wp:cNvGraphicFramePr/>
                <a:graphic xmlns:a="http://schemas.openxmlformats.org/drawingml/2006/main">
                  <a:graphicData uri="http://schemas.microsoft.com/office/word/2010/wordprocessingShape">
                    <wps:wsp>
                      <wps:cNvCnPr/>
                      <wps:spPr>
                        <a:xfrm flipV="1">
                          <a:off x="0" y="0"/>
                          <a:ext cx="1871980" cy="715645"/>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102.75pt;margin-top:159.65pt;height:56.35pt;width:147.4pt;z-index:251709440;mso-width-relative:page;mso-height-relative:page;" filled="f" stroked="t" coordsize="21600,21600" o:gfxdata="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6OSkCtkAAAALAQAADwAAAAAAAAABACAAAAAiAAAAZHJzL2Rvd25yZXYueG1s&#10;UEsBAhQAFAAAAAgAh07iQBs7Upf3AQAAwgMAAA4AAAAAAAAAAQAgAAAAKAEAAGRycy9lMm9Eb2Mu&#10;eG1sUEsFBgAAAAAGAAYAWQEAAJEFAAAAAA==&#10;">
                <v:fill on="f" focussize="0,0"/>
                <v:stroke weight="1pt" color="#4874CB [3204]"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08416" behindDoc="0" locked="0" layoutInCell="1" allowOverlap="1">
                <wp:simplePos x="0" y="0"/>
                <wp:positionH relativeFrom="column">
                  <wp:posOffset>1264285</wp:posOffset>
                </wp:positionH>
                <wp:positionV relativeFrom="paragraph">
                  <wp:posOffset>2646680</wp:posOffset>
                </wp:positionV>
                <wp:extent cx="261620" cy="666750"/>
                <wp:effectExtent l="5715" t="2540" r="18415" b="16510"/>
                <wp:wrapNone/>
                <wp:docPr id="73" name="直接连接符 73"/>
                <wp:cNvGraphicFramePr/>
                <a:graphic xmlns:a="http://schemas.openxmlformats.org/drawingml/2006/main">
                  <a:graphicData uri="http://schemas.microsoft.com/office/word/2010/wordprocessingShape">
                    <wps:wsp>
                      <wps:cNvCnPr/>
                      <wps:spPr>
                        <a:xfrm flipH="1" flipV="1">
                          <a:off x="0" y="0"/>
                          <a:ext cx="261620" cy="666750"/>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99.55pt;margin-top:208.4pt;height:52.5pt;width:20.6pt;z-index:251708416;mso-width-relative:page;mso-height-relative:page;" filled="f" stroked="t" coordsize="21600,21600" o:gfxdata="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mjGLB9oAAAALAQAADwAAAAAAAAABACAAAAAiAAAAZHJzL2Rvd25y&#10;ZXYueG1sUEsBAhQAFAAAAAgAh07iQC4C9pL8AQAAywMAAA4AAAAAAAAAAQAgAAAAKQEAAGRycy9l&#10;Mm9Eb2MueG1sUEsFBgAAAAAGAAYAWQEAAJcFAAAAAA==&#10;">
                <v:fill on="f" focussize="0,0"/>
                <v:stroke weight="1pt" color="#4874CB [3204]"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07392" behindDoc="0" locked="0" layoutInCell="1" allowOverlap="1">
                <wp:simplePos x="0" y="0"/>
                <wp:positionH relativeFrom="column">
                  <wp:posOffset>1518285</wp:posOffset>
                </wp:positionH>
                <wp:positionV relativeFrom="paragraph">
                  <wp:posOffset>3336925</wp:posOffset>
                </wp:positionV>
                <wp:extent cx="699770" cy="1080135"/>
                <wp:effectExtent l="5080" t="3175" r="19050" b="21590"/>
                <wp:wrapNone/>
                <wp:docPr id="70" name="直接连接符 70"/>
                <wp:cNvGraphicFramePr/>
                <a:graphic xmlns:a="http://schemas.openxmlformats.org/drawingml/2006/main">
                  <a:graphicData uri="http://schemas.microsoft.com/office/word/2010/wordprocessingShape">
                    <wps:wsp>
                      <wps:cNvCnPr/>
                      <wps:spPr>
                        <a:xfrm flipH="1" flipV="1">
                          <a:off x="0" y="0"/>
                          <a:ext cx="699770" cy="1080135"/>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119.55pt;margin-top:262.75pt;height:85.05pt;width:55.1pt;z-index:251707392;mso-width-relative:page;mso-height-relative:page;" filled="f" stroked="t" coordsize="21600,21600" o:gfxdata="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v7KFfdsAAAALAQAADwAAAAAAAAABACAAAAAiAAAAZHJzL2Rvd25y&#10;ZXYueG1sUEsBAhQAFAAAAAgAh07iQOUp4zf7AQAAzAMAAA4AAAAAAAAAAQAgAAAAKgEAAGRycy9l&#10;Mm9Eb2MueG1sUEsFBgAAAAAGAAYAWQEAAJcFAAAAAA==&#10;">
                <v:fill on="f" focussize="0,0"/>
                <v:stroke weight="1pt" color="#4874CB [3204]"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695104" behindDoc="0" locked="0" layoutInCell="1" allowOverlap="1">
                <wp:simplePos x="0" y="0"/>
                <wp:positionH relativeFrom="column">
                  <wp:posOffset>2208530</wp:posOffset>
                </wp:positionH>
                <wp:positionV relativeFrom="paragraph">
                  <wp:posOffset>4415790</wp:posOffset>
                </wp:positionV>
                <wp:extent cx="666750" cy="635"/>
                <wp:effectExtent l="0" t="0" r="0" b="0"/>
                <wp:wrapNone/>
                <wp:docPr id="21" name="直接连接符 21"/>
                <wp:cNvGraphicFramePr/>
                <a:graphic xmlns:a="http://schemas.openxmlformats.org/drawingml/2006/main">
                  <a:graphicData uri="http://schemas.microsoft.com/office/word/2010/wordprocessingShape">
                    <wps:wsp>
                      <wps:cNvCnPr/>
                      <wps:spPr>
                        <a:xfrm flipH="1">
                          <a:off x="1492250" y="2850515"/>
                          <a:ext cx="666750" cy="635"/>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73.9pt;margin-top:347.7pt;height:0.05pt;width:52.5pt;z-index:251695104;mso-width-relative:page;mso-height-relative:page;" filled="f" stroked="t" coordsize="21600,21600" o:gfxdata="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IldY22AAAAAsBAAAPAAAAAAAAAAEAIAAAACIAAABkcnMvZG93&#10;bnJldi54bWxQSwECFAAUAAAACACHTuJAKRjpIgACAADKAwAADgAAAAAAAAABACAAAAAnAQAAZHJz&#10;L2Uyb0RvYy54bWxQSwUGAAAAAAYABgBZAQAAmQUAAAAA&#10;">
                <v:fill on="f" focussize="0,0"/>
                <v:stroke weight="1pt" color="#4874CB [3204]"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06368" behindDoc="0" locked="0" layoutInCell="1" allowOverlap="1">
                <wp:simplePos x="0" y="0"/>
                <wp:positionH relativeFrom="column">
                  <wp:posOffset>7447280</wp:posOffset>
                </wp:positionH>
                <wp:positionV relativeFrom="paragraph">
                  <wp:posOffset>265430</wp:posOffset>
                </wp:positionV>
                <wp:extent cx="412750" cy="2071370"/>
                <wp:effectExtent l="6350" t="1270" r="19050" b="3810"/>
                <wp:wrapNone/>
                <wp:docPr id="65" name="直接连接符 65"/>
                <wp:cNvGraphicFramePr/>
                <a:graphic xmlns:a="http://schemas.openxmlformats.org/drawingml/2006/main">
                  <a:graphicData uri="http://schemas.microsoft.com/office/word/2010/wordprocessingShape">
                    <wps:wsp>
                      <wps:cNvCnPr/>
                      <wps:spPr>
                        <a:xfrm flipH="1" flipV="1">
                          <a:off x="0" y="0"/>
                          <a:ext cx="412750" cy="2071370"/>
                        </a:xfrm>
                        <a:prstGeom prst="line">
                          <a:avLst/>
                        </a:prstGeom>
                        <a:ln w="12700" cap="flat" cmpd="sng" algn="ctr">
                          <a:solidFill>
                            <a:schemeClr val="accent2"/>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586.4pt;margin-top:20.9pt;height:163.1pt;width:32.5pt;z-index:251706368;mso-width-relative:page;mso-height-relative:page;" filled="f" stroked="t" coordsize="21600,21600" o:gfxdata="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BOrXTaAAAADAEAAA8AAAAAAAAAAQAgAAAAIgAAAGRycy9kb3du&#10;cmV2LnhtbFBLAQIUABQAAAAIAIdO4kAdqNT2/QEAAMwDAAAOAAAAAAAAAAEAIAAAACkBAABkcnMv&#10;ZTJvRG9jLnhtbFBLBQYAAAAABgAGAFkBAACYBQAAAAA=&#10;">
                <v:fill on="f" focussize="0,0"/>
                <v:stroke weight="1pt" color="#EE822F [3205]"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05344" behindDoc="0" locked="0" layoutInCell="1" allowOverlap="1">
                <wp:simplePos x="0" y="0"/>
                <wp:positionH relativeFrom="column">
                  <wp:posOffset>5915660</wp:posOffset>
                </wp:positionH>
                <wp:positionV relativeFrom="paragraph">
                  <wp:posOffset>257175</wp:posOffset>
                </wp:positionV>
                <wp:extent cx="1524000" cy="317500"/>
                <wp:effectExtent l="1270" t="6350" r="17780" b="19050"/>
                <wp:wrapNone/>
                <wp:docPr id="64" name="直接连接符 64"/>
                <wp:cNvGraphicFramePr/>
                <a:graphic xmlns:a="http://schemas.openxmlformats.org/drawingml/2006/main">
                  <a:graphicData uri="http://schemas.microsoft.com/office/word/2010/wordprocessingShape">
                    <wps:wsp>
                      <wps:cNvCnPr/>
                      <wps:spPr>
                        <a:xfrm flipH="1">
                          <a:off x="0" y="0"/>
                          <a:ext cx="1524000" cy="317500"/>
                        </a:xfrm>
                        <a:prstGeom prst="line">
                          <a:avLst/>
                        </a:prstGeom>
                        <a:ln w="12700" cap="flat" cmpd="sng" algn="ctr">
                          <a:solidFill>
                            <a:schemeClr val="accent2"/>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65.8pt;margin-top:20.25pt;height:25pt;width:120pt;z-index:251705344;mso-width-relative:page;mso-height-relative:page;" filled="f" stroked="t" coordsize="21600,21600" o:gfxdata="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u1hPjWAAAACgEAAA8AAAAAAAAAAQAgAAAAIgAAAGRycy9kb3ducmV2LnhtbFBLAQIU&#10;ABQAAAAIAIdO4kDj31p89QEAAMIDAAAOAAAAAAAAAAEAIAAAACUBAABkcnMvZTJvRG9jLnhtbFBL&#10;BQYAAAAABgAGAFkBAACMBQAAAAA=&#10;">
                <v:fill on="f" focussize="0,0"/>
                <v:stroke weight="1pt" color="#EE822F [3205]"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04320" behindDoc="0" locked="0" layoutInCell="1" allowOverlap="1">
                <wp:simplePos x="0" y="0"/>
                <wp:positionH relativeFrom="column">
                  <wp:posOffset>1915160</wp:posOffset>
                </wp:positionH>
                <wp:positionV relativeFrom="paragraph">
                  <wp:posOffset>574675</wp:posOffset>
                </wp:positionV>
                <wp:extent cx="3968750" cy="1087755"/>
                <wp:effectExtent l="1905" t="6350" r="10795" b="10795"/>
                <wp:wrapNone/>
                <wp:docPr id="63" name="直接连接符 63"/>
                <wp:cNvGraphicFramePr/>
                <a:graphic xmlns:a="http://schemas.openxmlformats.org/drawingml/2006/main">
                  <a:graphicData uri="http://schemas.microsoft.com/office/word/2010/wordprocessingShape">
                    <wps:wsp>
                      <wps:cNvCnPr/>
                      <wps:spPr>
                        <a:xfrm flipH="1">
                          <a:off x="0" y="0"/>
                          <a:ext cx="3968750" cy="1087755"/>
                        </a:xfrm>
                        <a:prstGeom prst="line">
                          <a:avLst/>
                        </a:prstGeom>
                        <a:ln w="12700" cap="flat" cmpd="sng" algn="ctr">
                          <a:solidFill>
                            <a:schemeClr val="accent2"/>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50.8pt;margin-top:45.25pt;height:85.65pt;width:312.5pt;z-index:251704320;mso-width-relative:page;mso-height-relative:page;" filled="f" stroked="t" coordsize="21600,21600" o:gfxdata="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Fp0+X1wAAAAoBAAAPAAAAAAAAAAEAIAAAACIAAABkcnMvZG93bnJldi54bWxQ&#10;SwECFAAUAAAACACHTuJAnhP4uvgBAADDAwAADgAAAAAAAAABACAAAAAmAQAAZHJzL2Uyb0RvYy54&#10;bWxQSwUGAAAAAAYABgBZAQAAkAUAAAAA&#10;">
                <v:fill on="f" focussize="0,0"/>
                <v:stroke weight="1pt" color="#EE822F [3205]"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03296" behindDoc="0" locked="0" layoutInCell="1" allowOverlap="1">
                <wp:simplePos x="0" y="0"/>
                <wp:positionH relativeFrom="column">
                  <wp:posOffset>906780</wp:posOffset>
                </wp:positionH>
                <wp:positionV relativeFrom="paragraph">
                  <wp:posOffset>1654175</wp:posOffset>
                </wp:positionV>
                <wp:extent cx="1040130" cy="421005"/>
                <wp:effectExtent l="2540" t="5715" r="5080" b="11430"/>
                <wp:wrapNone/>
                <wp:docPr id="62" name="直接连接符 62"/>
                <wp:cNvGraphicFramePr/>
                <a:graphic xmlns:a="http://schemas.openxmlformats.org/drawingml/2006/main">
                  <a:graphicData uri="http://schemas.microsoft.com/office/word/2010/wordprocessingShape">
                    <wps:wsp>
                      <wps:cNvCnPr/>
                      <wps:spPr>
                        <a:xfrm flipH="1">
                          <a:off x="0" y="0"/>
                          <a:ext cx="1040130" cy="421005"/>
                        </a:xfrm>
                        <a:prstGeom prst="line">
                          <a:avLst/>
                        </a:prstGeom>
                        <a:ln w="12700" cap="flat" cmpd="sng" algn="ctr">
                          <a:solidFill>
                            <a:schemeClr val="accent2"/>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71.4pt;margin-top:130.25pt;height:33.15pt;width:81.9pt;z-index:251703296;mso-width-relative:page;mso-height-relative:page;" filled="f" stroked="t" coordsize="21600,21600" o:gfxdata="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RfAsJ2AAAAAsBAAAPAAAAAAAAAAEAIAAAACIAAABkcnMvZG93bnJldi54bWxQ&#10;SwECFAAUAAAACACHTuJA4wmW1/cBAADCAwAADgAAAAAAAAABACAAAAAnAQAAZHJzL2Uyb0RvYy54&#10;bWxQSwUGAAAAAAYABgBZAQAAkAUAAAAA&#10;">
                <v:fill on="f" focussize="0,0"/>
                <v:stroke weight="1pt" color="#EE822F [3205]"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02272" behindDoc="0" locked="0" layoutInCell="1" allowOverlap="1">
                <wp:simplePos x="0" y="0"/>
                <wp:positionH relativeFrom="column">
                  <wp:posOffset>890905</wp:posOffset>
                </wp:positionH>
                <wp:positionV relativeFrom="paragraph">
                  <wp:posOffset>2051050</wp:posOffset>
                </wp:positionV>
                <wp:extent cx="140970" cy="691515"/>
                <wp:effectExtent l="6350" t="1270" r="24130" b="12065"/>
                <wp:wrapNone/>
                <wp:docPr id="61" name="直接连接符 61"/>
                <wp:cNvGraphicFramePr/>
                <a:graphic xmlns:a="http://schemas.openxmlformats.org/drawingml/2006/main">
                  <a:graphicData uri="http://schemas.microsoft.com/office/word/2010/wordprocessingShape">
                    <wps:wsp>
                      <wps:cNvCnPr/>
                      <wps:spPr>
                        <a:xfrm flipH="1" flipV="1">
                          <a:off x="0" y="0"/>
                          <a:ext cx="140970" cy="691515"/>
                        </a:xfrm>
                        <a:prstGeom prst="line">
                          <a:avLst/>
                        </a:prstGeom>
                        <a:ln w="12700" cap="flat" cmpd="sng" algn="ctr">
                          <a:solidFill>
                            <a:schemeClr val="accent2"/>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70.15pt;margin-top:161.5pt;height:54.45pt;width:11.1pt;z-index:251702272;mso-width-relative:page;mso-height-relative:page;" filled="f" stroked="t" coordsize="21600,21600" o:gfxdata="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mnStT2gAAAAsBAAAPAAAAAAAAAAEAIAAAACIAAABkcnMvZG93bnJl&#10;di54bWxQSwECFAAUAAAACACHTuJAFlMplfsBAADLAwAADgAAAAAAAAABACAAAAApAQAAZHJzL2Uy&#10;b0RvYy54bWxQSwUGAAAAAAYABgBZAQAAlgUAAAAA&#10;">
                <v:fill on="f" focussize="0,0"/>
                <v:stroke weight="1pt" color="#EE822F [3205]"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00224" behindDoc="0" locked="0" layoutInCell="1" allowOverlap="1">
                <wp:simplePos x="0" y="0"/>
                <wp:positionH relativeFrom="column">
                  <wp:posOffset>2778760</wp:posOffset>
                </wp:positionH>
                <wp:positionV relativeFrom="paragraph">
                  <wp:posOffset>2322195</wp:posOffset>
                </wp:positionV>
                <wp:extent cx="5105400" cy="2332990"/>
                <wp:effectExtent l="2540" t="5715" r="16510" b="23495"/>
                <wp:wrapNone/>
                <wp:docPr id="58" name="直接连接符 58"/>
                <wp:cNvGraphicFramePr/>
                <a:graphic xmlns:a="http://schemas.openxmlformats.org/drawingml/2006/main">
                  <a:graphicData uri="http://schemas.microsoft.com/office/word/2010/wordprocessingShape">
                    <wps:wsp>
                      <wps:cNvCnPr/>
                      <wps:spPr>
                        <a:xfrm flipV="1">
                          <a:off x="0" y="0"/>
                          <a:ext cx="5105400" cy="2332990"/>
                        </a:xfrm>
                        <a:prstGeom prst="line">
                          <a:avLst/>
                        </a:prstGeom>
                        <a:ln w="12700" cap="flat" cmpd="sng" algn="ctr">
                          <a:solidFill>
                            <a:schemeClr val="accent2"/>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18.8pt;margin-top:182.85pt;height:183.7pt;width:402pt;z-index:251700224;mso-width-relative:page;mso-height-relative:page;" filled="f" stroked="t" coordsize="21600,21600" o:gfxdata="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hm/MW2QAAAAwBAAAPAAAAAAAAAAEAIAAAACIAAABkcnMvZG93bnJldi54&#10;bWxQSwECFAAUAAAACACHTuJAGKpP6/kBAADDAwAADgAAAAAAAAABACAAAAAoAQAAZHJzL2Uyb0Rv&#10;Yy54bWxQSwUGAAAAAAYABgBZAQAAkwUAAAAA&#10;">
                <v:fill on="f" focussize="0,0"/>
                <v:stroke weight="1pt" color="#EE822F [3205]"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699200" behindDoc="0" locked="0" layoutInCell="1" allowOverlap="1">
                <wp:simplePos x="0" y="0"/>
                <wp:positionH relativeFrom="column">
                  <wp:posOffset>2094230</wp:posOffset>
                </wp:positionH>
                <wp:positionV relativeFrom="paragraph">
                  <wp:posOffset>4502785</wp:posOffset>
                </wp:positionV>
                <wp:extent cx="693420" cy="160655"/>
                <wp:effectExtent l="1270" t="6350" r="10160" b="23495"/>
                <wp:wrapNone/>
                <wp:docPr id="55" name="直接连接符 55"/>
                <wp:cNvGraphicFramePr/>
                <a:graphic xmlns:a="http://schemas.openxmlformats.org/drawingml/2006/main">
                  <a:graphicData uri="http://schemas.microsoft.com/office/word/2010/wordprocessingShape">
                    <wps:wsp>
                      <wps:cNvCnPr/>
                      <wps:spPr>
                        <a:xfrm>
                          <a:off x="0" y="0"/>
                          <a:ext cx="693420" cy="160655"/>
                        </a:xfrm>
                        <a:prstGeom prst="line">
                          <a:avLst/>
                        </a:prstGeom>
                        <a:ln w="12700" cap="flat" cmpd="sng" algn="ctr">
                          <a:solidFill>
                            <a:schemeClr val="accent2"/>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64.9pt;margin-top:354.55pt;height:12.65pt;width:54.6pt;z-index:251699200;mso-width-relative:page;mso-height-relative:page;" filled="f" stroked="t" coordsize="21600,21600" o:gfxdata="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vVzv+2QAAAAsBAAAPAAAAAAAAAAEAIAAAACIAAABkcnMvZG93bnJldi54bWxQSwECFAAUAAAA&#10;CACHTuJAvwigKu0BAAC3AwAADgAAAAAAAAABACAAAAAoAQAAZHJzL2Uyb0RvYy54bWxQSwUGAAAA&#10;AAYABgBZAQAAhwUAAAAA&#10;">
                <v:fill on="f" focussize="0,0"/>
                <v:stroke weight="1pt" color="#EE822F [3205]"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701248" behindDoc="0" locked="0" layoutInCell="1" allowOverlap="1">
                <wp:simplePos x="0" y="0"/>
                <wp:positionH relativeFrom="column">
                  <wp:posOffset>1049655</wp:posOffset>
                </wp:positionH>
                <wp:positionV relativeFrom="paragraph">
                  <wp:posOffset>2757805</wp:posOffset>
                </wp:positionV>
                <wp:extent cx="1104900" cy="1763395"/>
                <wp:effectExtent l="5080" t="3175" r="13970" b="5080"/>
                <wp:wrapNone/>
                <wp:docPr id="60" name="直接连接符 60"/>
                <wp:cNvGraphicFramePr/>
                <a:graphic xmlns:a="http://schemas.openxmlformats.org/drawingml/2006/main">
                  <a:graphicData uri="http://schemas.microsoft.com/office/word/2010/wordprocessingShape">
                    <wps:wsp>
                      <wps:cNvCnPr/>
                      <wps:spPr>
                        <a:xfrm>
                          <a:off x="0" y="0"/>
                          <a:ext cx="1104900" cy="1763395"/>
                        </a:xfrm>
                        <a:prstGeom prst="line">
                          <a:avLst/>
                        </a:prstGeom>
                        <a:ln w="12700" cap="flat" cmpd="sng" algn="ctr">
                          <a:solidFill>
                            <a:schemeClr val="accent2"/>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82.65pt;margin-top:217.15pt;height:138.85pt;width:87pt;z-index:251701248;mso-width-relative:page;mso-height-relative:page;" filled="f" stroked="t" coordsize="21600,21600" o:gfxdata="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HOf2fYAAAACwEAAA8AAAAAAAAAAQAgAAAAIgAAAGRycy9kb3ducmV2LnhtbFBLAQIUABQA&#10;AAAIAIdO4kAg/Yan8AEAALkDAAAOAAAAAAAAAAEAIAAAACcBAABkcnMvZTJvRG9jLnhtbFBLBQYA&#10;AAAABgAGAFkBAACJBQAAAAA=&#10;">
                <v:fill on="f" focussize="0,0"/>
                <v:stroke weight="1pt" color="#EE822F [3205]" miterlimit="8" joinstyle="miter" dashstyle="dash"/>
                <v:imagedata o:title=""/>
                <o:lock v:ext="edit" aspectratio="f"/>
              </v:line>
            </w:pict>
          </mc:Fallback>
        </mc:AlternateContent>
      </w:r>
      <w:r>
        <w:rPr>
          <w:color w:val="auto"/>
        </w:rPr>
        <w:drawing>
          <wp:inline distT="0" distB="0" distL="114300" distR="114300">
            <wp:extent cx="8522335" cy="4979670"/>
            <wp:effectExtent l="0" t="0" r="12065" b="11430"/>
            <wp:docPr id="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pic:cNvPicPr>
                      <a:picLocks noChangeAspect="1"/>
                    </pic:cNvPicPr>
                  </pic:nvPicPr>
                  <pic:blipFill>
                    <a:blip r:embed="rId33"/>
                    <a:stretch>
                      <a:fillRect/>
                    </a:stretch>
                  </pic:blipFill>
                  <pic:spPr>
                    <a:xfrm>
                      <a:off x="0" y="0"/>
                      <a:ext cx="8522335" cy="4979670"/>
                    </a:xfrm>
                    <a:prstGeom prst="rect">
                      <a:avLst/>
                    </a:prstGeom>
                    <a:noFill/>
                    <a:ln>
                      <a:noFill/>
                    </a:ln>
                  </pic:spPr>
                </pic:pic>
              </a:graphicData>
            </a:graphic>
          </wp:inline>
        </w:drawing>
      </w:r>
      <w:r>
        <w:rPr>
          <w:rFonts w:hint="default" w:ascii="Times New Roman" w:hAnsi="Times New Roman" w:cs="Times New Roman"/>
          <w:color w:val="auto"/>
          <w:sz w:val="18"/>
        </w:rPr>
        <mc:AlternateContent>
          <mc:Choice Requires="wps">
            <w:drawing>
              <wp:anchor distT="0" distB="0" distL="114300" distR="114300" simplePos="0" relativeHeight="251669504" behindDoc="0" locked="0" layoutInCell="1" allowOverlap="1">
                <wp:simplePos x="0" y="0"/>
                <wp:positionH relativeFrom="column">
                  <wp:posOffset>5323205</wp:posOffset>
                </wp:positionH>
                <wp:positionV relativeFrom="paragraph">
                  <wp:posOffset>3764915</wp:posOffset>
                </wp:positionV>
                <wp:extent cx="1176655" cy="33401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1176655" cy="334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10F37E">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危险废物贮存点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15pt;margin-top:296.45pt;height:26.3pt;width:92.65pt;z-index:251669504;mso-width-relative:page;mso-height-relative:page;" filled="f" stroked="f" coordsize="21600,21600" o:gfxdata="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YhRZ90AAAAMAQAADwAAAAAAAAABACAAAAAiAAAA&#10;ZHJzL2Rvd25yZXYueG1sUEsBAhQAFAAAAAgAh07iQA3vuA87AgAAaAQAAA4AAAAAAAAAAQAgAAAA&#10;LAEAAGRycy9lMm9Eb2MueG1sUEsFBgAAAAAGAAYAWQEAANkFAAAAAA==&#10;">
                <v:fill on="f" focussize="0,0"/>
                <v:stroke on="f" weight="0.5pt"/>
                <v:imagedata o:title=""/>
                <o:lock v:ext="edit" aspectratio="f"/>
                <v:textbox>
                  <w:txbxContent>
                    <w:p w14:paraId="4310F37E">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危险废物贮存点</w:t>
                      </w:r>
                    </w:p>
                  </w:txbxContent>
                </v:textbox>
              </v:shape>
            </w:pict>
          </mc:Fallback>
        </mc:AlternateContent>
      </w:r>
      <w:r>
        <w:rPr>
          <w:color w:val="auto"/>
          <w:sz w:val="18"/>
        </w:rPr>
        <mc:AlternateContent>
          <mc:Choice Requires="wps">
            <w:drawing>
              <wp:anchor distT="0" distB="0" distL="114300" distR="114300" simplePos="0" relativeHeight="251689984" behindDoc="0" locked="0" layoutInCell="1" allowOverlap="1">
                <wp:simplePos x="0" y="0"/>
                <wp:positionH relativeFrom="column">
                  <wp:posOffset>7204710</wp:posOffset>
                </wp:positionH>
                <wp:positionV relativeFrom="paragraph">
                  <wp:posOffset>4595495</wp:posOffset>
                </wp:positionV>
                <wp:extent cx="280670" cy="0"/>
                <wp:effectExtent l="0" t="6350" r="11430" b="6350"/>
                <wp:wrapNone/>
                <wp:docPr id="92" name="直接连接符 92"/>
                <wp:cNvGraphicFramePr/>
                <a:graphic xmlns:a="http://schemas.openxmlformats.org/drawingml/2006/main">
                  <a:graphicData uri="http://schemas.microsoft.com/office/word/2010/wordprocessingShape">
                    <wps:wsp>
                      <wps:cNvCnPr/>
                      <wps:spPr>
                        <a:xfrm>
                          <a:off x="0" y="0"/>
                          <a:ext cx="280670" cy="0"/>
                        </a:xfrm>
                        <a:prstGeom prst="line">
                          <a:avLst/>
                        </a:prstGeom>
                        <a:ln w="12700" cap="flat" cmpd="sng" algn="ctr">
                          <a:solidFill>
                            <a:schemeClr val="accent2"/>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67.3pt;margin-top:361.85pt;height:0pt;width:22.1pt;z-index:251689984;mso-width-relative:page;mso-height-relative:page;" filled="f" stroked="t" coordsize="21600,21600" o:gfxdata="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qLHjHX&#10;AAAADQEAAA8AAAAAAAAAAQAgAAAAIgAAAGRycy9kb3ducmV2LnhtbFBLAQIUABQAAAAIAIdO4kB9&#10;3yvh6AEAALIDAAAOAAAAAAAAAAEAIAAAACYBAABkcnMvZTJvRG9jLnhtbFBLBQYAAAAABgAGAFkB&#10;AACABQAAAAA=&#10;">
                <v:fill on="f" focussize="0,0"/>
                <v:stroke weight="1pt" color="#EE822F [3205]" miterlimit="8" joinstyle="miter" dashstyle="dash"/>
                <v:imagedata o:title=""/>
                <o:lock v:ext="edit" aspectratio="f"/>
              </v:line>
            </w:pict>
          </mc:Fallback>
        </mc:AlternateContent>
      </w:r>
      <w:r>
        <w:rPr>
          <w:color w:val="auto"/>
          <w:sz w:val="18"/>
        </w:rPr>
        <mc:AlternateContent>
          <mc:Choice Requires="wps">
            <w:drawing>
              <wp:anchor distT="0" distB="0" distL="114300" distR="114300" simplePos="0" relativeHeight="251688960" behindDoc="0" locked="0" layoutInCell="1" allowOverlap="1">
                <wp:simplePos x="0" y="0"/>
                <wp:positionH relativeFrom="column">
                  <wp:posOffset>7200265</wp:posOffset>
                </wp:positionH>
                <wp:positionV relativeFrom="paragraph">
                  <wp:posOffset>4416425</wp:posOffset>
                </wp:positionV>
                <wp:extent cx="280670" cy="0"/>
                <wp:effectExtent l="0" t="6350" r="11430" b="6350"/>
                <wp:wrapNone/>
                <wp:docPr id="90" name="直接连接符 90"/>
                <wp:cNvGraphicFramePr/>
                <a:graphic xmlns:a="http://schemas.openxmlformats.org/drawingml/2006/main">
                  <a:graphicData uri="http://schemas.microsoft.com/office/word/2010/wordprocessingShape">
                    <wps:wsp>
                      <wps:cNvCnPr/>
                      <wps:spPr>
                        <a:xfrm>
                          <a:off x="8280400" y="5388610"/>
                          <a:ext cx="280670" cy="0"/>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66.95pt;margin-top:347.75pt;height:0pt;width:22.1pt;z-index:251688960;mso-width-relative:page;mso-height-relative:page;" filled="f" stroked="t" coordsize="21600,21600" o:gfxdata="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08JG7ZAAAADQEAAA8AAAAAAAAAAQAgAAAAIgAAAGRycy9kb3ducmV2LnhtbFBL&#10;AQIUABQAAAAIAIdO4kDxN5Gj9QEAAL4DAAAOAAAAAAAAAAEAIAAAACgBAABkcnMvZTJvRG9jLnht&#10;bFBLBQYAAAAABgAGAFkBAACPBQAAAAA=&#10;">
                <v:fill on="f" focussize="0,0"/>
                <v:stroke weight="1pt" color="#4874CB [3204]" miterlimit="8" joinstyle="miter" dashstyle="dash"/>
                <v:imagedata o:title=""/>
                <o:lock v:ext="edit" aspectratio="f"/>
              </v:line>
            </w:pict>
          </mc:Fallback>
        </mc:AlternateContent>
      </w:r>
      <w:r>
        <w:rPr>
          <w:rFonts w:hint="default" w:ascii="Times New Roman" w:hAnsi="Times New Roman" w:cs="Times New Roman"/>
          <w:color w:val="auto"/>
          <w:sz w:val="18"/>
        </w:rPr>
        <mc:AlternateContent>
          <mc:Choice Requires="wps">
            <w:drawing>
              <wp:anchor distT="0" distB="0" distL="114300" distR="114300" simplePos="0" relativeHeight="251681792" behindDoc="0" locked="0" layoutInCell="1" allowOverlap="1">
                <wp:simplePos x="0" y="0"/>
                <wp:positionH relativeFrom="column">
                  <wp:posOffset>7119620</wp:posOffset>
                </wp:positionH>
                <wp:positionV relativeFrom="paragraph">
                  <wp:posOffset>3825240</wp:posOffset>
                </wp:positionV>
                <wp:extent cx="1371600" cy="944245"/>
                <wp:effectExtent l="4445" t="4445" r="8255" b="16510"/>
                <wp:wrapNone/>
                <wp:docPr id="13" name="文本框 13"/>
                <wp:cNvGraphicFramePr/>
                <a:graphic xmlns:a="http://schemas.openxmlformats.org/drawingml/2006/main">
                  <a:graphicData uri="http://schemas.microsoft.com/office/word/2010/wordprocessingShape">
                    <wps:wsp>
                      <wps:cNvSpPr txBox="1"/>
                      <wps:spPr>
                        <a:xfrm>
                          <a:off x="8161655" y="5045075"/>
                          <a:ext cx="1371600" cy="9442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02F4F12">
                            <w:pPr>
                              <w:keepNext w:val="0"/>
                              <w:keepLines w:val="0"/>
                              <w:pageBreakBefore w:val="0"/>
                              <w:kinsoku/>
                              <w:wordWrap/>
                              <w:overflowPunct/>
                              <w:topLinePunct w:val="0"/>
                              <w:bidi w:val="0"/>
                              <w:adjustRightInd/>
                              <w:spacing w:line="240" w:lineRule="auto"/>
                              <w:ind w:right="0"/>
                              <w:jc w:val="center"/>
                              <w:textAlignment w:val="auto"/>
                              <w:rPr>
                                <w:rFonts w:hint="eastAsia"/>
                                <w:b/>
                                <w:bCs/>
                                <w:sz w:val="28"/>
                                <w:szCs w:val="28"/>
                                <w:lang w:val="en-US" w:eastAsia="zh-CN"/>
                              </w:rPr>
                            </w:pPr>
                            <w:r>
                              <w:rPr>
                                <w:rFonts w:hint="eastAsia"/>
                                <w:b/>
                                <w:bCs/>
                                <w:sz w:val="28"/>
                                <w:szCs w:val="28"/>
                                <w:lang w:val="en-US" w:eastAsia="zh-CN"/>
                              </w:rPr>
                              <w:t>图例</w:t>
                            </w:r>
                          </w:p>
                          <w:p w14:paraId="08213FF2">
                            <w:pPr>
                              <w:pStyle w:val="8"/>
                              <w:keepNext w:val="0"/>
                              <w:keepLines w:val="0"/>
                              <w:pageBreakBefore w:val="0"/>
                              <w:kinsoku/>
                              <w:wordWrap/>
                              <w:overflowPunct/>
                              <w:topLinePunct w:val="0"/>
                              <w:bidi w:val="0"/>
                              <w:adjustRightInd/>
                              <w:spacing w:before="0" w:after="0" w:line="240" w:lineRule="auto"/>
                              <w:ind w:right="0" w:firstLine="480" w:firstLineChars="200"/>
                              <w:jc w:val="both"/>
                              <w:textAlignment w:val="auto"/>
                              <w:rPr>
                                <w:rFonts w:hint="default"/>
                                <w:sz w:val="24"/>
                                <w:szCs w:val="24"/>
                                <w:lang w:val="en-US" w:eastAsia="zh-CN"/>
                              </w:rPr>
                            </w:pPr>
                            <w:r>
                              <w:rPr>
                                <w:rFonts w:hint="eastAsia"/>
                                <w:sz w:val="24"/>
                                <w:szCs w:val="24"/>
                                <w:lang w:val="en-US" w:eastAsia="zh-CN"/>
                              </w:rPr>
                              <w:t>煤炭堆场</w:t>
                            </w:r>
                          </w:p>
                          <w:p w14:paraId="108CA7ED">
                            <w:pPr>
                              <w:pStyle w:val="9"/>
                              <w:keepNext w:val="0"/>
                              <w:keepLines w:val="0"/>
                              <w:pageBreakBefore w:val="0"/>
                              <w:kinsoku/>
                              <w:wordWrap/>
                              <w:overflowPunct/>
                              <w:topLinePunct w:val="0"/>
                              <w:bidi w:val="0"/>
                              <w:adjustRightInd/>
                              <w:spacing w:line="240" w:lineRule="auto"/>
                              <w:ind w:right="0" w:firstLine="480" w:firstLineChars="200"/>
                              <w:jc w:val="both"/>
                              <w:textAlignment w:val="auto"/>
                              <w:rPr>
                                <w:rFonts w:hint="eastAsia"/>
                                <w:sz w:val="24"/>
                                <w:szCs w:val="24"/>
                                <w:lang w:val="en-US" w:eastAsia="zh-CN"/>
                              </w:rPr>
                            </w:pPr>
                            <w:r>
                              <w:rPr>
                                <w:rFonts w:hint="eastAsia"/>
                                <w:sz w:val="24"/>
                                <w:szCs w:val="24"/>
                                <w:lang w:val="en-US" w:eastAsia="zh-CN"/>
                              </w:rPr>
                              <w:t>导流沟</w:t>
                            </w:r>
                          </w:p>
                          <w:p w14:paraId="6C9085C9">
                            <w:pPr>
                              <w:pStyle w:val="9"/>
                              <w:keepNext w:val="0"/>
                              <w:keepLines w:val="0"/>
                              <w:pageBreakBefore w:val="0"/>
                              <w:kinsoku/>
                              <w:wordWrap/>
                              <w:overflowPunct/>
                              <w:topLinePunct w:val="0"/>
                              <w:bidi w:val="0"/>
                              <w:adjustRightInd/>
                              <w:snapToGrid/>
                              <w:spacing w:line="240" w:lineRule="auto"/>
                              <w:ind w:left="0" w:leftChars="0" w:right="0" w:firstLine="480" w:firstLineChars="200"/>
                              <w:jc w:val="both"/>
                              <w:textAlignment w:val="auto"/>
                              <w:rPr>
                                <w:rFonts w:hint="default"/>
                                <w:lang w:val="en-US" w:eastAsia="zh-CN"/>
                              </w:rPr>
                            </w:pPr>
                            <w:r>
                              <w:rPr>
                                <w:rFonts w:hint="eastAsia"/>
                                <w:sz w:val="24"/>
                                <w:szCs w:val="24"/>
                                <w:lang w:val="en-US" w:eastAsia="zh-CN"/>
                              </w:rPr>
                              <w:t>防风抑尘网</w:t>
                            </w:r>
                          </w:p>
                          <w:p w14:paraId="2975C8C1">
                            <w:pPr>
                              <w:pStyle w:val="10"/>
                              <w:rPr>
                                <w:rFonts w:hint="default"/>
                                <w:lang w:val="en-US" w:eastAsia="zh-CN"/>
                              </w:rPr>
                            </w:pPr>
                          </w:p>
                          <w:p w14:paraId="70C09156">
                            <w:pPr>
                              <w:pStyle w:val="10"/>
                              <w:rPr>
                                <w:rFonts w:hint="default"/>
                                <w:lang w:val="en-US" w:eastAsia="zh-CN"/>
                              </w:rPr>
                            </w:pPr>
                            <w:r>
                              <w:rPr>
                                <w:rFonts w:hint="eastAsia"/>
                                <w:sz w:val="24"/>
                                <w:szCs w:val="24"/>
                                <w:lang w:val="en-US" w:eastAsia="zh-CN"/>
                              </w:rPr>
                              <w:t>的</w:t>
                            </w:r>
                          </w:p>
                          <w:p w14:paraId="34ACF886">
                            <w:pPr>
                              <w:pStyle w:val="10"/>
                              <w:rPr>
                                <w:rFonts w:hint="default"/>
                                <w:lang w:val="en-US" w:eastAsia="zh-CN"/>
                              </w:rPr>
                            </w:pPr>
                          </w:p>
                          <w:p w14:paraId="13265CB3">
                            <w:pPr>
                              <w:pStyle w:val="10"/>
                              <w:rPr>
                                <w:rFonts w:hint="default"/>
                                <w:lang w:val="en-US" w:eastAsia="zh-CN"/>
                              </w:rPr>
                            </w:pPr>
                          </w:p>
                          <w:p w14:paraId="0F0EE94D">
                            <w:pPr>
                              <w:pStyle w:val="10"/>
                              <w:rPr>
                                <w:rFonts w:hint="default"/>
                                <w:lang w:val="en-US" w:eastAsia="zh-CN"/>
                              </w:rPr>
                            </w:pPr>
                            <w:r>
                              <w:rPr>
                                <w:rFonts w:hint="eastAsia"/>
                                <w:lang w:val="en-US" w:eastAsia="zh-CN"/>
                              </w:rPr>
                              <w:t xml:space="preserve"> 的</w:t>
                            </w:r>
                          </w:p>
                          <w:p w14:paraId="5C539D2A">
                            <w:pPr>
                              <w:pStyle w:val="10"/>
                              <w:rPr>
                                <w:rFonts w:hint="eastAsia"/>
                                <w:lang w:val="en-US" w:eastAsia="zh-CN"/>
                              </w:rPr>
                            </w:pPr>
                          </w:p>
                          <w:p w14:paraId="10E47E43">
                            <w:pPr>
                              <w:pStyle w:val="10"/>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0.6pt;margin-top:301.2pt;height:74.35pt;width:108pt;z-index:251681792;mso-width-relative:page;mso-height-relative:page;" fillcolor="#FFFFFF [3201]" filled="t" stroked="t" coordsize="21600,21600" o:gfxdata="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wpzQNdgAAAANAQAADwAAAAAAAAABACAAAAAiAAAAZHJzL2Rvd25yZXYueG1sUEsB&#10;AhQAFAAAAAgAh07iQAY1/uFnAgAAxQQAAA4AAAAAAAAAAQAgAAAAJwEAAGRycy9lMm9Eb2MueG1s&#10;UEsFBgAAAAAGAAYAWQEAAAAGAAAAAA==&#10;">
                <v:fill on="t" focussize="0,0"/>
                <v:stroke weight="0.5pt" color="#000000 [3204]" joinstyle="round"/>
                <v:imagedata o:title=""/>
                <o:lock v:ext="edit" aspectratio="f"/>
                <v:textbox>
                  <w:txbxContent>
                    <w:p w14:paraId="002F4F12">
                      <w:pPr>
                        <w:keepNext w:val="0"/>
                        <w:keepLines w:val="0"/>
                        <w:pageBreakBefore w:val="0"/>
                        <w:kinsoku/>
                        <w:wordWrap/>
                        <w:overflowPunct/>
                        <w:topLinePunct w:val="0"/>
                        <w:bidi w:val="0"/>
                        <w:adjustRightInd/>
                        <w:spacing w:line="240" w:lineRule="auto"/>
                        <w:ind w:right="0"/>
                        <w:jc w:val="center"/>
                        <w:textAlignment w:val="auto"/>
                        <w:rPr>
                          <w:rFonts w:hint="eastAsia"/>
                          <w:b/>
                          <w:bCs/>
                          <w:sz w:val="28"/>
                          <w:szCs w:val="28"/>
                          <w:lang w:val="en-US" w:eastAsia="zh-CN"/>
                        </w:rPr>
                      </w:pPr>
                      <w:r>
                        <w:rPr>
                          <w:rFonts w:hint="eastAsia"/>
                          <w:b/>
                          <w:bCs/>
                          <w:sz w:val="28"/>
                          <w:szCs w:val="28"/>
                          <w:lang w:val="en-US" w:eastAsia="zh-CN"/>
                        </w:rPr>
                        <w:t>图例</w:t>
                      </w:r>
                    </w:p>
                    <w:p w14:paraId="08213FF2">
                      <w:pPr>
                        <w:pStyle w:val="8"/>
                        <w:keepNext w:val="0"/>
                        <w:keepLines w:val="0"/>
                        <w:pageBreakBefore w:val="0"/>
                        <w:kinsoku/>
                        <w:wordWrap/>
                        <w:overflowPunct/>
                        <w:topLinePunct w:val="0"/>
                        <w:bidi w:val="0"/>
                        <w:adjustRightInd/>
                        <w:spacing w:before="0" w:after="0" w:line="240" w:lineRule="auto"/>
                        <w:ind w:right="0" w:firstLine="480" w:firstLineChars="200"/>
                        <w:jc w:val="both"/>
                        <w:textAlignment w:val="auto"/>
                        <w:rPr>
                          <w:rFonts w:hint="default"/>
                          <w:sz w:val="24"/>
                          <w:szCs w:val="24"/>
                          <w:lang w:val="en-US" w:eastAsia="zh-CN"/>
                        </w:rPr>
                      </w:pPr>
                      <w:r>
                        <w:rPr>
                          <w:rFonts w:hint="eastAsia"/>
                          <w:sz w:val="24"/>
                          <w:szCs w:val="24"/>
                          <w:lang w:val="en-US" w:eastAsia="zh-CN"/>
                        </w:rPr>
                        <w:t>煤炭堆场</w:t>
                      </w:r>
                    </w:p>
                    <w:p w14:paraId="108CA7ED">
                      <w:pPr>
                        <w:pStyle w:val="9"/>
                        <w:keepNext w:val="0"/>
                        <w:keepLines w:val="0"/>
                        <w:pageBreakBefore w:val="0"/>
                        <w:kinsoku/>
                        <w:wordWrap/>
                        <w:overflowPunct/>
                        <w:topLinePunct w:val="0"/>
                        <w:bidi w:val="0"/>
                        <w:adjustRightInd/>
                        <w:spacing w:line="240" w:lineRule="auto"/>
                        <w:ind w:right="0" w:firstLine="480" w:firstLineChars="200"/>
                        <w:jc w:val="both"/>
                        <w:textAlignment w:val="auto"/>
                        <w:rPr>
                          <w:rFonts w:hint="eastAsia"/>
                          <w:sz w:val="24"/>
                          <w:szCs w:val="24"/>
                          <w:lang w:val="en-US" w:eastAsia="zh-CN"/>
                        </w:rPr>
                      </w:pPr>
                      <w:r>
                        <w:rPr>
                          <w:rFonts w:hint="eastAsia"/>
                          <w:sz w:val="24"/>
                          <w:szCs w:val="24"/>
                          <w:lang w:val="en-US" w:eastAsia="zh-CN"/>
                        </w:rPr>
                        <w:t>导流沟</w:t>
                      </w:r>
                    </w:p>
                    <w:p w14:paraId="6C9085C9">
                      <w:pPr>
                        <w:pStyle w:val="9"/>
                        <w:keepNext w:val="0"/>
                        <w:keepLines w:val="0"/>
                        <w:pageBreakBefore w:val="0"/>
                        <w:kinsoku/>
                        <w:wordWrap/>
                        <w:overflowPunct/>
                        <w:topLinePunct w:val="0"/>
                        <w:bidi w:val="0"/>
                        <w:adjustRightInd/>
                        <w:snapToGrid/>
                        <w:spacing w:line="240" w:lineRule="auto"/>
                        <w:ind w:left="0" w:leftChars="0" w:right="0" w:firstLine="480" w:firstLineChars="200"/>
                        <w:jc w:val="both"/>
                        <w:textAlignment w:val="auto"/>
                        <w:rPr>
                          <w:rFonts w:hint="default"/>
                          <w:lang w:val="en-US" w:eastAsia="zh-CN"/>
                        </w:rPr>
                      </w:pPr>
                      <w:r>
                        <w:rPr>
                          <w:rFonts w:hint="eastAsia"/>
                          <w:sz w:val="24"/>
                          <w:szCs w:val="24"/>
                          <w:lang w:val="en-US" w:eastAsia="zh-CN"/>
                        </w:rPr>
                        <w:t>防风抑尘网</w:t>
                      </w:r>
                    </w:p>
                    <w:p w14:paraId="2975C8C1">
                      <w:pPr>
                        <w:pStyle w:val="10"/>
                        <w:rPr>
                          <w:rFonts w:hint="default"/>
                          <w:lang w:val="en-US" w:eastAsia="zh-CN"/>
                        </w:rPr>
                      </w:pPr>
                    </w:p>
                    <w:p w14:paraId="70C09156">
                      <w:pPr>
                        <w:pStyle w:val="10"/>
                        <w:rPr>
                          <w:rFonts w:hint="default"/>
                          <w:lang w:val="en-US" w:eastAsia="zh-CN"/>
                        </w:rPr>
                      </w:pPr>
                      <w:r>
                        <w:rPr>
                          <w:rFonts w:hint="eastAsia"/>
                          <w:sz w:val="24"/>
                          <w:szCs w:val="24"/>
                          <w:lang w:val="en-US" w:eastAsia="zh-CN"/>
                        </w:rPr>
                        <w:t>的</w:t>
                      </w:r>
                    </w:p>
                    <w:p w14:paraId="34ACF886">
                      <w:pPr>
                        <w:pStyle w:val="10"/>
                        <w:rPr>
                          <w:rFonts w:hint="default"/>
                          <w:lang w:val="en-US" w:eastAsia="zh-CN"/>
                        </w:rPr>
                      </w:pPr>
                    </w:p>
                    <w:p w14:paraId="13265CB3">
                      <w:pPr>
                        <w:pStyle w:val="10"/>
                        <w:rPr>
                          <w:rFonts w:hint="default"/>
                          <w:lang w:val="en-US" w:eastAsia="zh-CN"/>
                        </w:rPr>
                      </w:pPr>
                    </w:p>
                    <w:p w14:paraId="0F0EE94D">
                      <w:pPr>
                        <w:pStyle w:val="10"/>
                        <w:rPr>
                          <w:rFonts w:hint="default"/>
                          <w:lang w:val="en-US" w:eastAsia="zh-CN"/>
                        </w:rPr>
                      </w:pPr>
                      <w:r>
                        <w:rPr>
                          <w:rFonts w:hint="eastAsia"/>
                          <w:lang w:val="en-US" w:eastAsia="zh-CN"/>
                        </w:rPr>
                        <w:t xml:space="preserve"> 的</w:t>
                      </w:r>
                    </w:p>
                    <w:p w14:paraId="5C539D2A">
                      <w:pPr>
                        <w:pStyle w:val="10"/>
                        <w:rPr>
                          <w:rFonts w:hint="eastAsia"/>
                          <w:lang w:val="en-US" w:eastAsia="zh-CN"/>
                        </w:rPr>
                      </w:pPr>
                    </w:p>
                    <w:p w14:paraId="10E47E43">
                      <w:pPr>
                        <w:pStyle w:val="10"/>
                        <w:rPr>
                          <w:rFonts w:hint="default"/>
                          <w:lang w:val="en-US" w:eastAsia="zh-CN"/>
                        </w:rPr>
                      </w:pPr>
                    </w:p>
                  </w:txbxContent>
                </v:textbox>
              </v:shape>
            </w:pict>
          </mc:Fallback>
        </mc:AlternateContent>
      </w:r>
    </w:p>
    <w:p w14:paraId="5319AB1B">
      <w:pPr>
        <w:pStyle w:val="19"/>
        <w:spacing w:line="240" w:lineRule="auto"/>
        <w:ind w:right="113" w:rightChars="0" w:firstLine="0" w:firstLineChars="0"/>
        <w:jc w:val="center"/>
        <w:outlineLvl w:val="0"/>
        <w:rPr>
          <w:rFonts w:hint="default" w:ascii="Times New Roman" w:hAnsi="Times New Roman" w:eastAsia="黑体" w:cs="Times New Roman"/>
          <w:snapToGrid w:val="0"/>
          <w:color w:val="auto"/>
          <w:sz w:val="28"/>
          <w:szCs w:val="28"/>
          <w:highlight w:val="none"/>
          <w:lang w:val="en-US" w:eastAsia="zh-CN"/>
        </w:rPr>
        <w:sectPr>
          <w:footerReference r:id="rId8"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bookmarkStart w:id="64" w:name="_Toc5773"/>
      <w:bookmarkStart w:id="65" w:name="_Toc20694"/>
      <w:bookmarkStart w:id="66" w:name="_Toc13003"/>
      <w:bookmarkStart w:id="67" w:name="_Toc23920"/>
      <w:r>
        <w:rPr>
          <w:rFonts w:hint="eastAsia" w:ascii="宋体" w:hAnsi="宋体" w:eastAsia="宋体" w:cs="宋体"/>
          <w:snapToGrid w:val="0"/>
          <w:color w:val="auto"/>
          <w:sz w:val="28"/>
          <w:szCs w:val="28"/>
          <w:highlight w:val="none"/>
          <w:lang w:val="en-US" w:eastAsia="zh-CN"/>
        </w:rPr>
        <w:t>附图</w:t>
      </w:r>
      <w:r>
        <w:rPr>
          <w:rFonts w:hint="default" w:ascii="Times New Roman" w:hAnsi="Times New Roman" w:eastAsia="黑体" w:cs="Times New Roman"/>
          <w:snapToGrid w:val="0"/>
          <w:color w:val="auto"/>
          <w:sz w:val="28"/>
          <w:szCs w:val="28"/>
          <w:highlight w:val="none"/>
          <w:lang w:val="en-US" w:eastAsia="zh-CN"/>
        </w:rPr>
        <w:t>2</w:t>
      </w:r>
      <w:r>
        <w:rPr>
          <w:rFonts w:hint="eastAsia" w:ascii="宋体" w:hAnsi="宋体" w:eastAsia="宋体" w:cs="宋体"/>
          <w:snapToGrid w:val="0"/>
          <w:color w:val="auto"/>
          <w:sz w:val="28"/>
          <w:szCs w:val="28"/>
          <w:highlight w:val="none"/>
          <w:lang w:val="en-US" w:eastAsia="zh-CN"/>
        </w:rPr>
        <w:t>项目总平面布置图</w:t>
      </w:r>
      <w:bookmarkEnd w:id="64"/>
      <w:bookmarkEnd w:id="65"/>
      <w:bookmarkEnd w:id="66"/>
      <w:bookmarkEnd w:id="67"/>
    </w:p>
    <w:p w14:paraId="2A22BB03">
      <w:pPr>
        <w:jc w:val="both"/>
        <w:rPr>
          <w:rFonts w:hint="default" w:ascii="Times New Roman" w:hAnsi="Times New Roman" w:cs="Times New Roman"/>
          <w:color w:val="auto"/>
        </w:rPr>
      </w:pPr>
      <w:r>
        <w:rPr>
          <w:rFonts w:hint="default" w:ascii="Times New Roman" w:hAnsi="Times New Roman" w:cs="Times New Roman"/>
          <w:color w:val="auto"/>
          <w:sz w:val="21"/>
          <w:highlight w:val="none"/>
        </w:rPr>
        <mc:AlternateContent>
          <mc:Choice Requires="wps">
            <w:drawing>
              <wp:anchor distT="0" distB="0" distL="114300" distR="114300" simplePos="0" relativeHeight="251716608" behindDoc="0" locked="0" layoutInCell="1" allowOverlap="1">
                <wp:simplePos x="0" y="0"/>
                <wp:positionH relativeFrom="column">
                  <wp:posOffset>5913120</wp:posOffset>
                </wp:positionH>
                <wp:positionV relativeFrom="paragraph">
                  <wp:posOffset>368300</wp:posOffset>
                </wp:positionV>
                <wp:extent cx="1551305" cy="471805"/>
                <wp:effectExtent l="0" t="83820" r="29210" b="244475"/>
                <wp:wrapNone/>
                <wp:docPr id="98" name="任意多边形 98"/>
                <wp:cNvGraphicFramePr/>
                <a:graphic xmlns:a="http://schemas.openxmlformats.org/drawingml/2006/main">
                  <a:graphicData uri="http://schemas.microsoft.com/office/word/2010/wordprocessingShape">
                    <wps:wsp>
                      <wps:cNvSpPr/>
                      <wps:spPr>
                        <a:xfrm rot="20460000">
                          <a:off x="0" y="0"/>
                          <a:ext cx="1551305" cy="472110"/>
                        </a:xfrm>
                        <a:custGeom>
                          <a:avLst/>
                          <a:gdLst>
                            <a:gd name="connsiteX0" fmla="*/ 101 w 2443"/>
                            <a:gd name="connsiteY0" fmla="*/ 0 h 743"/>
                            <a:gd name="connsiteX1" fmla="*/ 2443 w 2443"/>
                            <a:gd name="connsiteY1" fmla="*/ 272 h 743"/>
                            <a:gd name="connsiteX2" fmla="*/ 2399 w 2443"/>
                            <a:gd name="connsiteY2" fmla="*/ 737 h 743"/>
                            <a:gd name="connsiteX3" fmla="*/ 0 w 2443"/>
                            <a:gd name="connsiteY3" fmla="*/ 719 h 743"/>
                            <a:gd name="connsiteX4" fmla="*/ 101 w 2443"/>
                            <a:gd name="connsiteY4" fmla="*/ 0 h 7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43" h="743">
                              <a:moveTo>
                                <a:pt x="101" y="0"/>
                              </a:moveTo>
                              <a:lnTo>
                                <a:pt x="2443" y="272"/>
                              </a:lnTo>
                              <a:lnTo>
                                <a:pt x="2399" y="737"/>
                              </a:lnTo>
                              <a:cubicBezTo>
                                <a:pt x="1570" y="736"/>
                                <a:pt x="738" y="761"/>
                                <a:pt x="0" y="719"/>
                              </a:cubicBezTo>
                              <a:lnTo>
                                <a:pt x="101" y="0"/>
                              </a:lnTo>
                              <a:close/>
                            </a:path>
                          </a:pathLst>
                        </a:custGeom>
                        <a:solidFill>
                          <a:srgbClr val="14E0E3">
                            <a:alpha val="43000"/>
                          </a:srgbClr>
                        </a:solidFill>
                        <a:ln>
                          <a:solidFill>
                            <a:srgbClr val="13DEE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465.6pt;margin-top:29pt;height:37.15pt;width:122.15pt;rotation:-1245184f;z-index:251716608;v-text-anchor:middle;mso-width-relative:page;mso-height-relative:page;" fillcolor="#14E0E3" filled="t" stroked="t" coordsize="2443,743" o:gfxdata="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" path="m101,0l2443,272,2399,737c1570,736,738,761,0,719l101,0xe">
                <v:path o:connectlocs="64135,0;1551305,172831;1523365,468297;0,456860;64135,0" o:connectangles="0,0,0,0,0"/>
                <v:fill on="t" opacity="28180f" focussize="0,0"/>
                <v:stroke weight="1pt" color="#13DEE1 [2404]" miterlimit="8" joinstyle="miter"/>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92032" behindDoc="0" locked="0" layoutInCell="1" allowOverlap="1">
                <wp:simplePos x="0" y="0"/>
                <wp:positionH relativeFrom="column">
                  <wp:posOffset>2466340</wp:posOffset>
                </wp:positionH>
                <wp:positionV relativeFrom="paragraph">
                  <wp:posOffset>1550670</wp:posOffset>
                </wp:positionV>
                <wp:extent cx="636905" cy="576580"/>
                <wp:effectExtent l="27305" t="33020" r="40640" b="38100"/>
                <wp:wrapNone/>
                <wp:docPr id="108" name="任意多边形 108"/>
                <wp:cNvGraphicFramePr/>
                <a:graphic xmlns:a="http://schemas.openxmlformats.org/drawingml/2006/main">
                  <a:graphicData uri="http://schemas.microsoft.com/office/word/2010/wordprocessingShape">
                    <wps:wsp>
                      <wps:cNvSpPr/>
                      <wps:spPr>
                        <a:xfrm rot="21180000">
                          <a:off x="0" y="0"/>
                          <a:ext cx="636905" cy="576580"/>
                        </a:xfrm>
                        <a:custGeom>
                          <a:avLst/>
                          <a:gdLst>
                            <a:gd name="connsiteX0" fmla="*/ 0 w 1003"/>
                            <a:gd name="connsiteY0" fmla="*/ 172 h 908"/>
                            <a:gd name="connsiteX1" fmla="*/ 853 w 1003"/>
                            <a:gd name="connsiteY1" fmla="*/ 0 h 908"/>
                            <a:gd name="connsiteX2" fmla="*/ 1003 w 1003"/>
                            <a:gd name="connsiteY2" fmla="*/ 753 h 908"/>
                            <a:gd name="connsiteX3" fmla="*/ 149 w 1003"/>
                            <a:gd name="connsiteY3" fmla="*/ 908 h 908"/>
                            <a:gd name="connsiteX4" fmla="*/ 0 w 1003"/>
                            <a:gd name="connsiteY4" fmla="*/ 172 h 9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3" h="908">
                              <a:moveTo>
                                <a:pt x="0" y="172"/>
                              </a:moveTo>
                              <a:lnTo>
                                <a:pt x="853" y="0"/>
                              </a:lnTo>
                              <a:lnTo>
                                <a:pt x="1003" y="753"/>
                              </a:lnTo>
                              <a:lnTo>
                                <a:pt x="149" y="908"/>
                              </a:lnTo>
                              <a:lnTo>
                                <a:pt x="0" y="172"/>
                              </a:lnTo>
                              <a:close/>
                            </a:path>
                          </a:pathLst>
                        </a:custGeom>
                        <a:solidFill>
                          <a:srgbClr val="07D207">
                            <a:alpha val="62000"/>
                          </a:srgbClr>
                        </a:solidFill>
                        <a:ln>
                          <a:solidFill>
                            <a:srgbClr val="0CD80C"/>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194.2pt;margin-top:122.1pt;height:45.4pt;width:50.15pt;rotation:-458752f;z-index:251692032;v-text-anchor:middle;mso-width-relative:page;mso-height-relative:page;" fillcolor="#07D207" filled="t" stroked="t" coordsize="1003,908" o:gfxdata="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" path="m0,172l853,0,1003,753,149,908,0,172xe">
                <v:path o:connectlocs="0,109220;541655,0;636905,478155;94615,576580;0,109220" o:connectangles="0,0,0,0,0"/>
                <v:fill on="t" opacity="40632f" focussize="0,0"/>
                <v:stroke weight="1pt" color="#0CD80C [2404]" miterlimit="8" joinstyle="miter"/>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91008" behindDoc="0" locked="0" layoutInCell="1" allowOverlap="1">
                <wp:simplePos x="0" y="0"/>
                <wp:positionH relativeFrom="column">
                  <wp:posOffset>3298190</wp:posOffset>
                </wp:positionH>
                <wp:positionV relativeFrom="paragraph">
                  <wp:posOffset>1084580</wp:posOffset>
                </wp:positionV>
                <wp:extent cx="2249805" cy="342900"/>
                <wp:effectExtent l="0" t="302260" r="5715" b="364490"/>
                <wp:wrapNone/>
                <wp:docPr id="107" name="任意多边形 107"/>
                <wp:cNvGraphicFramePr/>
                <a:graphic xmlns:a="http://schemas.openxmlformats.org/drawingml/2006/main">
                  <a:graphicData uri="http://schemas.microsoft.com/office/word/2010/wordprocessingShape">
                    <wps:wsp>
                      <wps:cNvSpPr/>
                      <wps:spPr>
                        <a:xfrm rot="20460000">
                          <a:off x="0" y="0"/>
                          <a:ext cx="2249805" cy="342900"/>
                        </a:xfrm>
                        <a:custGeom>
                          <a:avLst/>
                          <a:gdLst>
                            <a:gd name="connsiteX0" fmla="*/ 17 w 3543"/>
                            <a:gd name="connsiteY0" fmla="*/ 0 h 540"/>
                            <a:gd name="connsiteX1" fmla="*/ 3500 w 3543"/>
                            <a:gd name="connsiteY1" fmla="*/ 89 h 540"/>
                            <a:gd name="connsiteX2" fmla="*/ 3543 w 3543"/>
                            <a:gd name="connsiteY2" fmla="*/ 540 h 540"/>
                            <a:gd name="connsiteX3" fmla="*/ 0 w 3543"/>
                            <a:gd name="connsiteY3" fmla="*/ 537 h 540"/>
                            <a:gd name="connsiteX4" fmla="*/ 17 w 3543"/>
                            <a:gd name="connsiteY4" fmla="*/ 0 h 5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43" h="540">
                              <a:moveTo>
                                <a:pt x="17" y="0"/>
                              </a:moveTo>
                              <a:lnTo>
                                <a:pt x="3500" y="89"/>
                              </a:lnTo>
                              <a:lnTo>
                                <a:pt x="3543" y="540"/>
                              </a:lnTo>
                              <a:lnTo>
                                <a:pt x="0" y="537"/>
                              </a:lnTo>
                              <a:lnTo>
                                <a:pt x="17" y="0"/>
                              </a:lnTo>
                              <a:close/>
                            </a:path>
                          </a:pathLst>
                        </a:custGeom>
                        <a:solidFill>
                          <a:srgbClr val="14E0E3">
                            <a:alpha val="43000"/>
                          </a:srgbClr>
                        </a:solidFill>
                        <a:ln>
                          <a:solidFill>
                            <a:srgbClr val="13DEE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259.7pt;margin-top:85.4pt;height:27pt;width:177.15pt;rotation:-1245184f;z-index:251691008;v-text-anchor:middle;mso-width-relative:page;mso-height-relative:page;" fillcolor="#14E0E3" filled="t" stroked="t" coordsize="3543,540" o:gfxdata="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" path="m17,0l3500,89,3543,540,0,537,17,0xe">
                <v:path o:connectlocs="10795,0;2222500,56515;2249805,342900;0,340995;10795,0" o:connectangles="0,0,0,0,0"/>
                <v:fill on="t" opacity="28180f" focussize="0,0"/>
                <v:stroke weight="1pt" color="#13DEE1 [2404]" miterlimit="8" joinstyle="miter"/>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679744" behindDoc="0" locked="0" layoutInCell="1" allowOverlap="1">
            <wp:simplePos x="0" y="0"/>
            <wp:positionH relativeFrom="column">
              <wp:posOffset>-36830</wp:posOffset>
            </wp:positionH>
            <wp:positionV relativeFrom="paragraph">
              <wp:posOffset>153670</wp:posOffset>
            </wp:positionV>
            <wp:extent cx="718820" cy="709295"/>
            <wp:effectExtent l="0" t="0" r="5080" b="1905"/>
            <wp:wrapNone/>
            <wp:docPr id="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
                    <pic:cNvPicPr>
                      <a:picLocks noChangeAspect="1"/>
                    </pic:cNvPicPr>
                  </pic:nvPicPr>
                  <pic:blipFill>
                    <a:blip r:embed="rId30"/>
                    <a:stretch>
                      <a:fillRect/>
                    </a:stretch>
                  </pic:blipFill>
                  <pic:spPr>
                    <a:xfrm>
                      <a:off x="0" y="0"/>
                      <a:ext cx="718820" cy="709295"/>
                    </a:xfrm>
                    <a:prstGeom prst="rect">
                      <a:avLst/>
                    </a:prstGeom>
                    <a:noFill/>
                    <a:ln>
                      <a:noFill/>
                    </a:ln>
                  </pic:spPr>
                </pic:pic>
              </a:graphicData>
            </a:graphic>
          </wp:anchor>
        </w:drawing>
      </w:r>
      <w:r>
        <w:rPr>
          <w:color w:val="auto"/>
        </w:rPr>
        <w:drawing>
          <wp:inline distT="0" distB="0" distL="114300" distR="114300">
            <wp:extent cx="8522335" cy="4979670"/>
            <wp:effectExtent l="0" t="0" r="12065" b="11430"/>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34"/>
                    <a:stretch>
                      <a:fillRect/>
                    </a:stretch>
                  </pic:blipFill>
                  <pic:spPr>
                    <a:xfrm>
                      <a:off x="0" y="0"/>
                      <a:ext cx="8522335" cy="4979670"/>
                    </a:xfrm>
                    <a:prstGeom prst="rect">
                      <a:avLst/>
                    </a:prstGeom>
                    <a:noFill/>
                    <a:ln>
                      <a:noFill/>
                    </a:ln>
                  </pic:spPr>
                </pic:pic>
              </a:graphicData>
            </a:graphic>
          </wp:inline>
        </w:drawing>
      </w:r>
      <w:r>
        <w:rPr>
          <w:rFonts w:hint="default" w:ascii="Times New Roman" w:hAnsi="Times New Roman" w:cs="Times New Roman"/>
          <w:color w:val="auto"/>
          <w:highlight w:val="none"/>
        </w:rPr>
        <mc:AlternateContent>
          <mc:Choice Requires="wps">
            <w:drawing>
              <wp:anchor distT="0" distB="0" distL="114300" distR="114300" simplePos="0" relativeHeight="251678720" behindDoc="0" locked="0" layoutInCell="1" allowOverlap="1">
                <wp:simplePos x="0" y="0"/>
                <wp:positionH relativeFrom="column">
                  <wp:posOffset>7415530</wp:posOffset>
                </wp:positionH>
                <wp:positionV relativeFrom="paragraph">
                  <wp:posOffset>4379595</wp:posOffset>
                </wp:positionV>
                <wp:extent cx="993140" cy="295275"/>
                <wp:effectExtent l="0" t="0" r="0" b="0"/>
                <wp:wrapNone/>
                <wp:docPr id="94" name="Text Box 99"/>
                <wp:cNvGraphicFramePr/>
                <a:graphic xmlns:a="http://schemas.openxmlformats.org/drawingml/2006/main">
                  <a:graphicData uri="http://schemas.microsoft.com/office/word/2010/wordprocessingShape">
                    <wps:wsp>
                      <wps:cNvSpPr txBox="1">
                        <a:spLocks noChangeArrowheads="1"/>
                      </wps:cNvSpPr>
                      <wps:spPr bwMode="auto">
                        <a:xfrm>
                          <a:off x="0" y="0"/>
                          <a:ext cx="993140" cy="295275"/>
                        </a:xfrm>
                        <a:prstGeom prst="rect">
                          <a:avLst/>
                        </a:prstGeom>
                        <a:noFill/>
                        <a:ln>
                          <a:noFill/>
                        </a:ln>
                      </wps:spPr>
                      <wps:txbx>
                        <w:txbxContent>
                          <w:p w14:paraId="368FB568">
                            <w:pPr>
                              <w:rPr>
                                <w:rFonts w:hint="default" w:eastAsia="宋体"/>
                                <w:b w:val="0"/>
                                <w:bCs w:val="0"/>
                                <w:sz w:val="24"/>
                                <w:szCs w:val="24"/>
                                <w:lang w:val="en-US" w:eastAsia="zh-CN"/>
                              </w:rPr>
                            </w:pPr>
                            <w:r>
                              <w:rPr>
                                <w:rFonts w:hint="eastAsia"/>
                                <w:b w:val="0"/>
                                <w:bCs w:val="0"/>
                                <w:sz w:val="24"/>
                                <w:szCs w:val="24"/>
                                <w:lang w:val="en-US" w:eastAsia="zh-CN"/>
                              </w:rPr>
                              <w:t>一般防渗区</w:t>
                            </w:r>
                          </w:p>
                        </w:txbxContent>
                      </wps:txbx>
                      <wps:bodyPr rot="0" vert="horz" wrap="square" lIns="91440" tIns="45720" rIns="91440" bIns="45720" anchor="t" anchorCtr="0" upright="1">
                        <a:noAutofit/>
                      </wps:bodyPr>
                    </wps:wsp>
                  </a:graphicData>
                </a:graphic>
              </wp:anchor>
            </w:drawing>
          </mc:Choice>
          <mc:Fallback>
            <w:pict>
              <v:shape id="Text Box 99" o:spid="_x0000_s1026" o:spt="202" type="#_x0000_t202" style="position:absolute;left:0pt;margin-left:583.9pt;margin-top:344.85pt;height:23.25pt;width:78.2pt;z-index:251678720;mso-width-relative:page;mso-height-relative:page;" filled="f" stroked="f" coordsize="21600,21600" o:gfxdata="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U9VeL2gAAAA0BAAAPAAAAAAAAAAEAIAAAACIA&#10;AABkcnMvZG93bnJldi54bWxQSwECFAAUAAAACACHTuJAD/jw7wcCAAAVBAAADgAAAAAAAAABACAA&#10;AAApAQAAZHJzL2Uyb0RvYy54bWxQSwUGAAAAAAYABgBZAQAAogUAAAAA&#10;">
                <v:fill on="f" focussize="0,0"/>
                <v:stroke on="f"/>
                <v:imagedata o:title=""/>
                <o:lock v:ext="edit" aspectratio="f"/>
                <v:textbox>
                  <w:txbxContent>
                    <w:p w14:paraId="368FB568">
                      <w:pPr>
                        <w:rPr>
                          <w:rFonts w:hint="default" w:eastAsia="宋体"/>
                          <w:b w:val="0"/>
                          <w:bCs w:val="0"/>
                          <w:sz w:val="24"/>
                          <w:szCs w:val="24"/>
                          <w:lang w:val="en-US" w:eastAsia="zh-CN"/>
                        </w:rPr>
                      </w:pPr>
                      <w:r>
                        <w:rPr>
                          <w:rFonts w:hint="eastAsia"/>
                          <w:b w:val="0"/>
                          <w:bCs w:val="0"/>
                          <w:sz w:val="24"/>
                          <w:szCs w:val="24"/>
                          <w:lang w:val="en-US" w:eastAsia="zh-CN"/>
                        </w:rPr>
                        <w:t>一般防渗区</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7696" behindDoc="0" locked="0" layoutInCell="1" allowOverlap="1">
                <wp:simplePos x="0" y="0"/>
                <wp:positionH relativeFrom="column">
                  <wp:posOffset>7397115</wp:posOffset>
                </wp:positionH>
                <wp:positionV relativeFrom="paragraph">
                  <wp:posOffset>4164965</wp:posOffset>
                </wp:positionV>
                <wp:extent cx="1002030" cy="257175"/>
                <wp:effectExtent l="0" t="0" r="0" b="0"/>
                <wp:wrapNone/>
                <wp:docPr id="77" name="Text Box 99"/>
                <wp:cNvGraphicFramePr/>
                <a:graphic xmlns:a="http://schemas.openxmlformats.org/drawingml/2006/main">
                  <a:graphicData uri="http://schemas.microsoft.com/office/word/2010/wordprocessingShape">
                    <wps:wsp>
                      <wps:cNvSpPr txBox="1">
                        <a:spLocks noChangeArrowheads="1"/>
                      </wps:cNvSpPr>
                      <wps:spPr bwMode="auto">
                        <a:xfrm>
                          <a:off x="0" y="0"/>
                          <a:ext cx="1002030" cy="257175"/>
                        </a:xfrm>
                        <a:prstGeom prst="rect">
                          <a:avLst/>
                        </a:prstGeom>
                        <a:noFill/>
                        <a:ln>
                          <a:noFill/>
                        </a:ln>
                      </wps:spPr>
                      <wps:txbx>
                        <w:txbxContent>
                          <w:p w14:paraId="609FD77B">
                            <w:pPr>
                              <w:rPr>
                                <w:rFonts w:hint="default" w:eastAsia="宋体"/>
                                <w:b w:val="0"/>
                                <w:bCs w:val="0"/>
                                <w:sz w:val="24"/>
                                <w:szCs w:val="24"/>
                                <w:lang w:val="en-US" w:eastAsia="zh-CN"/>
                              </w:rPr>
                            </w:pPr>
                            <w:r>
                              <w:rPr>
                                <w:rFonts w:hint="eastAsia"/>
                                <w:b w:val="0"/>
                                <w:bCs w:val="0"/>
                                <w:sz w:val="24"/>
                                <w:szCs w:val="24"/>
                                <w:lang w:val="en-US" w:eastAsia="zh-CN"/>
                              </w:rPr>
                              <w:t>简单防渗区</w:t>
                            </w:r>
                          </w:p>
                        </w:txbxContent>
                      </wps:txbx>
                      <wps:bodyPr rot="0" vert="horz" wrap="square" lIns="91440" tIns="45720" rIns="91440" bIns="45720" anchor="t" anchorCtr="0" upright="1">
                        <a:noAutofit/>
                      </wps:bodyPr>
                    </wps:wsp>
                  </a:graphicData>
                </a:graphic>
              </wp:anchor>
            </w:drawing>
          </mc:Choice>
          <mc:Fallback>
            <w:pict>
              <v:shape id="Text Box 99" o:spid="_x0000_s1026" o:spt="202" type="#_x0000_t202" style="position:absolute;left:0pt;margin-left:582.45pt;margin-top:327.95pt;height:20.25pt;width:78.9pt;z-index:251677696;mso-width-relative:page;mso-height-relative:page;" filled="f" stroked="f" coordsize="21600,21600" o:gfxdata="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soLSo2QAAAA0BAAAPAAAAAAAAAAEAIAAAACIA&#10;AABkcnMvZG93bnJldi54bWxQSwECFAAUAAAACACHTuJACTF/wAgCAAAWBAAADgAAAAAAAAABACAA&#10;AAAoAQAAZHJzL2Uyb0RvYy54bWxQSwUGAAAAAAYABgBZAQAAogUAAAAA&#10;">
                <v:fill on="f" focussize="0,0"/>
                <v:stroke on="f"/>
                <v:imagedata o:title=""/>
                <o:lock v:ext="edit" aspectratio="f"/>
                <v:textbox>
                  <w:txbxContent>
                    <w:p w14:paraId="609FD77B">
                      <w:pPr>
                        <w:rPr>
                          <w:rFonts w:hint="default" w:eastAsia="宋体"/>
                          <w:b w:val="0"/>
                          <w:bCs w:val="0"/>
                          <w:sz w:val="24"/>
                          <w:szCs w:val="24"/>
                          <w:lang w:val="en-US" w:eastAsia="zh-CN"/>
                        </w:rPr>
                      </w:pPr>
                      <w:r>
                        <w:rPr>
                          <w:rFonts w:hint="eastAsia"/>
                          <w:b w:val="0"/>
                          <w:bCs w:val="0"/>
                          <w:sz w:val="24"/>
                          <w:szCs w:val="24"/>
                          <w:lang w:val="en-US" w:eastAsia="zh-CN"/>
                        </w:rPr>
                        <w:t>简单防渗区</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76672" behindDoc="0" locked="0" layoutInCell="1" allowOverlap="1">
                <wp:simplePos x="0" y="0"/>
                <wp:positionH relativeFrom="column">
                  <wp:posOffset>7113270</wp:posOffset>
                </wp:positionH>
                <wp:positionV relativeFrom="paragraph">
                  <wp:posOffset>4434205</wp:posOffset>
                </wp:positionV>
                <wp:extent cx="213360" cy="139065"/>
                <wp:effectExtent l="6350" t="6350" r="8890" b="6985"/>
                <wp:wrapNone/>
                <wp:docPr id="80" name="矩形 80"/>
                <wp:cNvGraphicFramePr/>
                <a:graphic xmlns:a="http://schemas.openxmlformats.org/drawingml/2006/main">
                  <a:graphicData uri="http://schemas.microsoft.com/office/word/2010/wordprocessingShape">
                    <wps:wsp>
                      <wps:cNvSpPr/>
                      <wps:spPr>
                        <a:xfrm>
                          <a:off x="0" y="0"/>
                          <a:ext cx="213360" cy="139065"/>
                        </a:xfrm>
                        <a:prstGeom prst="rect">
                          <a:avLst/>
                        </a:prstGeom>
                        <a:solidFill>
                          <a:srgbClr val="07D207"/>
                        </a:solidFill>
                        <a:ln>
                          <a:solidFill>
                            <a:srgbClr val="0CD80C"/>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0.1pt;margin-top:349.15pt;height:10.95pt;width:16.8pt;z-index:251676672;v-text-anchor:middle;mso-width-relative:page;mso-height-relative:page;" fillcolor="#07D207" filled="t" stroked="t" coordsize="21600,21600" o:gfxdata="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kYgwq2QAAAA0BAAAPAAAAAAAAAAEAIAAAACIAAABkcnMvZG93&#10;bnJldi54bWxQSwECFAAUAAAACACHTuJA+SVoRXECAAD1BAAADgAAAAAAAAABACAAAAAoAQAAZHJz&#10;L2Uyb0RvYy54bWxQSwUGAAAAAAYABgBZAQAACwYAAAAA&#10;">
                <v:fill on="t" focussize="0,0"/>
                <v:stroke weight="1pt" color="#0CD80C [2404]" miterlimit="8" joinstyle="miter"/>
                <v:imagedata o:title=""/>
                <o:lock v:ext="edit" aspectratio="f"/>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75648" behindDoc="0" locked="0" layoutInCell="1" allowOverlap="1">
                <wp:simplePos x="0" y="0"/>
                <wp:positionH relativeFrom="column">
                  <wp:posOffset>7113270</wp:posOffset>
                </wp:positionH>
                <wp:positionV relativeFrom="paragraph">
                  <wp:posOffset>4224655</wp:posOffset>
                </wp:positionV>
                <wp:extent cx="213360" cy="139065"/>
                <wp:effectExtent l="6350" t="6350" r="8890" b="6985"/>
                <wp:wrapNone/>
                <wp:docPr id="82" name="矩形 82"/>
                <wp:cNvGraphicFramePr/>
                <a:graphic xmlns:a="http://schemas.openxmlformats.org/drawingml/2006/main">
                  <a:graphicData uri="http://schemas.microsoft.com/office/word/2010/wordprocessingShape">
                    <wps:wsp>
                      <wps:cNvSpPr/>
                      <wps:spPr>
                        <a:xfrm>
                          <a:off x="0" y="0"/>
                          <a:ext cx="213360" cy="139065"/>
                        </a:xfrm>
                        <a:prstGeom prst="rect">
                          <a:avLst/>
                        </a:prstGeom>
                        <a:solidFill>
                          <a:srgbClr val="14E0E3"/>
                        </a:solidFill>
                        <a:ln>
                          <a:solidFill>
                            <a:srgbClr val="13DEE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0.1pt;margin-top:332.65pt;height:10.95pt;width:16.8pt;z-index:251675648;v-text-anchor:middle;mso-width-relative:page;mso-height-relative:page;" fillcolor="#14E0E3" filled="t" stroked="t" coordsize="21600,21600" o:gfxdata="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OHIQS/YAAAADQEAAA8AAAAAAAAAAQAgAAAAIgAAAGRycy9k&#10;b3ducmV2LnhtbFBLAQIUABQAAAAIAIdO4kBV5KpxdAIAAPUEAAAOAAAAAAAAAAEAIAAAACcBAABk&#10;cnMvZTJvRG9jLnhtbFBLBQYAAAAABgAGAFkBAAANBgAAAAA=&#10;">
                <v:fill on="t" focussize="0,0"/>
                <v:stroke weight="1pt" color="#13DEE1 [2404]" miterlimit="8" joinstyle="miter"/>
                <v:imagedata o:title=""/>
                <o:lock v:ext="edit" aspectratio="f"/>
              </v:rect>
            </w:pict>
          </mc:Fallback>
        </mc:AlternateContent>
      </w:r>
      <w:r>
        <w:rPr>
          <w:rFonts w:hint="default" w:ascii="Times New Roman" w:hAnsi="Times New Roman" w:cs="Times New Roman"/>
          <w:b/>
          <w:color w:val="auto"/>
          <w:kern w:val="2"/>
          <w:sz w:val="24"/>
          <w:szCs w:val="24"/>
          <w:highlight w:val="none"/>
        </w:rPr>
        <mc:AlternateContent>
          <mc:Choice Requires="wpg">
            <w:drawing>
              <wp:anchor distT="0" distB="0" distL="114300" distR="114300" simplePos="0" relativeHeight="251674624" behindDoc="0" locked="0" layoutInCell="1" allowOverlap="1">
                <wp:simplePos x="0" y="0"/>
                <wp:positionH relativeFrom="column">
                  <wp:posOffset>6927850</wp:posOffset>
                </wp:positionH>
                <wp:positionV relativeFrom="paragraph">
                  <wp:posOffset>3568065</wp:posOffset>
                </wp:positionV>
                <wp:extent cx="1516380" cy="1561465"/>
                <wp:effectExtent l="4445" t="4445" r="22225" b="15240"/>
                <wp:wrapNone/>
                <wp:docPr id="75" name="Group 104"/>
                <wp:cNvGraphicFramePr/>
                <a:graphic xmlns:a="http://schemas.openxmlformats.org/drawingml/2006/main">
                  <a:graphicData uri="http://schemas.microsoft.com/office/word/2010/wordprocessingGroup">
                    <wpg:wgp>
                      <wpg:cNvGrpSpPr/>
                      <wpg:grpSpPr>
                        <a:xfrm>
                          <a:off x="0" y="0"/>
                          <a:ext cx="1516380" cy="1561465"/>
                          <a:chOff x="11475" y="8370"/>
                          <a:chExt cx="2895" cy="1425"/>
                        </a:xfrm>
                      </wpg:grpSpPr>
                      <wps:wsp>
                        <wps:cNvPr id="78" name="Rectangle 98"/>
                        <wps:cNvSpPr>
                          <a:spLocks noChangeArrowheads="1"/>
                        </wps:cNvSpPr>
                        <wps:spPr bwMode="auto">
                          <a:xfrm>
                            <a:off x="11475" y="8370"/>
                            <a:ext cx="2895" cy="1425"/>
                          </a:xfrm>
                          <a:prstGeom prst="rect">
                            <a:avLst/>
                          </a:prstGeom>
                          <a:solidFill>
                            <a:srgbClr val="FFFFFF"/>
                          </a:solidFill>
                          <a:ln w="9525">
                            <a:solidFill>
                              <a:srgbClr val="000000"/>
                            </a:solidFill>
                            <a:miter lim="800000"/>
                          </a:ln>
                        </wps:spPr>
                        <wps:txbx>
                          <w:txbxContent>
                            <w:p w14:paraId="1B8E0048">
                              <w:pPr>
                                <w:jc w:val="center"/>
                              </w:pPr>
                            </w:p>
                            <w:p w14:paraId="275C893A">
                              <w:pPr>
                                <w:pStyle w:val="8"/>
                              </w:pPr>
                            </w:p>
                            <w:p w14:paraId="2BD2643E">
                              <w:pPr>
                                <w:pStyle w:val="9"/>
                              </w:pPr>
                            </w:p>
                            <w:p w14:paraId="6B5A012E">
                              <w:pPr>
                                <w:pStyle w:val="10"/>
                              </w:pPr>
                            </w:p>
                            <w:p w14:paraId="2890B4F5"/>
                            <w:p w14:paraId="2B192300">
                              <w:pPr>
                                <w:pStyle w:val="8"/>
                              </w:pPr>
                            </w:p>
                            <w:p w14:paraId="00C012B5">
                              <w:pPr>
                                <w:pStyle w:val="9"/>
                                <w:rPr>
                                  <w:rFonts w:hint="default" w:eastAsia="宋体"/>
                                  <w:lang w:val="en-US" w:eastAsia="zh-CN"/>
                                </w:rPr>
                              </w:pPr>
                              <w:r>
                                <w:rPr>
                                  <w:rFonts w:hint="eastAsia"/>
                                  <w:lang w:val="en-US" w:eastAsia="zh-CN"/>
                                </w:rPr>
                                <w:t>比例尺</w:t>
                              </w:r>
                              <w:r>
                                <w:rPr>
                                  <w:rFonts w:hint="default" w:ascii="Times New Roman" w:hAnsi="Times New Roman" w:cs="Times New Roman"/>
                                  <w:lang w:val="en-US" w:eastAsia="zh-CN"/>
                                </w:rPr>
                                <w:t>：1：2256</w:t>
                              </w:r>
                            </w:p>
                          </w:txbxContent>
                        </wps:txbx>
                        <wps:bodyPr rot="0" vert="horz" wrap="square" lIns="91440" tIns="45720" rIns="91440" bIns="45720" anchor="t" anchorCtr="0" upright="1">
                          <a:noAutofit/>
                        </wps:bodyPr>
                      </wps:wsp>
                      <wps:wsp>
                        <wps:cNvPr id="79" name="Text Box 99"/>
                        <wps:cNvSpPr txBox="1">
                          <a:spLocks noChangeArrowheads="1"/>
                        </wps:cNvSpPr>
                        <wps:spPr bwMode="auto">
                          <a:xfrm>
                            <a:off x="12360" y="8458"/>
                            <a:ext cx="1284" cy="276"/>
                          </a:xfrm>
                          <a:prstGeom prst="rect">
                            <a:avLst/>
                          </a:prstGeom>
                          <a:noFill/>
                          <a:ln>
                            <a:noFill/>
                          </a:ln>
                        </wps:spPr>
                        <wps:txbx>
                          <w:txbxContent>
                            <w:p w14:paraId="73B44D4C">
                              <w:pPr>
                                <w:rPr>
                                  <w:b/>
                                  <w:bCs/>
                                  <w:sz w:val="28"/>
                                  <w:szCs w:val="28"/>
                                </w:rPr>
                              </w:pPr>
                              <w:r>
                                <w:rPr>
                                  <w:rFonts w:hint="eastAsia"/>
                                  <w:b/>
                                  <w:bCs/>
                                  <w:sz w:val="28"/>
                                  <w:szCs w:val="28"/>
                                </w:rPr>
                                <w:t>图例</w:t>
                              </w:r>
                            </w:p>
                          </w:txbxContent>
                        </wps:txbx>
                        <wps:bodyPr rot="0" vert="horz" wrap="square" lIns="91440" tIns="45720" rIns="91440" bIns="45720" anchor="t" anchorCtr="0" upright="1">
                          <a:noAutofit/>
                        </wps:bodyPr>
                      </wps:wsp>
                    </wpg:wgp>
                  </a:graphicData>
                </a:graphic>
              </wp:anchor>
            </w:drawing>
          </mc:Choice>
          <mc:Fallback>
            <w:pict>
              <v:group id="Group 104" o:spid="_x0000_s1026" o:spt="203" style="position:absolute;left:0pt;margin-left:545.5pt;margin-top:280.95pt;height:122.95pt;width:119.4pt;z-index:251674624;mso-width-relative:page;mso-height-relative:page;" coordorigin="11475,8370" coordsize="2895,1425" o:gfxdata="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">
                <o:lock v:ext="edit" aspectratio="f"/>
                <v:rect id="Rectangle 98" o:spid="_x0000_s1026" o:spt="1" style="position:absolute;left:11475;top:8370;height:1425;width:2895;" fillcolor="#FFFFFF" filled="t" stroked="t" coordsize="21600,21600" o:gfxdata="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Nfc3ugAAANsA&#10;AAAPAAAAAAAAAAEAIAAAACIAAABkcnMvZG93bnJldi54bWxQSwECFAAUAAAACACHTuJAMy8FnjsA&#10;AAA5AAAAEAAAAAAAAAABACAAAAAJAQAAZHJzL3NoYXBleG1sLnhtbFBLBQYAAAAABgAGAFsBAACz&#10;AwAAAAA=&#10;">
                  <v:fill on="t" focussize="0,0"/>
                  <v:stroke color="#000000" miterlimit="8" joinstyle="miter"/>
                  <v:imagedata o:title=""/>
                  <o:lock v:ext="edit" aspectratio="f"/>
                  <v:textbox>
                    <w:txbxContent>
                      <w:p w14:paraId="1B8E0048">
                        <w:pPr>
                          <w:jc w:val="center"/>
                        </w:pPr>
                      </w:p>
                      <w:p w14:paraId="275C893A">
                        <w:pPr>
                          <w:pStyle w:val="8"/>
                        </w:pPr>
                      </w:p>
                      <w:p w14:paraId="2BD2643E">
                        <w:pPr>
                          <w:pStyle w:val="9"/>
                        </w:pPr>
                      </w:p>
                      <w:p w14:paraId="6B5A012E">
                        <w:pPr>
                          <w:pStyle w:val="10"/>
                        </w:pPr>
                      </w:p>
                      <w:p w14:paraId="2890B4F5"/>
                      <w:p w14:paraId="2B192300">
                        <w:pPr>
                          <w:pStyle w:val="8"/>
                        </w:pPr>
                      </w:p>
                      <w:p w14:paraId="00C012B5">
                        <w:pPr>
                          <w:pStyle w:val="9"/>
                          <w:rPr>
                            <w:rFonts w:hint="default" w:eastAsia="宋体"/>
                            <w:lang w:val="en-US" w:eastAsia="zh-CN"/>
                          </w:rPr>
                        </w:pPr>
                        <w:r>
                          <w:rPr>
                            <w:rFonts w:hint="eastAsia"/>
                            <w:lang w:val="en-US" w:eastAsia="zh-CN"/>
                          </w:rPr>
                          <w:t>比例尺</w:t>
                        </w:r>
                        <w:r>
                          <w:rPr>
                            <w:rFonts w:hint="default" w:ascii="Times New Roman" w:hAnsi="Times New Roman" w:cs="Times New Roman"/>
                            <w:lang w:val="en-US" w:eastAsia="zh-CN"/>
                          </w:rPr>
                          <w:t>：1：2256</w:t>
                        </w:r>
                      </w:p>
                    </w:txbxContent>
                  </v:textbox>
                </v:rect>
                <v:shape id="Text Box 99" o:spid="_x0000_s1026" o:spt="202" type="#_x0000_t202" style="position:absolute;left:12360;top:8458;height:276;width:1284;" filled="f" stroked="f" coordsize="21600,21600" o:gfxdata="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VsrL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73B44D4C">
                        <w:pPr>
                          <w:rPr>
                            <w:b/>
                            <w:bCs/>
                            <w:sz w:val="28"/>
                            <w:szCs w:val="28"/>
                          </w:rPr>
                        </w:pPr>
                        <w:r>
                          <w:rPr>
                            <w:rFonts w:hint="eastAsia"/>
                            <w:b/>
                            <w:bCs/>
                            <w:sz w:val="28"/>
                            <w:szCs w:val="28"/>
                          </w:rPr>
                          <w:t>图例</w:t>
                        </w:r>
                      </w:p>
                    </w:txbxContent>
                  </v:textbox>
                </v:shape>
              </v:group>
            </w:pict>
          </mc:Fallback>
        </mc:AlternateContent>
      </w:r>
    </w:p>
    <w:p w14:paraId="3AE9C2E1">
      <w:pPr>
        <w:jc w:val="center"/>
        <w:outlineLvl w:val="0"/>
        <w:rPr>
          <w:rFonts w:hint="eastAsia" w:ascii="宋体" w:hAnsi="宋体" w:eastAsia="宋体" w:cs="宋体"/>
          <w:color w:val="auto"/>
          <w:highlight w:val="none"/>
          <w:lang w:val="en-US" w:eastAsia="zh-CN"/>
        </w:rPr>
      </w:pPr>
      <w:bookmarkStart w:id="68" w:name="_Toc1863"/>
      <w:bookmarkStart w:id="69" w:name="_Toc14678"/>
      <w:bookmarkStart w:id="70" w:name="_Toc11368"/>
      <w:r>
        <w:rPr>
          <w:rFonts w:hint="eastAsia" w:ascii="宋体" w:hAnsi="宋体" w:eastAsia="宋体" w:cs="宋体"/>
          <w:snapToGrid w:val="0"/>
          <w:color w:val="auto"/>
          <w:kern w:val="0"/>
          <w:sz w:val="28"/>
          <w:szCs w:val="28"/>
          <w:highlight w:val="none"/>
          <w:lang w:val="en-US" w:eastAsia="zh-CN" w:bidi="ar-SA"/>
        </w:rPr>
        <w:t>附图</w:t>
      </w:r>
      <w:r>
        <w:rPr>
          <w:rFonts w:hint="default" w:ascii="Times New Roman" w:hAnsi="Times New Roman" w:eastAsia="黑体" w:cs="Times New Roman"/>
          <w:snapToGrid w:val="0"/>
          <w:color w:val="auto"/>
          <w:kern w:val="0"/>
          <w:sz w:val="28"/>
          <w:szCs w:val="28"/>
          <w:highlight w:val="none"/>
          <w:lang w:val="en-US" w:eastAsia="zh-CN" w:bidi="ar-SA"/>
        </w:rPr>
        <w:t>3</w:t>
      </w:r>
      <w:r>
        <w:rPr>
          <w:rFonts w:hint="eastAsia" w:ascii="宋体" w:hAnsi="宋体" w:eastAsia="宋体" w:cs="宋体"/>
          <w:snapToGrid w:val="0"/>
          <w:color w:val="auto"/>
          <w:kern w:val="0"/>
          <w:sz w:val="28"/>
          <w:szCs w:val="28"/>
          <w:highlight w:val="none"/>
          <w:lang w:val="en-US" w:eastAsia="zh-CN" w:bidi="ar-SA"/>
        </w:rPr>
        <w:t xml:space="preserve"> 项目分区防渗图</w:t>
      </w:r>
      <w:bookmarkEnd w:id="68"/>
      <w:bookmarkEnd w:id="69"/>
      <w:bookmarkEnd w:id="70"/>
    </w:p>
    <w:p w14:paraId="47904825">
      <w:pPr>
        <w:jc w:val="center"/>
        <w:rPr>
          <w:rFonts w:hint="default" w:ascii="Times New Roman" w:hAnsi="Times New Roman" w:cs="Times New Roman"/>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6D6B9801">
      <w:pPr>
        <w:spacing w:after="120" w:afterLines="50"/>
        <w:jc w:val="both"/>
        <w:outlineLvl w:val="9"/>
        <w:rPr>
          <w:rFonts w:hint="default" w:ascii="Times New Roman" w:hAnsi="Times New Roman" w:eastAsia="黑体" w:cs="Times New Roman"/>
          <w:b w:val="0"/>
          <w:bCs/>
          <w:color w:val="auto"/>
          <w:sz w:val="28"/>
          <w:szCs w:val="28"/>
          <w:lang w:val="en-US" w:eastAsia="zh-CN"/>
        </w:rPr>
      </w:pPr>
      <w:bookmarkStart w:id="71" w:name="_Toc28291"/>
      <w:r>
        <w:rPr>
          <w:rFonts w:hint="default" w:ascii="Times New Roman" w:hAnsi="Times New Roman" w:cs="Times New Roman"/>
          <w:color w:val="auto"/>
          <w:sz w:val="21"/>
        </w:rPr>
        <mc:AlternateContent>
          <mc:Choice Requires="wps">
            <w:drawing>
              <wp:anchor distT="0" distB="0" distL="114300" distR="114300" simplePos="0" relativeHeight="251694080" behindDoc="0" locked="0" layoutInCell="1" allowOverlap="1">
                <wp:simplePos x="0" y="0"/>
                <wp:positionH relativeFrom="column">
                  <wp:posOffset>6921500</wp:posOffset>
                </wp:positionH>
                <wp:positionV relativeFrom="paragraph">
                  <wp:posOffset>4419600</wp:posOffset>
                </wp:positionV>
                <wp:extent cx="276225" cy="123825"/>
                <wp:effectExtent l="6350" t="6350" r="9525" b="9525"/>
                <wp:wrapNone/>
                <wp:docPr id="10" name="矩形 10"/>
                <wp:cNvGraphicFramePr/>
                <a:graphic xmlns:a="http://schemas.openxmlformats.org/drawingml/2006/main">
                  <a:graphicData uri="http://schemas.microsoft.com/office/word/2010/wordprocessingShape">
                    <wps:wsp>
                      <wps:cNvSpPr/>
                      <wps:spPr>
                        <a:xfrm>
                          <a:off x="0" y="0"/>
                          <a:ext cx="276225" cy="12382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5pt;margin-top:348pt;height:9.75pt;width:21.75pt;z-index:251694080;v-text-anchor:middle;mso-width-relative:page;mso-height-relative:page;" filled="f" stroked="t" coordsize="21600,21600" o:gfxdata="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gMlAc9kAAAANAQAADwAAAAAAAAABACAAAAAiAAAAZHJzL2Rvd25yZXYueG1s&#10;UEsBAhQAFAAAAAgAh07iQDBpDcJpAgAAzAQAAA4AAAAAAAAAAQAgAAAAKAEAAGRycy9lMm9Eb2Mu&#10;eG1sUEsFBgAAAAAGAAYAWQEAAAMGAAAAAA==&#10;">
                <v:fill on="f" focussize="0,0"/>
                <v:stroke weight="1pt" color="#FF0000 [2404]" miterlimit="8" joinstyle="miter"/>
                <v:imagedata o:title=""/>
                <o:lock v:ext="edit" aspectratio="f"/>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5888" behindDoc="0" locked="0" layoutInCell="1" allowOverlap="1">
                <wp:simplePos x="0" y="0"/>
                <wp:positionH relativeFrom="column">
                  <wp:posOffset>6903085</wp:posOffset>
                </wp:positionH>
                <wp:positionV relativeFrom="paragraph">
                  <wp:posOffset>4166235</wp:posOffset>
                </wp:positionV>
                <wp:extent cx="276225" cy="123825"/>
                <wp:effectExtent l="6350" t="6350" r="22225" b="22225"/>
                <wp:wrapNone/>
                <wp:docPr id="47" name="矩形 47"/>
                <wp:cNvGraphicFramePr/>
                <a:graphic xmlns:a="http://schemas.openxmlformats.org/drawingml/2006/main">
                  <a:graphicData uri="http://schemas.microsoft.com/office/word/2010/wordprocessingShape">
                    <wps:wsp>
                      <wps:cNvSpPr/>
                      <wps:spPr>
                        <a:xfrm>
                          <a:off x="0" y="0"/>
                          <a:ext cx="276225" cy="123825"/>
                        </a:xfrm>
                        <a:prstGeom prst="rect">
                          <a:avLst/>
                        </a:prstGeom>
                        <a:noFill/>
                        <a:ln>
                          <a:solidFill>
                            <a:schemeClr val="accent3">
                              <a:lumMod val="40000"/>
                              <a:lumOff val="6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3.55pt;margin-top:328.05pt;height:9.75pt;width:21.75pt;z-index:251685888;v-text-anchor:middle;mso-width-relative:page;mso-height-relative:page;" filled="f" stroked="t" coordsize="21600,21600" o:gfxdata="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M+RIUtsAAAANAQAADwAA&#10;AAAAAAABACAAAAAiAAAAZHJzL2Rvd25yZXYueG1sUEsBAhQAFAAAAAgAh07iQJPSTjiFAgAABQUA&#10;AA4AAAAAAAAAAQAgAAAAKgEAAGRycy9lMm9Eb2MueG1sUEsFBgAAAAAGAAYAWQEAACEGAAAAAA==&#10;">
                <v:fill on="f" focussize="0,0"/>
                <v:stroke weight="1pt" color="#FEE695 [1302]" miterlimit="8" joinstyle="miter"/>
                <v:imagedata o:title=""/>
                <o:lock v:ext="edit" aspectratio="f"/>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4864" behindDoc="0" locked="0" layoutInCell="1" allowOverlap="1">
                <wp:simplePos x="0" y="0"/>
                <wp:positionH relativeFrom="column">
                  <wp:posOffset>6904355</wp:posOffset>
                </wp:positionH>
                <wp:positionV relativeFrom="paragraph">
                  <wp:posOffset>3906520</wp:posOffset>
                </wp:positionV>
                <wp:extent cx="276225" cy="123825"/>
                <wp:effectExtent l="6350" t="6350" r="22225" b="22225"/>
                <wp:wrapNone/>
                <wp:docPr id="54" name="矩形 54"/>
                <wp:cNvGraphicFramePr/>
                <a:graphic xmlns:a="http://schemas.openxmlformats.org/drawingml/2006/main">
                  <a:graphicData uri="http://schemas.microsoft.com/office/word/2010/wordprocessingShape">
                    <wps:wsp>
                      <wps:cNvSpPr/>
                      <wps:spPr>
                        <a:xfrm>
                          <a:off x="0" y="0"/>
                          <a:ext cx="276225" cy="123825"/>
                        </a:xfrm>
                        <a:prstGeom prst="rect">
                          <a:avLst/>
                        </a:prstGeom>
                        <a:noFill/>
                        <a:ln>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3.65pt;margin-top:307.6pt;height:9.75pt;width:21.75pt;z-index:251684864;v-text-anchor:middle;mso-width-relative:page;mso-height-relative:page;" filled="f" stroked="t" coordsize="21600,21600" o:gfxdata="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CFj1LfYAAAADQEAAA8AAAAAAAAAAQAgAAAAIgAAAGRycy9kb3ducmV2Lnht&#10;bFBLAQIUABQAAAAIAIdO4kCIGLdVawIAAMwEAAAOAAAAAAAAAAEAIAAAACcBAABkcnMvZTJvRG9j&#10;LnhtbFBLBQYAAAAABgAGAFkBAAAEBgAAAAA=&#10;">
                <v:fill on="f" focussize="0,0"/>
                <v:stroke weight="1pt" color="#0070C0 [2404]" miterlimit="8" joinstyle="miter"/>
                <v:imagedata o:title=""/>
                <o:lock v:ext="edit" aspectratio="f"/>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3840" behindDoc="0" locked="0" layoutInCell="1" allowOverlap="1">
                <wp:simplePos x="0" y="0"/>
                <wp:positionH relativeFrom="column">
                  <wp:posOffset>6782435</wp:posOffset>
                </wp:positionH>
                <wp:positionV relativeFrom="paragraph">
                  <wp:posOffset>3576320</wp:posOffset>
                </wp:positionV>
                <wp:extent cx="1701165" cy="1043305"/>
                <wp:effectExtent l="5080" t="4445" r="8255" b="6350"/>
                <wp:wrapNone/>
                <wp:docPr id="46" name="文本框 46"/>
                <wp:cNvGraphicFramePr/>
                <a:graphic xmlns:a="http://schemas.openxmlformats.org/drawingml/2006/main">
                  <a:graphicData uri="http://schemas.microsoft.com/office/word/2010/wordprocessingShape">
                    <wps:wsp>
                      <wps:cNvSpPr txBox="1"/>
                      <wps:spPr>
                        <a:xfrm>
                          <a:off x="0" y="0"/>
                          <a:ext cx="1701165" cy="10433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6A5BF52">
                            <w:pPr>
                              <w:keepNext w:val="0"/>
                              <w:keepLines w:val="0"/>
                              <w:pageBreakBefore w:val="0"/>
                              <w:kinsoku/>
                              <w:wordWrap/>
                              <w:overflowPunct/>
                              <w:topLinePunct w:val="0"/>
                              <w:bidi w:val="0"/>
                              <w:adjustRightInd/>
                              <w:spacing w:line="360" w:lineRule="auto"/>
                              <w:ind w:right="0"/>
                              <w:jc w:val="center"/>
                              <w:textAlignment w:val="auto"/>
                              <w:rPr>
                                <w:rFonts w:hint="eastAsia"/>
                                <w:b/>
                                <w:bCs/>
                                <w:sz w:val="21"/>
                                <w:szCs w:val="21"/>
                                <w:lang w:val="en-US" w:eastAsia="zh-CN"/>
                              </w:rPr>
                            </w:pPr>
                            <w:r>
                              <w:rPr>
                                <w:rFonts w:hint="eastAsia"/>
                                <w:b/>
                                <w:bCs/>
                                <w:sz w:val="21"/>
                                <w:szCs w:val="21"/>
                                <w:lang w:val="en-US" w:eastAsia="zh-CN"/>
                              </w:rPr>
                              <w:t>图例</w:t>
                            </w:r>
                          </w:p>
                          <w:p w14:paraId="76524914">
                            <w:pPr>
                              <w:pStyle w:val="8"/>
                              <w:keepNext w:val="0"/>
                              <w:keepLines w:val="0"/>
                              <w:pageBreakBefore w:val="0"/>
                              <w:kinsoku/>
                              <w:wordWrap/>
                              <w:overflowPunct/>
                              <w:topLinePunct w:val="0"/>
                              <w:bidi w:val="0"/>
                              <w:adjustRightInd/>
                              <w:spacing w:before="0" w:after="0" w:line="360" w:lineRule="auto"/>
                              <w:ind w:right="0" w:firstLine="630" w:firstLineChars="300"/>
                              <w:jc w:val="both"/>
                              <w:textAlignment w:val="auto"/>
                              <w:rPr>
                                <w:rFonts w:hint="eastAsia"/>
                                <w:sz w:val="21"/>
                                <w:szCs w:val="21"/>
                                <w:lang w:val="en-US" w:eastAsia="zh-CN"/>
                              </w:rPr>
                            </w:pPr>
                            <w:r>
                              <w:rPr>
                                <w:rFonts w:hint="eastAsia"/>
                                <w:sz w:val="21"/>
                                <w:szCs w:val="21"/>
                                <w:lang w:val="en-US" w:eastAsia="zh-CN"/>
                              </w:rPr>
                              <w:t>声环境保护范围</w:t>
                            </w:r>
                          </w:p>
                          <w:p w14:paraId="14F9CE15">
                            <w:pPr>
                              <w:pStyle w:val="9"/>
                              <w:keepNext w:val="0"/>
                              <w:keepLines w:val="0"/>
                              <w:pageBreakBefore w:val="0"/>
                              <w:kinsoku/>
                              <w:wordWrap/>
                              <w:overflowPunct/>
                              <w:topLinePunct w:val="0"/>
                              <w:bidi w:val="0"/>
                              <w:adjustRightInd/>
                              <w:spacing w:line="360" w:lineRule="auto"/>
                              <w:ind w:firstLine="630" w:firstLineChars="300"/>
                              <w:jc w:val="both"/>
                              <w:textAlignment w:val="auto"/>
                              <w:rPr>
                                <w:rFonts w:hint="eastAsia"/>
                                <w:sz w:val="21"/>
                                <w:szCs w:val="21"/>
                                <w:lang w:val="en-US" w:eastAsia="zh-CN"/>
                              </w:rPr>
                            </w:pPr>
                            <w:r>
                              <w:rPr>
                                <w:rFonts w:hint="eastAsia"/>
                                <w:sz w:val="21"/>
                                <w:szCs w:val="21"/>
                                <w:lang w:val="en-US" w:eastAsia="zh-CN"/>
                              </w:rPr>
                              <w:t>大气环境保护范围</w:t>
                            </w:r>
                          </w:p>
                          <w:p w14:paraId="2BE3AD1A">
                            <w:pPr>
                              <w:pStyle w:val="10"/>
                              <w:ind w:left="0" w:leftChars="0" w:firstLine="630" w:firstLineChars="300"/>
                              <w:jc w:val="left"/>
                              <w:rPr>
                                <w:rFonts w:hint="default"/>
                                <w:lang w:val="en-US" w:eastAsia="zh-CN"/>
                              </w:rPr>
                            </w:pPr>
                            <w:r>
                              <w:rPr>
                                <w:rFonts w:hint="eastAsia"/>
                                <w:lang w:val="en-US" w:eastAsia="zh-CN"/>
                              </w:rPr>
                              <w:t>本项目位置</w:t>
                            </w:r>
                          </w:p>
                          <w:p w14:paraId="5368CBEE">
                            <w:pPr>
                              <w:pStyle w:val="10"/>
                              <w:jc w:val="left"/>
                              <w:rPr>
                                <w:rFonts w:hint="default"/>
                                <w:lang w:val="en-US" w:eastAsia="zh-CN"/>
                              </w:rPr>
                            </w:pPr>
                          </w:p>
                          <w:p w14:paraId="65EAD092">
                            <w:pPr>
                              <w:pStyle w:val="10"/>
                              <w:rPr>
                                <w:rFonts w:hint="eastAsia"/>
                                <w:lang w:val="en-US" w:eastAsia="zh-CN"/>
                              </w:rPr>
                            </w:pPr>
                          </w:p>
                          <w:p w14:paraId="1599775C">
                            <w:pPr>
                              <w:pStyle w:val="10"/>
                              <w:rPr>
                                <w:rFonts w:hint="eastAsia"/>
                                <w:lang w:val="en-US" w:eastAsia="zh-CN"/>
                              </w:rPr>
                            </w:pPr>
                          </w:p>
                          <w:p w14:paraId="3D50489C">
                            <w:pPr>
                              <w:pStyle w:val="10"/>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05pt;margin-top:281.6pt;height:82.15pt;width:133.95pt;z-index:251683840;mso-width-relative:page;mso-height-relative:page;" fillcolor="#FFFFFF [3201]" filled="t" stroked="t" coordsize="21600,21600" o:gfxdata="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KSn9W&#10;2AAAAA0BAAAPAAAAAAAAAAEAIAAAACIAAABkcnMvZG93bnJldi54bWxQSwECFAAUAAAACACHTuJA&#10;g+Ky7VoCAAC6BAAADgAAAAAAAAABACAAAAAnAQAAZHJzL2Uyb0RvYy54bWxQSwUGAAAAAAYABgBZ&#10;AQAA8wUAAAAA&#10;">
                <v:fill on="t" focussize="0,0"/>
                <v:stroke weight="0.5pt" color="#000000 [3204]" joinstyle="round"/>
                <v:imagedata o:title=""/>
                <o:lock v:ext="edit" aspectratio="f"/>
                <v:textbox>
                  <w:txbxContent>
                    <w:p w14:paraId="36A5BF52">
                      <w:pPr>
                        <w:keepNext w:val="0"/>
                        <w:keepLines w:val="0"/>
                        <w:pageBreakBefore w:val="0"/>
                        <w:kinsoku/>
                        <w:wordWrap/>
                        <w:overflowPunct/>
                        <w:topLinePunct w:val="0"/>
                        <w:bidi w:val="0"/>
                        <w:adjustRightInd/>
                        <w:spacing w:line="360" w:lineRule="auto"/>
                        <w:ind w:right="0"/>
                        <w:jc w:val="center"/>
                        <w:textAlignment w:val="auto"/>
                        <w:rPr>
                          <w:rFonts w:hint="eastAsia"/>
                          <w:b/>
                          <w:bCs/>
                          <w:sz w:val="21"/>
                          <w:szCs w:val="21"/>
                          <w:lang w:val="en-US" w:eastAsia="zh-CN"/>
                        </w:rPr>
                      </w:pPr>
                      <w:r>
                        <w:rPr>
                          <w:rFonts w:hint="eastAsia"/>
                          <w:b/>
                          <w:bCs/>
                          <w:sz w:val="21"/>
                          <w:szCs w:val="21"/>
                          <w:lang w:val="en-US" w:eastAsia="zh-CN"/>
                        </w:rPr>
                        <w:t>图例</w:t>
                      </w:r>
                    </w:p>
                    <w:p w14:paraId="76524914">
                      <w:pPr>
                        <w:pStyle w:val="8"/>
                        <w:keepNext w:val="0"/>
                        <w:keepLines w:val="0"/>
                        <w:pageBreakBefore w:val="0"/>
                        <w:kinsoku/>
                        <w:wordWrap/>
                        <w:overflowPunct/>
                        <w:topLinePunct w:val="0"/>
                        <w:bidi w:val="0"/>
                        <w:adjustRightInd/>
                        <w:spacing w:before="0" w:after="0" w:line="360" w:lineRule="auto"/>
                        <w:ind w:right="0" w:firstLine="630" w:firstLineChars="300"/>
                        <w:jc w:val="both"/>
                        <w:textAlignment w:val="auto"/>
                        <w:rPr>
                          <w:rFonts w:hint="eastAsia"/>
                          <w:sz w:val="21"/>
                          <w:szCs w:val="21"/>
                          <w:lang w:val="en-US" w:eastAsia="zh-CN"/>
                        </w:rPr>
                      </w:pPr>
                      <w:r>
                        <w:rPr>
                          <w:rFonts w:hint="eastAsia"/>
                          <w:sz w:val="21"/>
                          <w:szCs w:val="21"/>
                          <w:lang w:val="en-US" w:eastAsia="zh-CN"/>
                        </w:rPr>
                        <w:t>声环境保护范围</w:t>
                      </w:r>
                    </w:p>
                    <w:p w14:paraId="14F9CE15">
                      <w:pPr>
                        <w:pStyle w:val="9"/>
                        <w:keepNext w:val="0"/>
                        <w:keepLines w:val="0"/>
                        <w:pageBreakBefore w:val="0"/>
                        <w:kinsoku/>
                        <w:wordWrap/>
                        <w:overflowPunct/>
                        <w:topLinePunct w:val="0"/>
                        <w:bidi w:val="0"/>
                        <w:adjustRightInd/>
                        <w:spacing w:line="360" w:lineRule="auto"/>
                        <w:ind w:firstLine="630" w:firstLineChars="300"/>
                        <w:jc w:val="both"/>
                        <w:textAlignment w:val="auto"/>
                        <w:rPr>
                          <w:rFonts w:hint="eastAsia"/>
                          <w:sz w:val="21"/>
                          <w:szCs w:val="21"/>
                          <w:lang w:val="en-US" w:eastAsia="zh-CN"/>
                        </w:rPr>
                      </w:pPr>
                      <w:r>
                        <w:rPr>
                          <w:rFonts w:hint="eastAsia"/>
                          <w:sz w:val="21"/>
                          <w:szCs w:val="21"/>
                          <w:lang w:val="en-US" w:eastAsia="zh-CN"/>
                        </w:rPr>
                        <w:t>大气环境保护范围</w:t>
                      </w:r>
                    </w:p>
                    <w:p w14:paraId="2BE3AD1A">
                      <w:pPr>
                        <w:pStyle w:val="10"/>
                        <w:ind w:left="0" w:leftChars="0" w:firstLine="630" w:firstLineChars="300"/>
                        <w:jc w:val="left"/>
                        <w:rPr>
                          <w:rFonts w:hint="default"/>
                          <w:lang w:val="en-US" w:eastAsia="zh-CN"/>
                        </w:rPr>
                      </w:pPr>
                      <w:r>
                        <w:rPr>
                          <w:rFonts w:hint="eastAsia"/>
                          <w:lang w:val="en-US" w:eastAsia="zh-CN"/>
                        </w:rPr>
                        <w:t>本项目位置</w:t>
                      </w:r>
                    </w:p>
                    <w:p w14:paraId="5368CBEE">
                      <w:pPr>
                        <w:pStyle w:val="10"/>
                        <w:jc w:val="left"/>
                        <w:rPr>
                          <w:rFonts w:hint="default"/>
                          <w:lang w:val="en-US" w:eastAsia="zh-CN"/>
                        </w:rPr>
                      </w:pPr>
                    </w:p>
                    <w:p w14:paraId="65EAD092">
                      <w:pPr>
                        <w:pStyle w:val="10"/>
                        <w:rPr>
                          <w:rFonts w:hint="eastAsia"/>
                          <w:lang w:val="en-US" w:eastAsia="zh-CN"/>
                        </w:rPr>
                      </w:pPr>
                    </w:p>
                    <w:p w14:paraId="1599775C">
                      <w:pPr>
                        <w:pStyle w:val="10"/>
                        <w:rPr>
                          <w:rFonts w:hint="eastAsia"/>
                          <w:lang w:val="en-US" w:eastAsia="zh-CN"/>
                        </w:rPr>
                      </w:pPr>
                    </w:p>
                    <w:p w14:paraId="3D50489C">
                      <w:pPr>
                        <w:pStyle w:val="10"/>
                        <w:rPr>
                          <w:rFonts w:hint="default"/>
                          <w:lang w:val="en-US" w:eastAsia="zh-CN"/>
                        </w:rPr>
                      </w:pP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671552" behindDoc="0" locked="0" layoutInCell="1" allowOverlap="1">
            <wp:simplePos x="0" y="0"/>
            <wp:positionH relativeFrom="column">
              <wp:posOffset>7807960</wp:posOffset>
            </wp:positionH>
            <wp:positionV relativeFrom="paragraph">
              <wp:posOffset>4445</wp:posOffset>
            </wp:positionV>
            <wp:extent cx="721360" cy="711835"/>
            <wp:effectExtent l="0" t="0" r="2540" b="12065"/>
            <wp:wrapNone/>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30"/>
                    <a:stretch>
                      <a:fillRect/>
                    </a:stretch>
                  </pic:blipFill>
                  <pic:spPr>
                    <a:xfrm>
                      <a:off x="0" y="0"/>
                      <a:ext cx="721360" cy="711835"/>
                    </a:xfrm>
                    <a:prstGeom prst="rect">
                      <a:avLst/>
                    </a:prstGeom>
                    <a:noFill/>
                    <a:ln>
                      <a:noFill/>
                    </a:ln>
                  </pic:spPr>
                </pic:pic>
              </a:graphicData>
            </a:graphic>
          </wp:anchor>
        </w:drawing>
      </w:r>
      <w:r>
        <w:rPr>
          <w:color w:val="auto"/>
        </w:rPr>
        <w:drawing>
          <wp:inline distT="0" distB="0" distL="114300" distR="114300">
            <wp:extent cx="8526145" cy="4721860"/>
            <wp:effectExtent l="0" t="0" r="8255" b="254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35"/>
                    <a:stretch>
                      <a:fillRect/>
                    </a:stretch>
                  </pic:blipFill>
                  <pic:spPr>
                    <a:xfrm>
                      <a:off x="0" y="0"/>
                      <a:ext cx="8526145" cy="4721860"/>
                    </a:xfrm>
                    <a:prstGeom prst="rect">
                      <a:avLst/>
                    </a:prstGeom>
                    <a:noFill/>
                    <a:ln>
                      <a:noFill/>
                    </a:ln>
                  </pic:spPr>
                </pic:pic>
              </a:graphicData>
            </a:graphic>
          </wp:inline>
        </w:drawing>
      </w:r>
    </w:p>
    <w:p w14:paraId="137FA7C7">
      <w:pPr>
        <w:spacing w:after="120" w:afterLines="50"/>
        <w:jc w:val="center"/>
        <w:outlineLvl w:val="0"/>
        <w:rPr>
          <w:rFonts w:hint="default" w:ascii="Times New Roman" w:hAnsi="Times New Roman" w:eastAsia="黑体" w:cs="Times New Roman"/>
          <w:b w:val="0"/>
          <w:bCs/>
          <w:color w:val="auto"/>
          <w:sz w:val="28"/>
          <w:szCs w:val="28"/>
          <w:lang w:val="en-US" w:eastAsia="zh-CN"/>
        </w:rPr>
      </w:pPr>
      <w:bookmarkStart w:id="72" w:name="_Toc9043"/>
      <w:bookmarkStart w:id="73" w:name="_Toc13433"/>
      <w:bookmarkStart w:id="74" w:name="_Toc22957"/>
      <w:r>
        <w:rPr>
          <w:rFonts w:hint="eastAsia" w:ascii="宋体" w:hAnsi="宋体" w:eastAsia="宋体" w:cs="宋体"/>
          <w:b w:val="0"/>
          <w:bCs/>
          <w:color w:val="auto"/>
          <w:sz w:val="28"/>
          <w:szCs w:val="28"/>
          <w:lang w:val="en-US" w:eastAsia="zh-CN"/>
        </w:rPr>
        <w:t>附图</w:t>
      </w:r>
      <w:r>
        <w:rPr>
          <w:rFonts w:hint="eastAsia" w:eastAsia="黑体" w:cs="Times New Roman"/>
          <w:b w:val="0"/>
          <w:bCs/>
          <w:color w:val="auto"/>
          <w:sz w:val="28"/>
          <w:szCs w:val="28"/>
          <w:lang w:val="en-US" w:eastAsia="zh-CN"/>
        </w:rPr>
        <w:t>4</w:t>
      </w:r>
      <w:r>
        <w:rPr>
          <w:rFonts w:hint="default" w:ascii="Times New Roman" w:hAnsi="Times New Roman" w:eastAsia="黑体" w:cs="Times New Roman"/>
          <w:b w:val="0"/>
          <w:bCs/>
          <w:color w:val="auto"/>
          <w:sz w:val="28"/>
          <w:szCs w:val="28"/>
          <w:lang w:val="en-US" w:eastAsia="zh-CN"/>
        </w:rPr>
        <w:t xml:space="preserve"> </w:t>
      </w:r>
      <w:r>
        <w:rPr>
          <w:rFonts w:hint="eastAsia" w:ascii="宋体" w:hAnsi="宋体" w:eastAsia="宋体" w:cs="宋体"/>
          <w:b w:val="0"/>
          <w:bCs/>
          <w:color w:val="auto"/>
          <w:sz w:val="28"/>
          <w:szCs w:val="28"/>
          <w:lang w:val="en-US" w:eastAsia="zh-CN"/>
        </w:rPr>
        <w:t>环境保护目标图</w:t>
      </w:r>
      <w:bookmarkEnd w:id="71"/>
      <w:bookmarkEnd w:id="72"/>
      <w:bookmarkEnd w:id="73"/>
      <w:bookmarkEnd w:id="74"/>
    </w:p>
    <w:p w14:paraId="1F8D2F6F">
      <w:pPr>
        <w:pStyle w:val="9"/>
        <w:jc w:val="center"/>
        <w:rPr>
          <w:rFonts w:hint="default" w:ascii="Times New Roman" w:hAnsi="Times New Roman" w:cs="Times New Roman"/>
          <w:color w:val="auto"/>
        </w:rPr>
      </w:pPr>
      <w:r>
        <w:rPr>
          <w:rFonts w:hint="default" w:ascii="Times New Roman" w:hAnsi="Times New Roman" w:cs="Times New Roman"/>
          <w:color w:val="auto"/>
          <w:sz w:val="24"/>
        </w:rPr>
        <mc:AlternateContent>
          <mc:Choice Requires="wps">
            <w:drawing>
              <wp:anchor distT="0" distB="0" distL="114300" distR="114300" simplePos="0" relativeHeight="251687936" behindDoc="0" locked="0" layoutInCell="1" allowOverlap="1">
                <wp:simplePos x="0" y="0"/>
                <wp:positionH relativeFrom="column">
                  <wp:posOffset>6048375</wp:posOffset>
                </wp:positionH>
                <wp:positionV relativeFrom="paragraph">
                  <wp:posOffset>3856355</wp:posOffset>
                </wp:positionV>
                <wp:extent cx="152400" cy="133350"/>
                <wp:effectExtent l="19050" t="19050" r="19050" b="19050"/>
                <wp:wrapNone/>
                <wp:docPr id="119" name="椭圆 119"/>
                <wp:cNvGraphicFramePr/>
                <a:graphic xmlns:a="http://schemas.openxmlformats.org/drawingml/2006/main">
                  <a:graphicData uri="http://schemas.microsoft.com/office/word/2010/wordprocessingShape">
                    <wps:wsp>
                      <wps:cNvSpPr/>
                      <wps:spPr>
                        <a:xfrm>
                          <a:off x="0" y="0"/>
                          <a:ext cx="152400" cy="133350"/>
                        </a:xfrm>
                        <a:prstGeom prst="ellipse">
                          <a:avLst/>
                        </a:prstGeom>
                        <a:noFill/>
                        <a:ln w="38100">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76.25pt;margin-top:303.65pt;height:10.5pt;width:12pt;z-index:251687936;v-text-anchor:middle;mso-width-relative:page;mso-height-relative:page;" filled="f" stroked="t" coordsize="21600,21600" o:gfxdata="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AvadNgAAAALAQAADwAAAAAAAAABACAAAAAiAAAAZHJzL2Rvd25yZXYu&#10;eG1sUEsBAhQAFAAAAAgAh07iQKnlqLttAgAA0QQAAA4AAAAAAAAAAQAgAAAAJwEAAGRycy9lMm9E&#10;b2MueG1sUEsFBgAAAAAGAAYAWQEAAAYGAAAAAA==&#10;">
                <v:fill on="f" focussize="0,0"/>
                <v:stroke weight="3pt" color="#92D050 [2404]" miterlimit="8" joinstyle="miter"/>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86912" behindDoc="0" locked="0" layoutInCell="1" allowOverlap="1">
                <wp:simplePos x="0" y="0"/>
                <wp:positionH relativeFrom="column">
                  <wp:posOffset>5835650</wp:posOffset>
                </wp:positionH>
                <wp:positionV relativeFrom="paragraph">
                  <wp:posOffset>3543300</wp:posOffset>
                </wp:positionV>
                <wp:extent cx="2244090" cy="1191260"/>
                <wp:effectExtent l="4445" t="4445" r="18415" b="23495"/>
                <wp:wrapNone/>
                <wp:docPr id="118" name="文本框 118"/>
                <wp:cNvGraphicFramePr/>
                <a:graphic xmlns:a="http://schemas.openxmlformats.org/drawingml/2006/main">
                  <a:graphicData uri="http://schemas.microsoft.com/office/word/2010/wordprocessingShape">
                    <wps:wsp>
                      <wps:cNvSpPr txBox="1"/>
                      <wps:spPr>
                        <a:xfrm>
                          <a:off x="7933055" y="4819650"/>
                          <a:ext cx="2244090" cy="11912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40789A5">
                            <w:pPr>
                              <w:keepNext w:val="0"/>
                              <w:keepLines w:val="0"/>
                              <w:pageBreakBefore w:val="0"/>
                              <w:kinsoku/>
                              <w:wordWrap/>
                              <w:overflowPunct/>
                              <w:topLinePunct w:val="0"/>
                              <w:bidi w:val="0"/>
                              <w:adjustRightInd/>
                              <w:spacing w:line="240" w:lineRule="auto"/>
                              <w:ind w:right="0"/>
                              <w:jc w:val="center"/>
                              <w:textAlignment w:val="auto"/>
                              <w:rPr>
                                <w:rFonts w:hint="eastAsia"/>
                                <w:b/>
                                <w:bCs/>
                                <w:color w:val="auto"/>
                                <w:sz w:val="28"/>
                                <w:szCs w:val="28"/>
                                <w:lang w:val="en-US" w:eastAsia="zh-CN"/>
                              </w:rPr>
                            </w:pPr>
                            <w:r>
                              <w:rPr>
                                <w:rFonts w:hint="eastAsia"/>
                                <w:b/>
                                <w:bCs/>
                                <w:color w:val="auto"/>
                                <w:sz w:val="28"/>
                                <w:szCs w:val="28"/>
                                <w:lang w:val="en-US" w:eastAsia="zh-CN"/>
                              </w:rPr>
                              <w:t>图例</w:t>
                            </w:r>
                          </w:p>
                          <w:p w14:paraId="5C541C9B">
                            <w:pPr>
                              <w:pStyle w:val="9"/>
                              <w:keepNext w:val="0"/>
                              <w:keepLines w:val="0"/>
                              <w:pageBreakBefore w:val="0"/>
                              <w:widowControl/>
                              <w:kinsoku/>
                              <w:wordWrap/>
                              <w:overflowPunct/>
                              <w:topLinePunct w:val="0"/>
                              <w:bidi w:val="0"/>
                              <w:adjustRightInd/>
                              <w:spacing w:line="360" w:lineRule="auto"/>
                              <w:ind w:right="0" w:firstLine="480" w:firstLineChars="200"/>
                              <w:jc w:val="left"/>
                              <w:textAlignment w:val="auto"/>
                              <w:rPr>
                                <w:rFonts w:hint="eastAsia"/>
                                <w:sz w:val="24"/>
                                <w:szCs w:val="24"/>
                                <w:lang w:val="en-US" w:eastAsia="zh-CN"/>
                              </w:rPr>
                            </w:pPr>
                            <w:r>
                              <w:rPr>
                                <w:rFonts w:hint="eastAsia"/>
                                <w:sz w:val="24"/>
                                <w:szCs w:val="24"/>
                                <w:lang w:val="en-US" w:eastAsia="zh-CN"/>
                              </w:rPr>
                              <w:t>厂界无组织废气监测点位</w:t>
                            </w:r>
                          </w:p>
                          <w:p w14:paraId="7D202724">
                            <w:pPr>
                              <w:pStyle w:val="8"/>
                              <w:keepNext w:val="0"/>
                              <w:keepLines w:val="0"/>
                              <w:pageBreakBefore w:val="0"/>
                              <w:widowControl/>
                              <w:kinsoku/>
                              <w:wordWrap/>
                              <w:overflowPunct/>
                              <w:topLinePunct w:val="0"/>
                              <w:bidi w:val="0"/>
                              <w:adjustRightInd/>
                              <w:spacing w:before="0" w:after="0" w:line="360" w:lineRule="auto"/>
                              <w:ind w:right="0"/>
                              <w:jc w:val="center"/>
                              <w:textAlignment w:val="auto"/>
                              <w:rPr>
                                <w:rFonts w:hint="default"/>
                                <w:sz w:val="24"/>
                                <w:szCs w:val="24"/>
                                <w:lang w:val="en-US" w:eastAsia="zh-CN"/>
                              </w:rPr>
                            </w:pPr>
                            <w:r>
                              <w:rPr>
                                <w:rFonts w:hint="eastAsia"/>
                                <w:sz w:val="24"/>
                                <w:szCs w:val="24"/>
                                <w:lang w:val="en-US" w:eastAsia="zh-CN"/>
                              </w:rPr>
                              <w:t>比例尺：1：2256</w:t>
                            </w:r>
                          </w:p>
                          <w:p w14:paraId="64C1133A">
                            <w:pPr>
                              <w:pStyle w:val="10"/>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9.5pt;margin-top:279pt;height:93.8pt;width:176.7pt;z-index:251686912;mso-width-relative:page;mso-height-relative:page;" fillcolor="#FFFFFF [3201]" filled="t" stroked="t" coordsize="21600,21600" o:gfxdata="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wCHhj2gAAAAwBAAAPAAAAAAAAAAEAIAAAACIAAABkcnMvZG93bnJldi54bWxQ&#10;SwECFAAUAAAACACHTuJAJCW/wWcCAADIBAAADgAAAAAAAAABACAAAAApAQAAZHJzL2Uyb0RvYy54&#10;bWxQSwUGAAAAAAYABgBZAQAAAgYAAAAA&#10;">
                <v:fill on="t" focussize="0,0"/>
                <v:stroke weight="0.5pt" color="#000000 [3204]" joinstyle="round"/>
                <v:imagedata o:title=""/>
                <o:lock v:ext="edit" aspectratio="f"/>
                <v:textbox>
                  <w:txbxContent>
                    <w:p w14:paraId="340789A5">
                      <w:pPr>
                        <w:keepNext w:val="0"/>
                        <w:keepLines w:val="0"/>
                        <w:pageBreakBefore w:val="0"/>
                        <w:kinsoku/>
                        <w:wordWrap/>
                        <w:overflowPunct/>
                        <w:topLinePunct w:val="0"/>
                        <w:bidi w:val="0"/>
                        <w:adjustRightInd/>
                        <w:spacing w:line="240" w:lineRule="auto"/>
                        <w:ind w:right="0"/>
                        <w:jc w:val="center"/>
                        <w:textAlignment w:val="auto"/>
                        <w:rPr>
                          <w:rFonts w:hint="eastAsia"/>
                          <w:b/>
                          <w:bCs/>
                          <w:color w:val="auto"/>
                          <w:sz w:val="28"/>
                          <w:szCs w:val="28"/>
                          <w:lang w:val="en-US" w:eastAsia="zh-CN"/>
                        </w:rPr>
                      </w:pPr>
                      <w:r>
                        <w:rPr>
                          <w:rFonts w:hint="eastAsia"/>
                          <w:b/>
                          <w:bCs/>
                          <w:color w:val="auto"/>
                          <w:sz w:val="28"/>
                          <w:szCs w:val="28"/>
                          <w:lang w:val="en-US" w:eastAsia="zh-CN"/>
                        </w:rPr>
                        <w:t>图例</w:t>
                      </w:r>
                    </w:p>
                    <w:p w14:paraId="5C541C9B">
                      <w:pPr>
                        <w:pStyle w:val="9"/>
                        <w:keepNext w:val="0"/>
                        <w:keepLines w:val="0"/>
                        <w:pageBreakBefore w:val="0"/>
                        <w:widowControl/>
                        <w:kinsoku/>
                        <w:wordWrap/>
                        <w:overflowPunct/>
                        <w:topLinePunct w:val="0"/>
                        <w:bidi w:val="0"/>
                        <w:adjustRightInd/>
                        <w:spacing w:line="360" w:lineRule="auto"/>
                        <w:ind w:right="0" w:firstLine="480" w:firstLineChars="200"/>
                        <w:jc w:val="left"/>
                        <w:textAlignment w:val="auto"/>
                        <w:rPr>
                          <w:rFonts w:hint="eastAsia"/>
                          <w:sz w:val="24"/>
                          <w:szCs w:val="24"/>
                          <w:lang w:val="en-US" w:eastAsia="zh-CN"/>
                        </w:rPr>
                      </w:pPr>
                      <w:r>
                        <w:rPr>
                          <w:rFonts w:hint="eastAsia"/>
                          <w:sz w:val="24"/>
                          <w:szCs w:val="24"/>
                          <w:lang w:val="en-US" w:eastAsia="zh-CN"/>
                        </w:rPr>
                        <w:t>厂界无组织废气监测点位</w:t>
                      </w:r>
                    </w:p>
                    <w:p w14:paraId="7D202724">
                      <w:pPr>
                        <w:pStyle w:val="8"/>
                        <w:keepNext w:val="0"/>
                        <w:keepLines w:val="0"/>
                        <w:pageBreakBefore w:val="0"/>
                        <w:widowControl/>
                        <w:kinsoku/>
                        <w:wordWrap/>
                        <w:overflowPunct/>
                        <w:topLinePunct w:val="0"/>
                        <w:bidi w:val="0"/>
                        <w:adjustRightInd/>
                        <w:spacing w:before="0" w:after="0" w:line="360" w:lineRule="auto"/>
                        <w:ind w:right="0"/>
                        <w:jc w:val="center"/>
                        <w:textAlignment w:val="auto"/>
                        <w:rPr>
                          <w:rFonts w:hint="default"/>
                          <w:sz w:val="24"/>
                          <w:szCs w:val="24"/>
                          <w:lang w:val="en-US" w:eastAsia="zh-CN"/>
                        </w:rPr>
                      </w:pPr>
                      <w:r>
                        <w:rPr>
                          <w:rFonts w:hint="eastAsia"/>
                          <w:sz w:val="24"/>
                          <w:szCs w:val="24"/>
                          <w:lang w:val="en-US" w:eastAsia="zh-CN"/>
                        </w:rPr>
                        <w:t>比例尺：1：2256</w:t>
                      </w:r>
                    </w:p>
                    <w:p w14:paraId="64C1133A">
                      <w:pPr>
                        <w:pStyle w:val="10"/>
                        <w:rPr>
                          <w:rFonts w:hint="default"/>
                          <w:lang w:val="en-US" w:eastAsia="zh-CN"/>
                        </w:rPr>
                      </w:pPr>
                    </w:p>
                  </w:txbxContent>
                </v:textbox>
              </v:shape>
            </w:pict>
          </mc:Fallback>
        </mc:AlternateContent>
      </w:r>
      <w:r>
        <w:rPr>
          <w:rFonts w:hint="eastAsia" w:eastAsia="宋体"/>
          <w:color w:val="auto"/>
          <w:highlight w:val="none"/>
          <w:lang w:eastAsia="zh-CN"/>
        </w:rPr>
        <w:drawing>
          <wp:inline distT="0" distB="0" distL="114300" distR="114300">
            <wp:extent cx="7685405" cy="5038090"/>
            <wp:effectExtent l="0" t="0" r="10795" b="3810"/>
            <wp:docPr id="83" name="图片 3" descr="174729533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 descr="1747295335748"/>
                    <pic:cNvPicPr>
                      <a:picLocks noChangeAspect="1"/>
                    </pic:cNvPicPr>
                  </pic:nvPicPr>
                  <pic:blipFill>
                    <a:blip r:embed="rId36"/>
                    <a:stretch>
                      <a:fillRect/>
                    </a:stretch>
                  </pic:blipFill>
                  <pic:spPr>
                    <a:xfrm>
                      <a:off x="0" y="0"/>
                      <a:ext cx="7685405" cy="5038090"/>
                    </a:xfrm>
                    <a:prstGeom prst="rect">
                      <a:avLst/>
                    </a:prstGeom>
                    <a:noFill/>
                    <a:ln>
                      <a:noFill/>
                    </a:ln>
                  </pic:spPr>
                </pic:pic>
              </a:graphicData>
            </a:graphic>
          </wp:inline>
        </w:drawing>
      </w:r>
    </w:p>
    <w:p w14:paraId="56508699">
      <w:pPr>
        <w:pStyle w:val="10"/>
        <w:rPr>
          <w:rFonts w:hint="default" w:ascii="Times New Roman" w:hAnsi="Times New Roman" w:cs="Times New Roman"/>
          <w:color w:val="auto"/>
        </w:rPr>
      </w:pPr>
    </w:p>
    <w:p w14:paraId="1885AB9B">
      <w:pPr>
        <w:pStyle w:val="2"/>
        <w:bidi w:val="0"/>
        <w:ind w:left="432" w:leftChars="0" w:hanging="432" w:firstLineChars="0"/>
        <w:jc w:val="center"/>
        <w:outlineLvl w:val="0"/>
        <w:rPr>
          <w:rFonts w:hint="default" w:ascii="Times New Roman" w:hAnsi="Times New Roman" w:cs="Times New Roman"/>
          <w:b w:val="0"/>
          <w:bCs w:val="0"/>
          <w:color w:val="auto"/>
          <w:sz w:val="28"/>
          <w:szCs w:val="28"/>
          <w:lang w:val="en-US" w:eastAsia="zh-CN"/>
        </w:rPr>
      </w:pPr>
      <w:bookmarkStart w:id="75" w:name="_Toc22674"/>
      <w:r>
        <w:rPr>
          <w:rFonts w:hint="eastAsia" w:ascii="宋体" w:hAnsi="宋体" w:eastAsia="宋体" w:cs="宋体"/>
          <w:b w:val="0"/>
          <w:bCs w:val="0"/>
          <w:color w:val="auto"/>
          <w:sz w:val="28"/>
          <w:szCs w:val="28"/>
          <w:lang w:val="en-US" w:eastAsia="zh-CN"/>
        </w:rPr>
        <w:t>附图</w:t>
      </w:r>
      <w:r>
        <w:rPr>
          <w:rFonts w:hint="eastAsia" w:cs="Times New Roman"/>
          <w:b w:val="0"/>
          <w:bCs w:val="0"/>
          <w:color w:val="auto"/>
          <w:sz w:val="28"/>
          <w:szCs w:val="28"/>
          <w:lang w:val="en-US" w:eastAsia="zh-CN"/>
        </w:rPr>
        <w:t>5</w:t>
      </w:r>
      <w:r>
        <w:rPr>
          <w:rFonts w:hint="eastAsia" w:ascii="宋体" w:hAnsi="宋体" w:eastAsia="宋体" w:cs="宋体"/>
          <w:b w:val="0"/>
          <w:bCs w:val="0"/>
          <w:color w:val="auto"/>
          <w:sz w:val="28"/>
          <w:szCs w:val="28"/>
          <w:lang w:val="en-US" w:eastAsia="zh-CN"/>
        </w:rPr>
        <w:t>监测点位示意图</w:t>
      </w:r>
      <w:bookmarkEnd w:id="75"/>
    </w:p>
    <w:p w14:paraId="369CA0A3">
      <w:pPr>
        <w:rPr>
          <w:rFonts w:hint="default" w:ascii="Times New Roman" w:hAnsi="Times New Roman" w:cs="Times New Roman"/>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5B4391E8">
      <w:pPr>
        <w:jc w:val="center"/>
        <w:rPr>
          <w:rFonts w:hint="default" w:ascii="Times New Roman" w:hAnsi="Times New Roman" w:cs="Times New Roman"/>
          <w:color w:val="auto"/>
        </w:rPr>
      </w:pPr>
    </w:p>
    <w:tbl>
      <w:tblPr>
        <w:tblStyle w:val="21"/>
        <w:tblW w:w="46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2"/>
        <w:gridCol w:w="6394"/>
      </w:tblGrid>
      <w:tr w14:paraId="4BDDF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1" w:hRule="atLeast"/>
          <w:jc w:val="center"/>
        </w:trPr>
        <w:tc>
          <w:tcPr>
            <w:tcW w:w="2505" w:type="pct"/>
            <w:noWrap w:val="0"/>
            <w:vAlign w:val="center"/>
          </w:tcPr>
          <w:p w14:paraId="0C4D5C8B">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drawing>
                <wp:inline distT="0" distB="0" distL="114300" distR="114300">
                  <wp:extent cx="3931920" cy="2211705"/>
                  <wp:effectExtent l="0" t="0" r="11430" b="17145"/>
                  <wp:docPr id="15" name="图片 15" descr="7e97b60d37a1e4bf1dc8cb824a5498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7e97b60d37a1e4bf1dc8cb824a5498ba"/>
                          <pic:cNvPicPr>
                            <a:picLocks noChangeAspect="1"/>
                          </pic:cNvPicPr>
                        </pic:nvPicPr>
                        <pic:blipFill>
                          <a:blip r:embed="rId37"/>
                          <a:stretch>
                            <a:fillRect/>
                          </a:stretch>
                        </pic:blipFill>
                        <pic:spPr>
                          <a:xfrm>
                            <a:off x="0" y="0"/>
                            <a:ext cx="3931920" cy="2211705"/>
                          </a:xfrm>
                          <a:prstGeom prst="rect">
                            <a:avLst/>
                          </a:prstGeom>
                        </pic:spPr>
                      </pic:pic>
                    </a:graphicData>
                  </a:graphic>
                </wp:inline>
              </w:drawing>
            </w:r>
          </w:p>
        </w:tc>
        <w:tc>
          <w:tcPr>
            <w:tcW w:w="2494" w:type="pct"/>
            <w:noWrap w:val="0"/>
            <w:vAlign w:val="center"/>
          </w:tcPr>
          <w:p w14:paraId="363AD8D4">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color w:val="auto"/>
              </w:rPr>
              <w:drawing>
                <wp:inline distT="0" distB="0" distL="114300" distR="114300">
                  <wp:extent cx="3935730" cy="2137410"/>
                  <wp:effectExtent l="0" t="0" r="7620" b="15240"/>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38"/>
                          <a:stretch>
                            <a:fillRect/>
                          </a:stretch>
                        </pic:blipFill>
                        <pic:spPr>
                          <a:xfrm>
                            <a:off x="0" y="0"/>
                            <a:ext cx="3935730" cy="2137410"/>
                          </a:xfrm>
                          <a:prstGeom prst="rect">
                            <a:avLst/>
                          </a:prstGeom>
                          <a:noFill/>
                          <a:ln>
                            <a:noFill/>
                          </a:ln>
                        </pic:spPr>
                      </pic:pic>
                    </a:graphicData>
                  </a:graphic>
                </wp:inline>
              </w:drawing>
            </w:r>
          </w:p>
        </w:tc>
      </w:tr>
      <w:tr w14:paraId="215BE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5" w:type="pct"/>
            <w:noWrap w:val="0"/>
            <w:vAlign w:val="center"/>
          </w:tcPr>
          <w:p w14:paraId="2FD6968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t>项目</w:t>
            </w:r>
            <w:r>
              <w:rPr>
                <w:rFonts w:hint="default" w:ascii="Times New Roman" w:hAnsi="Times New Roman" w:cs="Times New Roman"/>
                <w:color w:val="auto"/>
                <w:spacing w:val="0"/>
                <w:kern w:val="2"/>
                <w:sz w:val="21"/>
                <w:szCs w:val="24"/>
                <w:vertAlign w:val="baseline"/>
                <w:lang w:val="en-US" w:eastAsia="zh-CN" w:bidi="ar-SA"/>
              </w:rPr>
              <w:t>东</w:t>
            </w:r>
            <w:r>
              <w:rPr>
                <w:rFonts w:hint="default" w:ascii="Times New Roman" w:hAnsi="Times New Roman" w:eastAsia="宋体" w:cs="Times New Roman"/>
                <w:color w:val="auto"/>
                <w:spacing w:val="0"/>
                <w:kern w:val="2"/>
                <w:sz w:val="21"/>
                <w:szCs w:val="24"/>
                <w:vertAlign w:val="baseline"/>
                <w:lang w:val="en-US" w:eastAsia="zh-CN" w:bidi="ar-SA"/>
              </w:rPr>
              <w:t>侧</w:t>
            </w:r>
          </w:p>
        </w:tc>
        <w:tc>
          <w:tcPr>
            <w:tcW w:w="2494" w:type="pct"/>
            <w:noWrap w:val="0"/>
            <w:vAlign w:val="center"/>
          </w:tcPr>
          <w:p w14:paraId="0865816B">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t>项目</w:t>
            </w:r>
            <w:r>
              <w:rPr>
                <w:rFonts w:hint="default" w:ascii="Times New Roman" w:hAnsi="Times New Roman" w:cs="Times New Roman"/>
                <w:color w:val="auto"/>
                <w:spacing w:val="0"/>
                <w:kern w:val="2"/>
                <w:sz w:val="21"/>
                <w:szCs w:val="24"/>
                <w:vertAlign w:val="baseline"/>
                <w:lang w:val="en-US" w:eastAsia="zh-CN" w:bidi="ar-SA"/>
              </w:rPr>
              <w:t>南</w:t>
            </w:r>
            <w:r>
              <w:rPr>
                <w:rFonts w:hint="default" w:ascii="Times New Roman" w:hAnsi="Times New Roman" w:eastAsia="宋体" w:cs="Times New Roman"/>
                <w:color w:val="auto"/>
                <w:spacing w:val="0"/>
                <w:kern w:val="2"/>
                <w:sz w:val="21"/>
                <w:szCs w:val="24"/>
                <w:vertAlign w:val="baseline"/>
                <w:lang w:val="en-US" w:eastAsia="zh-CN" w:bidi="ar-SA"/>
              </w:rPr>
              <w:t>侧</w:t>
            </w:r>
          </w:p>
        </w:tc>
      </w:tr>
      <w:tr w14:paraId="54ED8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7" w:hRule="atLeast"/>
          <w:jc w:val="center"/>
        </w:trPr>
        <w:tc>
          <w:tcPr>
            <w:tcW w:w="2505" w:type="pct"/>
            <w:noWrap w:val="0"/>
            <w:vAlign w:val="center"/>
          </w:tcPr>
          <w:p w14:paraId="5A837652">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drawing>
                <wp:inline distT="0" distB="0" distL="114300" distR="114300">
                  <wp:extent cx="3931920" cy="2211705"/>
                  <wp:effectExtent l="0" t="0" r="11430" b="17145"/>
                  <wp:docPr id="29" name="图片 29" descr="55e3f439417d9a6bbd8bfe1621fa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55e3f439417d9a6bbd8bfe1621fa4459"/>
                          <pic:cNvPicPr>
                            <a:picLocks noChangeAspect="1"/>
                          </pic:cNvPicPr>
                        </pic:nvPicPr>
                        <pic:blipFill>
                          <a:blip r:embed="rId39"/>
                          <a:stretch>
                            <a:fillRect/>
                          </a:stretch>
                        </pic:blipFill>
                        <pic:spPr>
                          <a:xfrm>
                            <a:off x="0" y="0"/>
                            <a:ext cx="3931920" cy="2211705"/>
                          </a:xfrm>
                          <a:prstGeom prst="rect">
                            <a:avLst/>
                          </a:prstGeom>
                        </pic:spPr>
                      </pic:pic>
                    </a:graphicData>
                  </a:graphic>
                </wp:inline>
              </w:drawing>
            </w:r>
          </w:p>
        </w:tc>
        <w:tc>
          <w:tcPr>
            <w:tcW w:w="2494" w:type="pct"/>
            <w:noWrap w:val="0"/>
            <w:vAlign w:val="center"/>
          </w:tcPr>
          <w:p w14:paraId="2781E7A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color w:val="auto"/>
              </w:rPr>
              <w:drawing>
                <wp:inline distT="0" distB="0" distL="114300" distR="114300">
                  <wp:extent cx="3964940" cy="2126615"/>
                  <wp:effectExtent l="0" t="0" r="16510" b="698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40"/>
                          <a:stretch>
                            <a:fillRect/>
                          </a:stretch>
                        </pic:blipFill>
                        <pic:spPr>
                          <a:xfrm>
                            <a:off x="0" y="0"/>
                            <a:ext cx="3964940" cy="2126615"/>
                          </a:xfrm>
                          <a:prstGeom prst="rect">
                            <a:avLst/>
                          </a:prstGeom>
                          <a:noFill/>
                          <a:ln>
                            <a:noFill/>
                          </a:ln>
                        </pic:spPr>
                      </pic:pic>
                    </a:graphicData>
                  </a:graphic>
                </wp:inline>
              </w:drawing>
            </w:r>
          </w:p>
        </w:tc>
      </w:tr>
      <w:tr w14:paraId="5A5CD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05" w:type="pct"/>
            <w:noWrap w:val="0"/>
            <w:vAlign w:val="center"/>
          </w:tcPr>
          <w:p w14:paraId="202B714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t>项目</w:t>
            </w:r>
            <w:r>
              <w:rPr>
                <w:rFonts w:hint="default" w:ascii="Times New Roman" w:hAnsi="Times New Roman" w:cs="Times New Roman"/>
                <w:color w:val="auto"/>
                <w:spacing w:val="0"/>
                <w:kern w:val="2"/>
                <w:sz w:val="21"/>
                <w:szCs w:val="24"/>
                <w:vertAlign w:val="baseline"/>
                <w:lang w:val="en-US" w:eastAsia="zh-CN" w:bidi="ar-SA"/>
              </w:rPr>
              <w:t>西</w:t>
            </w:r>
            <w:r>
              <w:rPr>
                <w:rFonts w:hint="default" w:ascii="Times New Roman" w:hAnsi="Times New Roman" w:eastAsia="宋体" w:cs="Times New Roman"/>
                <w:color w:val="auto"/>
                <w:spacing w:val="0"/>
                <w:kern w:val="2"/>
                <w:sz w:val="21"/>
                <w:szCs w:val="24"/>
                <w:vertAlign w:val="baseline"/>
                <w:lang w:val="en-US" w:eastAsia="zh-CN" w:bidi="ar-SA"/>
              </w:rPr>
              <w:t>侧</w:t>
            </w:r>
          </w:p>
        </w:tc>
        <w:tc>
          <w:tcPr>
            <w:tcW w:w="2494" w:type="pct"/>
            <w:noWrap w:val="0"/>
            <w:vAlign w:val="center"/>
          </w:tcPr>
          <w:p w14:paraId="20413622">
            <w:pPr>
              <w:keepNext w:val="0"/>
              <w:keepLines w:val="0"/>
              <w:pageBreakBefore w:val="0"/>
              <w:widowControl w:val="0"/>
              <w:kinsoku/>
              <w:wordWrap/>
              <w:overflowPunct/>
              <w:topLinePunct w:val="0"/>
              <w:autoSpaceDE/>
              <w:autoSpaceDN/>
              <w:bidi w:val="0"/>
              <w:adjustRightInd/>
              <w:snapToGrid/>
              <w:spacing w:after="0"/>
              <w:ind w:firstLine="210" w:firstLineChars="10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t>项目</w:t>
            </w:r>
            <w:r>
              <w:rPr>
                <w:rFonts w:hint="default" w:ascii="Times New Roman" w:hAnsi="Times New Roman" w:cs="Times New Roman"/>
                <w:color w:val="auto"/>
                <w:spacing w:val="0"/>
                <w:kern w:val="2"/>
                <w:sz w:val="21"/>
                <w:szCs w:val="24"/>
                <w:vertAlign w:val="baseline"/>
                <w:lang w:val="en-US" w:eastAsia="zh-CN" w:bidi="ar-SA"/>
              </w:rPr>
              <w:t>北</w:t>
            </w:r>
            <w:r>
              <w:rPr>
                <w:rFonts w:hint="default" w:ascii="Times New Roman" w:hAnsi="Times New Roman" w:eastAsia="宋体" w:cs="Times New Roman"/>
                <w:color w:val="auto"/>
                <w:spacing w:val="0"/>
                <w:kern w:val="2"/>
                <w:sz w:val="21"/>
                <w:szCs w:val="24"/>
                <w:vertAlign w:val="baseline"/>
                <w:lang w:val="en-US" w:eastAsia="zh-CN" w:bidi="ar-SA"/>
              </w:rPr>
              <w:t>侧</w:t>
            </w:r>
          </w:p>
        </w:tc>
      </w:tr>
    </w:tbl>
    <w:p w14:paraId="2ED8E034">
      <w:pPr>
        <w:spacing w:after="120" w:afterLines="50"/>
        <w:jc w:val="center"/>
        <w:outlineLvl w:val="0"/>
        <w:rPr>
          <w:rFonts w:hint="eastAsia" w:ascii="宋体" w:hAnsi="宋体" w:eastAsia="宋体" w:cs="宋体"/>
          <w:b w:val="0"/>
          <w:bCs/>
          <w:color w:val="auto"/>
          <w:sz w:val="28"/>
          <w:szCs w:val="28"/>
          <w:lang w:val="en-US" w:eastAsia="zh-CN"/>
        </w:rPr>
      </w:pPr>
      <w:bookmarkStart w:id="76" w:name="_Toc20966"/>
      <w:bookmarkStart w:id="77" w:name="_Toc23372"/>
      <w:bookmarkStart w:id="78" w:name="_Toc24703"/>
      <w:bookmarkStart w:id="79" w:name="_Toc463"/>
      <w:bookmarkStart w:id="80" w:name="_Toc1000"/>
      <w:r>
        <w:rPr>
          <w:rFonts w:hint="eastAsia" w:ascii="宋体" w:hAnsi="宋体" w:eastAsia="宋体" w:cs="宋体"/>
          <w:b w:val="0"/>
          <w:bCs/>
          <w:color w:val="auto"/>
          <w:sz w:val="28"/>
          <w:szCs w:val="28"/>
        </w:rPr>
        <w:t>附图</w:t>
      </w:r>
      <w:r>
        <w:rPr>
          <w:rFonts w:hint="eastAsia" w:eastAsia="黑体" w:cs="Times New Roman"/>
          <w:b w:val="0"/>
          <w:bCs/>
          <w:color w:val="auto"/>
          <w:sz w:val="28"/>
          <w:szCs w:val="28"/>
          <w:lang w:val="en-US" w:eastAsia="zh-CN"/>
        </w:rPr>
        <w:t>6</w:t>
      </w:r>
      <w:r>
        <w:rPr>
          <w:rFonts w:hint="default" w:ascii="Times New Roman" w:hAnsi="Times New Roman" w:eastAsia="黑体" w:cs="Times New Roman"/>
          <w:b w:val="0"/>
          <w:bCs/>
          <w:color w:val="auto"/>
          <w:sz w:val="28"/>
          <w:szCs w:val="28"/>
        </w:rPr>
        <w:t xml:space="preserve"> </w:t>
      </w:r>
      <w:r>
        <w:rPr>
          <w:rFonts w:hint="eastAsia" w:ascii="宋体" w:hAnsi="宋体" w:eastAsia="宋体" w:cs="宋体"/>
          <w:b w:val="0"/>
          <w:bCs/>
          <w:color w:val="auto"/>
          <w:sz w:val="28"/>
          <w:szCs w:val="28"/>
          <w:lang w:val="en-US" w:eastAsia="zh-CN"/>
        </w:rPr>
        <w:t>现场照片</w:t>
      </w:r>
      <w:bookmarkEnd w:id="76"/>
      <w:bookmarkEnd w:id="77"/>
      <w:bookmarkEnd w:id="78"/>
      <w:bookmarkEnd w:id="79"/>
      <w:bookmarkEnd w:id="80"/>
    </w:p>
    <w:p w14:paraId="3C010403">
      <w:pPr>
        <w:pStyle w:val="19"/>
        <w:rPr>
          <w:rFonts w:hint="default" w:ascii="Times New Roman" w:hAnsi="Times New Roman" w:cs="Times New Roman"/>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3A9E5423">
      <w:pPr>
        <w:pStyle w:val="19"/>
        <w:jc w:val="center"/>
        <w:rPr>
          <w:rFonts w:hint="eastAsia"/>
          <w:color w:val="auto"/>
          <w:lang w:val="en-US" w:eastAsia="zh-CN"/>
        </w:rPr>
      </w:pPr>
      <w:r>
        <w:rPr>
          <w:color w:val="auto"/>
          <w:sz w:val="18"/>
        </w:rPr>
        <mc:AlternateContent>
          <mc:Choice Requires="wps">
            <w:drawing>
              <wp:anchor distT="0" distB="0" distL="114300" distR="114300" simplePos="0" relativeHeight="251718656" behindDoc="0" locked="0" layoutInCell="1" allowOverlap="1">
                <wp:simplePos x="0" y="0"/>
                <wp:positionH relativeFrom="column">
                  <wp:posOffset>1967230</wp:posOffset>
                </wp:positionH>
                <wp:positionV relativeFrom="paragraph">
                  <wp:posOffset>3220085</wp:posOffset>
                </wp:positionV>
                <wp:extent cx="640715" cy="219075"/>
                <wp:effectExtent l="113665" t="6350" r="7620" b="136525"/>
                <wp:wrapNone/>
                <wp:docPr id="105" name="矩形标注 105"/>
                <wp:cNvGraphicFramePr/>
                <a:graphic xmlns:a="http://schemas.openxmlformats.org/drawingml/2006/main">
                  <a:graphicData uri="http://schemas.microsoft.com/office/word/2010/wordprocessingShape">
                    <wps:wsp>
                      <wps:cNvSpPr/>
                      <wps:spPr>
                        <a:xfrm>
                          <a:off x="3022600" y="4262755"/>
                          <a:ext cx="640715" cy="219075"/>
                        </a:xfrm>
                        <a:prstGeom prst="wedgeRectCallout">
                          <a:avLst>
                            <a:gd name="adj1" fmla="val -60588"/>
                            <a:gd name="adj2" fmla="val 101481"/>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61F49B7A">
                            <w:pPr>
                              <w:jc w:val="center"/>
                              <w:rPr>
                                <w:rFonts w:hint="default" w:eastAsia="宋体"/>
                                <w:sz w:val="15"/>
                                <w:szCs w:val="15"/>
                                <w:lang w:val="en-US" w:eastAsia="zh-CN"/>
                              </w:rPr>
                            </w:pPr>
                            <w:r>
                              <w:rPr>
                                <w:rFonts w:hint="eastAsia"/>
                                <w:sz w:val="15"/>
                                <w:szCs w:val="15"/>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54.9pt;margin-top:253.55pt;height:17.25pt;width:50.45pt;z-index:251718656;v-text-anchor:middle;mso-width-relative:page;mso-height-relative:page;" fillcolor="#4874CB [3204]" filled="t" stroked="t" coordsize="21600,21600" o:gfxdata="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OfYFuHXAAAACwEAAA8AAAAAAAAAAQAgAAAAIgAAAGRycy9kb3ducmV2LnhtbFBLAQIUABQAAAAI&#10;AIdO4kALHFA80gIAAJUFAAAOAAAAAAAAAAEAIAAAACYBAABkcnMvZTJvRG9jLnhtbFBLBQYAAAAA&#10;BgAGAFkBAABqBgAAAAA=&#10;" adj="-2287,32720">
                <v:fill on="t" focussize="0,0"/>
                <v:stroke weight="1pt" color="#2E54A1 [2404]" miterlimit="8" joinstyle="miter"/>
                <v:imagedata o:title=""/>
                <o:lock v:ext="edit" aspectratio="f"/>
                <v:textbox>
                  <w:txbxContent>
                    <w:p w14:paraId="61F49B7A">
                      <w:pPr>
                        <w:jc w:val="center"/>
                        <w:rPr>
                          <w:rFonts w:hint="default" w:eastAsia="宋体"/>
                          <w:sz w:val="15"/>
                          <w:szCs w:val="15"/>
                          <w:lang w:val="en-US" w:eastAsia="zh-CN"/>
                        </w:rPr>
                      </w:pPr>
                      <w:r>
                        <w:rPr>
                          <w:rFonts w:hint="eastAsia"/>
                          <w:sz w:val="15"/>
                          <w:szCs w:val="15"/>
                          <w:lang w:val="en-US" w:eastAsia="zh-CN"/>
                        </w:rPr>
                        <w:t>本项目</w:t>
                      </w:r>
                    </w:p>
                  </w:txbxContent>
                </v:textbox>
              </v:shape>
            </w:pict>
          </mc:Fallback>
        </mc:AlternateContent>
      </w:r>
      <w:r>
        <w:rPr>
          <w:color w:val="auto"/>
          <w:sz w:val="18"/>
        </w:rPr>
        <mc:AlternateContent>
          <mc:Choice Requires="wps">
            <w:drawing>
              <wp:anchor distT="0" distB="0" distL="114300" distR="114300" simplePos="0" relativeHeight="251717632" behindDoc="0" locked="0" layoutInCell="1" allowOverlap="1">
                <wp:simplePos x="0" y="0"/>
                <wp:positionH relativeFrom="column">
                  <wp:posOffset>1801495</wp:posOffset>
                </wp:positionH>
                <wp:positionV relativeFrom="paragraph">
                  <wp:posOffset>3547745</wp:posOffset>
                </wp:positionV>
                <wp:extent cx="75565" cy="75565"/>
                <wp:effectExtent l="19050" t="21590" r="19685" b="17145"/>
                <wp:wrapNone/>
                <wp:docPr id="104" name="五角星 104"/>
                <wp:cNvGraphicFramePr/>
                <a:graphic xmlns:a="http://schemas.openxmlformats.org/drawingml/2006/main">
                  <a:graphicData uri="http://schemas.microsoft.com/office/word/2010/wordprocessingShape">
                    <wps:wsp>
                      <wps:cNvSpPr/>
                      <wps:spPr>
                        <a:xfrm>
                          <a:off x="2904490" y="4538980"/>
                          <a:ext cx="75565" cy="75565"/>
                        </a:xfrm>
                        <a:prstGeom prst="star5">
                          <a:avLst/>
                        </a:prstGeom>
                      </wps:spPr>
                      <wps:style>
                        <a:lnRef idx="0">
                          <a:srgbClr val="FFFFFF"/>
                        </a:lnRef>
                        <a:fillRef idx="1">
                          <a:prstClr val="black"/>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41.85pt;margin-top:279.35pt;height:5.95pt;width:5.95pt;z-index:251717632;v-text-anchor:middle;mso-width-relative:page;mso-height-relative:page;" fillcolor="#000000" filled="t" stroked="f" coordsize="75565,75565" o:gfxdata="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PrV4JLZAAAACwEAAA8AAAAAAAAAAQAgAAAA&#10;IgAAAGRycy9kb3ducmV2LnhtbFBLAQIUABQAAAAIAIdO4kA4C/oPQwIAAG8EAAAOAAAAAAAAAAEA&#10;IAAAACgBAABkcnMvZTJvRG9jLnhtbFBLBQYAAAAABgAGAFkBAADdBQAAAAA=&#10;" path="m0,28863l28863,28863,37782,0,46701,28863,75564,28863,52213,46701,61133,75564,37782,57726,14431,75564,23351,46701xe">
                <v:path o:connectlocs="37782,0;0,28863;14431,75564;61133,75564;75564,28863" o:connectangles="247,164,82,82,0"/>
                <v:fill on="t" focussize="0,0"/>
                <v:stroke on="f"/>
                <v:imagedata o:title=""/>
                <o:lock v:ext="edit" aspectratio="f"/>
              </v:shape>
            </w:pict>
          </mc:Fallback>
        </mc:AlternateContent>
      </w:r>
      <w:r>
        <w:rPr>
          <w:rFonts w:hint="eastAsia"/>
          <w:color w:val="auto"/>
          <w:lang w:val="en-US" w:eastAsia="zh-CN"/>
        </w:rPr>
        <w:drawing>
          <wp:inline distT="0" distB="0" distL="114300" distR="114300">
            <wp:extent cx="7193915" cy="5088890"/>
            <wp:effectExtent l="0" t="0" r="6985" b="16510"/>
            <wp:docPr id="102" name="图片 2" descr="971785f5e851cc10cc77fa6b452f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 descr="971785f5e851cc10cc77fa6b452fc50"/>
                    <pic:cNvPicPr>
                      <a:picLocks noChangeAspect="1"/>
                    </pic:cNvPicPr>
                  </pic:nvPicPr>
                  <pic:blipFill>
                    <a:blip r:embed="rId41"/>
                    <a:stretch>
                      <a:fillRect/>
                    </a:stretch>
                  </pic:blipFill>
                  <pic:spPr>
                    <a:xfrm>
                      <a:off x="0" y="0"/>
                      <a:ext cx="7193915" cy="5088890"/>
                    </a:xfrm>
                    <a:prstGeom prst="rect">
                      <a:avLst/>
                    </a:prstGeom>
                    <a:noFill/>
                    <a:ln>
                      <a:noFill/>
                    </a:ln>
                  </pic:spPr>
                </pic:pic>
              </a:graphicData>
            </a:graphic>
          </wp:inline>
        </w:drawing>
      </w:r>
    </w:p>
    <w:p w14:paraId="224E2785">
      <w:pPr>
        <w:spacing w:after="120" w:afterLines="50"/>
        <w:jc w:val="center"/>
        <w:outlineLvl w:val="0"/>
        <w:rPr>
          <w:rFonts w:hint="eastAsia" w:ascii="宋体" w:hAnsi="宋体" w:eastAsia="宋体" w:cs="宋体"/>
          <w:b w:val="0"/>
          <w:bCs/>
          <w:color w:val="auto"/>
          <w:sz w:val="28"/>
          <w:szCs w:val="28"/>
          <w:lang w:val="en-US" w:eastAsia="zh-CN"/>
        </w:rPr>
      </w:pPr>
      <w:bookmarkStart w:id="81" w:name="_Toc12457"/>
      <w:r>
        <w:rPr>
          <w:rFonts w:hint="eastAsia" w:ascii="宋体" w:hAnsi="宋体" w:eastAsia="宋体" w:cs="宋体"/>
          <w:b w:val="0"/>
          <w:bCs/>
          <w:color w:val="auto"/>
          <w:sz w:val="28"/>
          <w:szCs w:val="28"/>
        </w:rPr>
        <w:t>附图</w:t>
      </w:r>
      <w:r>
        <w:rPr>
          <w:rFonts w:hint="eastAsia" w:eastAsia="黑体" w:cs="Times New Roman"/>
          <w:b w:val="0"/>
          <w:bCs/>
          <w:color w:val="auto"/>
          <w:sz w:val="28"/>
          <w:szCs w:val="28"/>
          <w:lang w:val="en-US" w:eastAsia="zh-CN"/>
        </w:rPr>
        <w:t>7</w:t>
      </w:r>
      <w:r>
        <w:rPr>
          <w:rFonts w:hint="default" w:ascii="宋体" w:hAnsi="宋体" w:eastAsia="宋体" w:cs="宋体"/>
          <w:b w:val="0"/>
          <w:bCs/>
          <w:color w:val="auto"/>
          <w:sz w:val="28"/>
          <w:szCs w:val="28"/>
        </w:rPr>
        <w:t xml:space="preserve"> </w:t>
      </w:r>
      <w:r>
        <w:rPr>
          <w:rFonts w:hint="eastAsia" w:ascii="宋体" w:hAnsi="宋体" w:eastAsia="宋体" w:cs="宋体"/>
          <w:b w:val="0"/>
          <w:bCs/>
          <w:color w:val="auto"/>
          <w:sz w:val="28"/>
          <w:szCs w:val="28"/>
          <w:lang w:val="en-US" w:eastAsia="zh-CN"/>
        </w:rPr>
        <w:t>鸡西市环境管控单元图</w:t>
      </w:r>
      <w:bookmarkEnd w:id="81"/>
    </w:p>
    <w:p w14:paraId="3C7D3841">
      <w:pPr>
        <w:spacing w:after="120" w:afterLines="50"/>
        <w:jc w:val="center"/>
        <w:outlineLvl w:val="0"/>
        <w:rPr>
          <w:rFonts w:hint="default" w:ascii="宋体" w:hAnsi="宋体" w:eastAsia="宋体" w:cs="宋体"/>
          <w:b w:val="0"/>
          <w:bCs/>
          <w:color w:val="auto"/>
          <w:sz w:val="28"/>
          <w:szCs w:val="28"/>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4852087B">
      <w:pPr>
        <w:outlineLvl w:val="0"/>
        <w:rPr>
          <w:rFonts w:hint="default" w:ascii="Times New Roman" w:hAnsi="Times New Roman" w:eastAsia="黑体" w:cs="Times New Roman"/>
          <w:snapToGrid w:val="0"/>
          <w:color w:val="auto"/>
          <w:sz w:val="32"/>
          <w:szCs w:val="32"/>
          <w:highlight w:val="none"/>
        </w:rPr>
      </w:pPr>
      <w:bookmarkStart w:id="82" w:name="_Toc17621"/>
      <w:bookmarkStart w:id="83" w:name="_Toc9975"/>
      <w:bookmarkStart w:id="84" w:name="_Toc11149"/>
      <w:bookmarkStart w:id="85" w:name="_Toc24243"/>
      <w:r>
        <w:rPr>
          <w:rFonts w:hint="eastAsia" w:ascii="宋体" w:hAnsi="宋体" w:eastAsia="宋体" w:cs="宋体"/>
          <w:snapToGrid w:val="0"/>
          <w:color w:val="auto"/>
          <w:sz w:val="32"/>
          <w:szCs w:val="32"/>
          <w:highlight w:val="none"/>
        </w:rPr>
        <w:t>附件</w:t>
      </w:r>
      <w:r>
        <w:rPr>
          <w:rFonts w:hint="default" w:ascii="Times New Roman" w:hAnsi="Times New Roman" w:eastAsia="黑体" w:cs="Times New Roman"/>
          <w:snapToGrid w:val="0"/>
          <w:color w:val="auto"/>
          <w:sz w:val="32"/>
          <w:szCs w:val="32"/>
          <w:highlight w:val="none"/>
        </w:rPr>
        <w:t>1</w:t>
      </w:r>
      <w:r>
        <w:rPr>
          <w:rFonts w:hint="eastAsia" w:ascii="宋体" w:hAnsi="宋体" w:eastAsia="宋体" w:cs="宋体"/>
          <w:snapToGrid w:val="0"/>
          <w:color w:val="auto"/>
          <w:sz w:val="32"/>
          <w:szCs w:val="32"/>
          <w:highlight w:val="none"/>
        </w:rPr>
        <w:t>营业执照</w:t>
      </w:r>
      <w:bookmarkEnd w:id="82"/>
      <w:bookmarkEnd w:id="83"/>
      <w:bookmarkEnd w:id="84"/>
      <w:bookmarkEnd w:id="85"/>
    </w:p>
    <w:p w14:paraId="77FD89C8">
      <w:pPr>
        <w:pStyle w:val="24"/>
        <w:jc w:val="center"/>
        <w:rPr>
          <w:rFonts w:hint="default" w:ascii="Times New Roman" w:hAnsi="Times New Roman" w:cs="Times New Roman"/>
          <w:color w:val="auto"/>
        </w:rPr>
      </w:pPr>
    </w:p>
    <w:p w14:paraId="7B3D481C">
      <w:pPr>
        <w:pStyle w:val="19"/>
        <w:ind w:firstLine="0" w:firstLineChars="0"/>
        <w:jc w:val="center"/>
        <w:rPr>
          <w:rFonts w:hint="default" w:ascii="Times New Roman" w:hAnsi="Times New Roman" w:cs="Times New Roman"/>
          <w:color w:val="auto"/>
          <w:lang w:val="en-US" w:eastAsia="zh-CN"/>
        </w:rPr>
      </w:pPr>
      <w:r>
        <w:rPr>
          <w:rFonts w:hint="default" w:ascii="Times New Roman" w:hAnsi="Times New Roman" w:eastAsia="黑体" w:cs="Times New Roman"/>
          <w:snapToGrid w:val="0"/>
          <w:color w:val="auto"/>
          <w:sz w:val="32"/>
          <w:szCs w:val="32"/>
          <w:highlight w:val="none"/>
          <w:lang w:eastAsia="zh-CN"/>
        </w:rPr>
        <w:drawing>
          <wp:inline distT="0" distB="0" distL="114300" distR="114300">
            <wp:extent cx="7954010" cy="5264150"/>
            <wp:effectExtent l="0" t="0" r="6350" b="8890"/>
            <wp:docPr id="67" name="图片 67" descr="1c54b9031b7e51895e7069cfc17f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1c54b9031b7e51895e7069cfc17f0423"/>
                    <pic:cNvPicPr>
                      <a:picLocks noChangeAspect="1"/>
                    </pic:cNvPicPr>
                  </pic:nvPicPr>
                  <pic:blipFill>
                    <a:blip r:embed="rId42"/>
                    <a:stretch>
                      <a:fillRect/>
                    </a:stretch>
                  </pic:blipFill>
                  <pic:spPr>
                    <a:xfrm rot="16200000">
                      <a:off x="0" y="0"/>
                      <a:ext cx="7954010" cy="5264150"/>
                    </a:xfrm>
                    <a:prstGeom prst="rect">
                      <a:avLst/>
                    </a:prstGeom>
                  </pic:spPr>
                </pic:pic>
              </a:graphicData>
            </a:graphic>
          </wp:inline>
        </w:drawing>
      </w:r>
      <w:bookmarkStart w:id="86" w:name="_Toc13289"/>
    </w:p>
    <w:p w14:paraId="5F5E33E2">
      <w:pPr>
        <w:pStyle w:val="10"/>
        <w:ind w:left="0" w:leftChars="0" w:firstLine="0" w:firstLineChars="0"/>
        <w:rPr>
          <w:rFonts w:hint="default" w:ascii="Times New Roman" w:hAnsi="Times New Roman" w:cs="Times New Roman"/>
          <w:color w:val="auto"/>
          <w:lang w:val="en-US" w:eastAsia="zh-CN"/>
        </w:rPr>
        <w:sectPr>
          <w:footerReference r:id="rId9" w:type="default"/>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p>
    <w:p w14:paraId="2CBF48D6">
      <w:pPr>
        <w:pStyle w:val="19"/>
        <w:widowControl w:val="0"/>
        <w:snapToGrid/>
        <w:ind w:right="113" w:rightChars="0" w:firstLine="0" w:firstLineChars="0"/>
        <w:jc w:val="both"/>
        <w:outlineLvl w:val="0"/>
        <w:rPr>
          <w:rFonts w:hint="eastAsia" w:ascii="宋体" w:hAnsi="宋体" w:eastAsia="宋体" w:cs="宋体"/>
          <w:snapToGrid w:val="0"/>
          <w:color w:val="auto"/>
          <w:kern w:val="2"/>
          <w:sz w:val="32"/>
          <w:szCs w:val="32"/>
          <w:highlight w:val="none"/>
          <w:lang w:val="en-US" w:eastAsia="zh-CN"/>
        </w:rPr>
      </w:pPr>
      <w:bookmarkStart w:id="87" w:name="_Toc20265"/>
      <w:bookmarkStart w:id="88" w:name="_Toc31516"/>
      <w:bookmarkStart w:id="89" w:name="_Toc29263"/>
      <w:r>
        <w:rPr>
          <w:rFonts w:hint="eastAsia" w:ascii="宋体" w:hAnsi="宋体" w:eastAsia="宋体" w:cs="宋体"/>
          <w:snapToGrid w:val="0"/>
          <w:color w:val="auto"/>
          <w:kern w:val="2"/>
          <w:sz w:val="32"/>
          <w:szCs w:val="32"/>
          <w:highlight w:val="none"/>
          <w:lang w:val="en-US" w:eastAsia="zh-CN"/>
        </w:rPr>
        <w:t>附件</w:t>
      </w:r>
      <w:bookmarkEnd w:id="86"/>
      <w:r>
        <w:rPr>
          <w:rFonts w:hint="eastAsia" w:eastAsia="黑体" w:cs="Times New Roman"/>
          <w:snapToGrid w:val="0"/>
          <w:color w:val="auto"/>
          <w:kern w:val="2"/>
          <w:sz w:val="32"/>
          <w:szCs w:val="32"/>
          <w:highlight w:val="none"/>
          <w:lang w:val="en-US" w:eastAsia="zh-CN"/>
        </w:rPr>
        <w:t>2</w:t>
      </w:r>
      <w:r>
        <w:rPr>
          <w:rFonts w:hint="eastAsia" w:ascii="宋体" w:hAnsi="宋体" w:cs="宋体"/>
          <w:snapToGrid w:val="0"/>
          <w:color w:val="auto"/>
          <w:kern w:val="2"/>
          <w:sz w:val="32"/>
          <w:szCs w:val="32"/>
          <w:highlight w:val="none"/>
          <w:lang w:val="en-US" w:eastAsia="zh-CN"/>
        </w:rPr>
        <w:t>买卖</w:t>
      </w:r>
      <w:r>
        <w:rPr>
          <w:rFonts w:hint="eastAsia" w:ascii="宋体" w:hAnsi="宋体" w:eastAsia="宋体" w:cs="宋体"/>
          <w:snapToGrid w:val="0"/>
          <w:color w:val="auto"/>
          <w:kern w:val="2"/>
          <w:sz w:val="32"/>
          <w:szCs w:val="32"/>
          <w:highlight w:val="none"/>
          <w:lang w:val="en-US" w:eastAsia="zh-CN"/>
        </w:rPr>
        <w:t>协议</w:t>
      </w:r>
      <w:bookmarkEnd w:id="87"/>
      <w:bookmarkEnd w:id="88"/>
      <w:bookmarkEnd w:id="89"/>
    </w:p>
    <w:p w14:paraId="2C6B096B">
      <w:pPr>
        <w:bidi w:val="0"/>
        <w:rPr>
          <w:rFonts w:hint="eastAsia"/>
          <w:color w:val="auto"/>
          <w:lang w:val="en-US" w:eastAsia="zh-CN"/>
        </w:rPr>
      </w:pPr>
      <w:r>
        <w:rPr>
          <w:color w:val="auto"/>
        </w:rPr>
        <w:drawing>
          <wp:inline distT="0" distB="0" distL="114300" distR="114300">
            <wp:extent cx="5598160" cy="7915910"/>
            <wp:effectExtent l="0" t="0" r="2540" b="8890"/>
            <wp:docPr id="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
                    <pic:cNvPicPr>
                      <a:picLocks noChangeAspect="1"/>
                    </pic:cNvPicPr>
                  </pic:nvPicPr>
                  <pic:blipFill>
                    <a:blip r:embed="rId43"/>
                    <a:stretch>
                      <a:fillRect/>
                    </a:stretch>
                  </pic:blipFill>
                  <pic:spPr>
                    <a:xfrm>
                      <a:off x="0" y="0"/>
                      <a:ext cx="5598160" cy="7915910"/>
                    </a:xfrm>
                    <a:prstGeom prst="rect">
                      <a:avLst/>
                    </a:prstGeom>
                    <a:noFill/>
                    <a:ln>
                      <a:noFill/>
                    </a:ln>
                  </pic:spPr>
                </pic:pic>
              </a:graphicData>
            </a:graphic>
          </wp:inline>
        </w:drawing>
      </w:r>
    </w:p>
    <w:p w14:paraId="54C0ADD7">
      <w:pPr>
        <w:pStyle w:val="19"/>
        <w:widowControl w:val="0"/>
        <w:snapToGrid/>
        <w:ind w:right="113" w:rightChars="0" w:firstLine="0" w:firstLineChars="0"/>
        <w:jc w:val="left"/>
        <w:outlineLvl w:val="0"/>
        <w:rPr>
          <w:rFonts w:hint="default" w:ascii="宋体" w:hAnsi="宋体" w:eastAsia="宋体" w:cs="宋体"/>
          <w:snapToGrid w:val="0"/>
          <w:color w:val="auto"/>
          <w:kern w:val="2"/>
          <w:sz w:val="32"/>
          <w:szCs w:val="32"/>
          <w:highlight w:val="none"/>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color w:val="auto"/>
        </w:rPr>
        <w:drawing>
          <wp:inline distT="0" distB="0" distL="114300" distR="114300">
            <wp:extent cx="5606415" cy="7929880"/>
            <wp:effectExtent l="0" t="0" r="13335" b="13970"/>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
                    <pic:cNvPicPr>
                      <a:picLocks noChangeAspect="1"/>
                    </pic:cNvPicPr>
                  </pic:nvPicPr>
                  <pic:blipFill>
                    <a:blip r:embed="rId44"/>
                    <a:stretch>
                      <a:fillRect/>
                    </a:stretch>
                  </pic:blipFill>
                  <pic:spPr>
                    <a:xfrm>
                      <a:off x="0" y="0"/>
                      <a:ext cx="5606415" cy="7929880"/>
                    </a:xfrm>
                    <a:prstGeom prst="rect">
                      <a:avLst/>
                    </a:prstGeom>
                    <a:noFill/>
                    <a:ln>
                      <a:noFill/>
                    </a:ln>
                  </pic:spPr>
                </pic:pic>
              </a:graphicData>
            </a:graphic>
          </wp:inline>
        </w:drawing>
      </w:r>
      <w:r>
        <w:rPr>
          <w:color w:val="auto"/>
        </w:rPr>
        <w:drawing>
          <wp:inline distT="0" distB="0" distL="114300" distR="114300">
            <wp:extent cx="5606415" cy="7924800"/>
            <wp:effectExtent l="0" t="0" r="13335" b="0"/>
            <wp:docPr id="1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pic:cNvPicPr>
                  </pic:nvPicPr>
                  <pic:blipFill>
                    <a:blip r:embed="rId45"/>
                    <a:stretch>
                      <a:fillRect/>
                    </a:stretch>
                  </pic:blipFill>
                  <pic:spPr>
                    <a:xfrm>
                      <a:off x="0" y="0"/>
                      <a:ext cx="5606415" cy="7924800"/>
                    </a:xfrm>
                    <a:prstGeom prst="rect">
                      <a:avLst/>
                    </a:prstGeom>
                    <a:noFill/>
                    <a:ln>
                      <a:noFill/>
                    </a:ln>
                  </pic:spPr>
                </pic:pic>
              </a:graphicData>
            </a:graphic>
          </wp:inline>
        </w:drawing>
      </w:r>
      <w:r>
        <w:rPr>
          <w:color w:val="auto"/>
        </w:rPr>
        <w:drawing>
          <wp:inline distT="0" distB="0" distL="114300" distR="114300">
            <wp:extent cx="5614670" cy="7783195"/>
            <wp:effectExtent l="0" t="0" r="5080" b="8255"/>
            <wp:docPr id="1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
                    <pic:cNvPicPr>
                      <a:picLocks noChangeAspect="1"/>
                    </pic:cNvPicPr>
                  </pic:nvPicPr>
                  <pic:blipFill>
                    <a:blip r:embed="rId46"/>
                    <a:stretch>
                      <a:fillRect/>
                    </a:stretch>
                  </pic:blipFill>
                  <pic:spPr>
                    <a:xfrm>
                      <a:off x="0" y="0"/>
                      <a:ext cx="5614670" cy="7783195"/>
                    </a:xfrm>
                    <a:prstGeom prst="rect">
                      <a:avLst/>
                    </a:prstGeom>
                    <a:noFill/>
                    <a:ln>
                      <a:noFill/>
                    </a:ln>
                  </pic:spPr>
                </pic:pic>
              </a:graphicData>
            </a:graphic>
          </wp:inline>
        </w:drawing>
      </w:r>
      <w:r>
        <w:rPr>
          <w:color w:val="auto"/>
        </w:rPr>
        <w:drawing>
          <wp:inline distT="0" distB="0" distL="114300" distR="114300">
            <wp:extent cx="5609590" cy="7827645"/>
            <wp:effectExtent l="0" t="0" r="10160" b="1905"/>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47"/>
                    <a:stretch>
                      <a:fillRect/>
                    </a:stretch>
                  </pic:blipFill>
                  <pic:spPr>
                    <a:xfrm>
                      <a:off x="0" y="0"/>
                      <a:ext cx="5609590" cy="7827645"/>
                    </a:xfrm>
                    <a:prstGeom prst="rect">
                      <a:avLst/>
                    </a:prstGeom>
                    <a:noFill/>
                    <a:ln>
                      <a:noFill/>
                    </a:ln>
                  </pic:spPr>
                </pic:pic>
              </a:graphicData>
            </a:graphic>
          </wp:inline>
        </w:drawing>
      </w:r>
    </w:p>
    <w:p w14:paraId="6C5BCDCA">
      <w:pPr>
        <w:pStyle w:val="19"/>
        <w:widowControl w:val="0"/>
        <w:snapToGrid/>
        <w:ind w:right="113" w:rightChars="0" w:firstLine="0" w:firstLineChars="0"/>
        <w:jc w:val="both"/>
        <w:outlineLvl w:val="0"/>
        <w:rPr>
          <w:rFonts w:hint="eastAsia" w:ascii="宋体" w:hAnsi="宋体" w:cs="宋体"/>
          <w:snapToGrid w:val="0"/>
          <w:color w:val="auto"/>
          <w:kern w:val="2"/>
          <w:sz w:val="32"/>
          <w:szCs w:val="32"/>
          <w:highlight w:val="none"/>
          <w:lang w:val="en-US" w:eastAsia="zh-CN"/>
        </w:rPr>
      </w:pPr>
      <w:bookmarkStart w:id="90" w:name="_Toc25646"/>
      <w:bookmarkStart w:id="91" w:name="_Toc31698"/>
      <w:bookmarkStart w:id="92" w:name="_Toc32607"/>
      <w:bookmarkStart w:id="93" w:name="_Toc31891"/>
      <w:r>
        <w:rPr>
          <w:rFonts w:hint="eastAsia" w:ascii="宋体" w:hAnsi="宋体" w:eastAsia="宋体" w:cs="宋体"/>
          <w:snapToGrid w:val="0"/>
          <w:color w:val="auto"/>
          <w:kern w:val="2"/>
          <w:sz w:val="32"/>
          <w:szCs w:val="32"/>
          <w:highlight w:val="none"/>
          <w:lang w:val="en-US" w:eastAsia="zh-CN"/>
        </w:rPr>
        <w:t>附件</w:t>
      </w:r>
      <w:r>
        <w:rPr>
          <w:rFonts w:hint="eastAsia" w:eastAsia="黑体" w:cs="Times New Roman"/>
          <w:snapToGrid w:val="0"/>
          <w:color w:val="auto"/>
          <w:kern w:val="2"/>
          <w:sz w:val="32"/>
          <w:szCs w:val="32"/>
          <w:highlight w:val="none"/>
          <w:lang w:val="en-US" w:eastAsia="zh-CN"/>
        </w:rPr>
        <w:t>3</w:t>
      </w:r>
      <w:r>
        <w:rPr>
          <w:rFonts w:hint="eastAsia" w:ascii="宋体" w:hAnsi="宋体" w:cs="宋体"/>
          <w:snapToGrid w:val="0"/>
          <w:color w:val="auto"/>
          <w:kern w:val="2"/>
          <w:sz w:val="32"/>
          <w:szCs w:val="32"/>
          <w:highlight w:val="none"/>
          <w:lang w:val="en-US" w:eastAsia="zh-CN"/>
        </w:rPr>
        <w:t>土地性质证明</w:t>
      </w:r>
      <w:bookmarkEnd w:id="90"/>
    </w:p>
    <w:p w14:paraId="2E337393">
      <w:pPr>
        <w:pStyle w:val="19"/>
        <w:widowControl w:val="0"/>
        <w:snapToGrid/>
        <w:ind w:right="113" w:rightChars="0" w:firstLine="0" w:firstLineChars="0"/>
        <w:jc w:val="both"/>
        <w:outlineLvl w:val="0"/>
        <w:rPr>
          <w:rFonts w:hint="default" w:ascii="宋体" w:hAnsi="宋体" w:cs="宋体"/>
          <w:snapToGrid w:val="0"/>
          <w:color w:val="auto"/>
          <w:kern w:val="2"/>
          <w:sz w:val="32"/>
          <w:szCs w:val="32"/>
          <w:highlight w:val="none"/>
          <w:lang w:val="en-US" w:eastAsia="zh-CN"/>
        </w:rPr>
      </w:pPr>
      <w:bookmarkStart w:id="94" w:name="_Toc8478"/>
      <w:bookmarkStart w:id="95" w:name="_Toc12162"/>
      <w:r>
        <w:rPr>
          <w:rFonts w:hint="default" w:ascii="宋体" w:hAnsi="宋体" w:cs="宋体"/>
          <w:snapToGrid w:val="0"/>
          <w:color w:val="auto"/>
          <w:kern w:val="2"/>
          <w:sz w:val="32"/>
          <w:szCs w:val="32"/>
          <w:highlight w:val="none"/>
          <w:lang w:val="en-US" w:eastAsia="zh-CN"/>
        </w:rPr>
        <w:drawing>
          <wp:inline distT="0" distB="0" distL="114300" distR="114300">
            <wp:extent cx="5612130" cy="7411085"/>
            <wp:effectExtent l="0" t="0" r="1270" b="5715"/>
            <wp:docPr id="18" name="图片 18" descr="bc603683fc4d461b7ee0b956dc9b6c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bc603683fc4d461b7ee0b956dc9b6ce5"/>
                    <pic:cNvPicPr>
                      <a:picLocks noChangeAspect="1"/>
                    </pic:cNvPicPr>
                  </pic:nvPicPr>
                  <pic:blipFill>
                    <a:blip r:embed="rId48"/>
                    <a:stretch>
                      <a:fillRect/>
                    </a:stretch>
                  </pic:blipFill>
                  <pic:spPr>
                    <a:xfrm>
                      <a:off x="0" y="0"/>
                      <a:ext cx="5612130" cy="7411085"/>
                    </a:xfrm>
                    <a:prstGeom prst="rect">
                      <a:avLst/>
                    </a:prstGeom>
                  </pic:spPr>
                </pic:pic>
              </a:graphicData>
            </a:graphic>
          </wp:inline>
        </w:drawing>
      </w:r>
      <w:bookmarkEnd w:id="94"/>
      <w:bookmarkEnd w:id="95"/>
    </w:p>
    <w:p w14:paraId="04845C7C">
      <w:pPr>
        <w:rPr>
          <w:rFonts w:hint="eastAsia" w:ascii="宋体" w:hAnsi="宋体" w:eastAsia="宋体" w:cs="宋体"/>
          <w:snapToGrid w:val="0"/>
          <w:color w:val="auto"/>
          <w:kern w:val="2"/>
          <w:sz w:val="32"/>
          <w:szCs w:val="32"/>
          <w:highlight w:val="none"/>
          <w:lang w:val="en-US" w:eastAsia="zh-CN"/>
        </w:rPr>
      </w:pPr>
      <w:r>
        <w:rPr>
          <w:rFonts w:hint="eastAsia" w:ascii="宋体" w:hAnsi="宋体" w:eastAsia="宋体" w:cs="宋体"/>
          <w:snapToGrid w:val="0"/>
          <w:color w:val="auto"/>
          <w:kern w:val="2"/>
          <w:sz w:val="32"/>
          <w:szCs w:val="32"/>
          <w:highlight w:val="none"/>
          <w:lang w:val="en-US" w:eastAsia="zh-CN"/>
        </w:rPr>
        <w:br w:type="page"/>
      </w:r>
      <w:r>
        <w:rPr>
          <w:rFonts w:hint="eastAsia" w:ascii="宋体" w:hAnsi="宋体" w:eastAsia="宋体" w:cs="宋体"/>
          <w:snapToGrid w:val="0"/>
          <w:color w:val="auto"/>
          <w:kern w:val="2"/>
          <w:sz w:val="32"/>
          <w:szCs w:val="32"/>
          <w:highlight w:val="none"/>
          <w:lang w:val="en-US" w:eastAsia="zh-CN"/>
        </w:rPr>
        <w:drawing>
          <wp:inline distT="0" distB="0" distL="114300" distR="114300">
            <wp:extent cx="5607050" cy="7894955"/>
            <wp:effectExtent l="0" t="0" r="6350" b="4445"/>
            <wp:docPr id="40" name="图片 40" descr="13395294870690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3395294870690861"/>
                    <pic:cNvPicPr>
                      <a:picLocks noChangeAspect="1"/>
                    </pic:cNvPicPr>
                  </pic:nvPicPr>
                  <pic:blipFill>
                    <a:blip r:embed="rId49"/>
                    <a:stretch>
                      <a:fillRect/>
                    </a:stretch>
                  </pic:blipFill>
                  <pic:spPr>
                    <a:xfrm>
                      <a:off x="0" y="0"/>
                      <a:ext cx="5607050" cy="7894955"/>
                    </a:xfrm>
                    <a:prstGeom prst="rect">
                      <a:avLst/>
                    </a:prstGeom>
                  </pic:spPr>
                </pic:pic>
              </a:graphicData>
            </a:graphic>
          </wp:inline>
        </w:drawing>
      </w:r>
    </w:p>
    <w:p w14:paraId="53310BC0">
      <w:pPr>
        <w:rPr>
          <w:rFonts w:hint="eastAsia" w:ascii="宋体" w:hAnsi="宋体" w:eastAsia="宋体" w:cs="宋体"/>
          <w:snapToGrid w:val="0"/>
          <w:color w:val="auto"/>
          <w:kern w:val="2"/>
          <w:sz w:val="32"/>
          <w:szCs w:val="32"/>
          <w:highlight w:val="none"/>
          <w:lang w:val="en-US" w:eastAsia="zh-CN"/>
        </w:rPr>
      </w:pPr>
      <w:r>
        <w:rPr>
          <w:rFonts w:hint="eastAsia" w:ascii="宋体" w:hAnsi="宋体" w:eastAsia="宋体" w:cs="宋体"/>
          <w:snapToGrid w:val="0"/>
          <w:color w:val="auto"/>
          <w:kern w:val="2"/>
          <w:sz w:val="32"/>
          <w:szCs w:val="32"/>
          <w:highlight w:val="none"/>
          <w:lang w:val="en-US" w:eastAsia="zh-CN"/>
        </w:rPr>
        <w:br w:type="page"/>
      </w:r>
    </w:p>
    <w:p w14:paraId="4BB4C143">
      <w:pPr>
        <w:pStyle w:val="19"/>
        <w:widowControl w:val="0"/>
        <w:snapToGrid/>
        <w:ind w:right="113" w:rightChars="0" w:firstLine="0" w:firstLineChars="0"/>
        <w:outlineLvl w:val="0"/>
        <w:rPr>
          <w:rFonts w:hint="eastAsia" w:ascii="宋体" w:hAnsi="宋体" w:eastAsia="宋体" w:cs="宋体"/>
          <w:snapToGrid w:val="0"/>
          <w:color w:val="auto"/>
          <w:kern w:val="2"/>
          <w:sz w:val="32"/>
          <w:szCs w:val="32"/>
          <w:highlight w:val="none"/>
          <w:lang w:val="en-US" w:eastAsia="zh-CN"/>
        </w:rPr>
      </w:pPr>
      <w:bookmarkStart w:id="96" w:name="_Toc20620"/>
      <w:r>
        <w:rPr>
          <w:rFonts w:hint="eastAsia" w:ascii="宋体" w:hAnsi="宋体" w:eastAsia="宋体" w:cs="宋体"/>
          <w:snapToGrid w:val="0"/>
          <w:color w:val="auto"/>
          <w:kern w:val="2"/>
          <w:sz w:val="32"/>
          <w:szCs w:val="32"/>
          <w:highlight w:val="none"/>
          <w:lang w:val="en-US" w:eastAsia="zh-CN"/>
        </w:rPr>
        <w:t>附件</w:t>
      </w:r>
      <w:r>
        <w:rPr>
          <w:rFonts w:hint="eastAsia" w:eastAsia="黑体" w:cs="Times New Roman"/>
          <w:snapToGrid w:val="0"/>
          <w:color w:val="auto"/>
          <w:kern w:val="2"/>
          <w:sz w:val="32"/>
          <w:szCs w:val="32"/>
          <w:highlight w:val="none"/>
          <w:lang w:val="en-US" w:eastAsia="zh-CN"/>
        </w:rPr>
        <w:t>4</w:t>
      </w:r>
      <w:r>
        <w:rPr>
          <w:rFonts w:hint="eastAsia" w:ascii="宋体" w:hAnsi="宋体" w:eastAsia="宋体" w:cs="宋体"/>
          <w:snapToGrid w:val="0"/>
          <w:color w:val="auto"/>
          <w:kern w:val="2"/>
          <w:sz w:val="32"/>
          <w:szCs w:val="32"/>
          <w:highlight w:val="none"/>
          <w:lang w:val="en-US" w:eastAsia="zh-CN"/>
        </w:rPr>
        <w:t>检测报告</w:t>
      </w:r>
      <w:bookmarkEnd w:id="91"/>
      <w:bookmarkEnd w:id="92"/>
      <w:bookmarkEnd w:id="93"/>
      <w:bookmarkEnd w:id="96"/>
    </w:p>
    <w:p w14:paraId="3C314184">
      <w:pPr>
        <w:pStyle w:val="19"/>
        <w:widowControl w:val="0"/>
        <w:snapToGrid/>
        <w:ind w:right="113" w:rightChars="0" w:firstLine="0" w:firstLineChars="0"/>
        <w:outlineLvl w:val="0"/>
        <w:rPr>
          <w:rFonts w:hint="default" w:ascii="宋体" w:hAnsi="宋体" w:eastAsia="宋体" w:cs="宋体"/>
          <w:snapToGrid w:val="0"/>
          <w:color w:val="auto"/>
          <w:kern w:val="2"/>
          <w:sz w:val="32"/>
          <w:szCs w:val="32"/>
          <w:highlight w:val="none"/>
          <w:lang w:val="en-US" w:eastAsia="zh-CN"/>
        </w:rPr>
      </w:pPr>
      <w:bookmarkStart w:id="97" w:name="_Toc1602"/>
      <w:bookmarkStart w:id="98" w:name="_Toc23556"/>
      <w:bookmarkStart w:id="99" w:name="_Toc15815"/>
      <w:bookmarkStart w:id="100" w:name="_Toc18343"/>
      <w:r>
        <w:rPr>
          <w:rFonts w:hint="default"/>
          <w:color w:val="auto"/>
          <w:lang w:val="en-US" w:eastAsia="zh-CN"/>
        </w:rPr>
        <w:drawing>
          <wp:inline distT="0" distB="0" distL="114300" distR="114300">
            <wp:extent cx="5614035" cy="7932420"/>
            <wp:effectExtent l="0" t="0" r="12065" b="5080"/>
            <wp:docPr id="57" name="图片 57" descr="报告-鸡西市富金煤炭销售有限公司煤炭储煤场建设项目(3)(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报告-鸡西市富金煤炭销售有限公司煤炭储煤场建设项目(3)(1)_00"/>
                    <pic:cNvPicPr>
                      <a:picLocks noChangeAspect="1"/>
                    </pic:cNvPicPr>
                  </pic:nvPicPr>
                  <pic:blipFill>
                    <a:blip r:embed="rId50"/>
                    <a:stretch>
                      <a:fillRect/>
                    </a:stretch>
                  </pic:blipFill>
                  <pic:spPr>
                    <a:xfrm>
                      <a:off x="0" y="0"/>
                      <a:ext cx="5614035" cy="7932420"/>
                    </a:xfrm>
                    <a:prstGeom prst="rect">
                      <a:avLst/>
                    </a:prstGeom>
                  </pic:spPr>
                </pic:pic>
              </a:graphicData>
            </a:graphic>
          </wp:inline>
        </w:drawing>
      </w:r>
      <w:r>
        <w:rPr>
          <w:rFonts w:hint="default" w:ascii="宋体" w:hAnsi="宋体" w:eastAsia="宋体" w:cs="宋体"/>
          <w:snapToGrid w:val="0"/>
          <w:color w:val="auto"/>
          <w:kern w:val="2"/>
          <w:sz w:val="32"/>
          <w:szCs w:val="32"/>
          <w:highlight w:val="none"/>
          <w:lang w:val="en-US" w:eastAsia="zh-CN"/>
        </w:rPr>
        <w:drawing>
          <wp:inline distT="0" distB="0" distL="114300" distR="114300">
            <wp:extent cx="5614035" cy="7932420"/>
            <wp:effectExtent l="0" t="0" r="12065" b="5080"/>
            <wp:docPr id="52" name="图片 52" descr="报告-鸡西市富金煤炭销售有限公司煤炭储煤场建设项目(3)(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报告-鸡西市富金煤炭销售有限公司煤炭储煤场建设项目(3)(1)_01"/>
                    <pic:cNvPicPr>
                      <a:picLocks noChangeAspect="1"/>
                    </pic:cNvPicPr>
                  </pic:nvPicPr>
                  <pic:blipFill>
                    <a:blip r:embed="rId51"/>
                    <a:stretch>
                      <a:fillRect/>
                    </a:stretch>
                  </pic:blipFill>
                  <pic:spPr>
                    <a:xfrm>
                      <a:off x="0" y="0"/>
                      <a:ext cx="5614035" cy="7932420"/>
                    </a:xfrm>
                    <a:prstGeom prst="rect">
                      <a:avLst/>
                    </a:prstGeom>
                  </pic:spPr>
                </pic:pic>
              </a:graphicData>
            </a:graphic>
          </wp:inline>
        </w:drawing>
      </w:r>
      <w:r>
        <w:rPr>
          <w:rFonts w:hint="default" w:ascii="宋体" w:hAnsi="宋体" w:eastAsia="宋体" w:cs="宋体"/>
          <w:snapToGrid w:val="0"/>
          <w:color w:val="auto"/>
          <w:kern w:val="2"/>
          <w:sz w:val="32"/>
          <w:szCs w:val="32"/>
          <w:highlight w:val="none"/>
          <w:lang w:val="en-US" w:eastAsia="zh-CN"/>
        </w:rPr>
        <w:drawing>
          <wp:inline distT="0" distB="0" distL="114300" distR="114300">
            <wp:extent cx="5614035" cy="7932420"/>
            <wp:effectExtent l="0" t="0" r="12065" b="5080"/>
            <wp:docPr id="51" name="图片 51" descr="报告-鸡西市富金煤炭销售有限公司煤炭储煤场建设项目(3)(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报告-鸡西市富金煤炭销售有限公司煤炭储煤场建设项目(3)(1)_02"/>
                    <pic:cNvPicPr>
                      <a:picLocks noChangeAspect="1"/>
                    </pic:cNvPicPr>
                  </pic:nvPicPr>
                  <pic:blipFill>
                    <a:blip r:embed="rId52"/>
                    <a:stretch>
                      <a:fillRect/>
                    </a:stretch>
                  </pic:blipFill>
                  <pic:spPr>
                    <a:xfrm>
                      <a:off x="0" y="0"/>
                      <a:ext cx="5614035" cy="7932420"/>
                    </a:xfrm>
                    <a:prstGeom prst="rect">
                      <a:avLst/>
                    </a:prstGeom>
                  </pic:spPr>
                </pic:pic>
              </a:graphicData>
            </a:graphic>
          </wp:inline>
        </w:drawing>
      </w:r>
      <w:r>
        <w:rPr>
          <w:rFonts w:hint="default" w:ascii="宋体" w:hAnsi="宋体" w:eastAsia="宋体" w:cs="宋体"/>
          <w:snapToGrid w:val="0"/>
          <w:color w:val="auto"/>
          <w:kern w:val="2"/>
          <w:sz w:val="32"/>
          <w:szCs w:val="32"/>
          <w:highlight w:val="none"/>
          <w:lang w:val="en-US" w:eastAsia="zh-CN"/>
        </w:rPr>
        <w:drawing>
          <wp:inline distT="0" distB="0" distL="114300" distR="114300">
            <wp:extent cx="5614035" cy="7932420"/>
            <wp:effectExtent l="0" t="0" r="12065" b="5080"/>
            <wp:docPr id="49" name="图片 49" descr="报告-鸡西市富金煤炭销售有限公司煤炭储煤场建设项目(3)(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报告-鸡西市富金煤炭销售有限公司煤炭储煤场建设项目(3)(1)_03"/>
                    <pic:cNvPicPr>
                      <a:picLocks noChangeAspect="1"/>
                    </pic:cNvPicPr>
                  </pic:nvPicPr>
                  <pic:blipFill>
                    <a:blip r:embed="rId53"/>
                    <a:stretch>
                      <a:fillRect/>
                    </a:stretch>
                  </pic:blipFill>
                  <pic:spPr>
                    <a:xfrm>
                      <a:off x="0" y="0"/>
                      <a:ext cx="5614035" cy="7932420"/>
                    </a:xfrm>
                    <a:prstGeom prst="rect">
                      <a:avLst/>
                    </a:prstGeom>
                  </pic:spPr>
                </pic:pic>
              </a:graphicData>
            </a:graphic>
          </wp:inline>
        </w:drawing>
      </w:r>
      <w:bookmarkEnd w:id="97"/>
      <w:bookmarkEnd w:id="98"/>
      <w:bookmarkEnd w:id="99"/>
      <w:bookmarkEnd w:id="100"/>
    </w:p>
    <w:p w14:paraId="19A1E979">
      <w:pPr>
        <w:rPr>
          <w:rFonts w:hint="default" w:ascii="宋体" w:hAnsi="宋体" w:eastAsia="宋体" w:cs="宋体"/>
          <w:snapToGrid w:val="0"/>
          <w:color w:val="auto"/>
          <w:kern w:val="2"/>
          <w:sz w:val="32"/>
          <w:szCs w:val="32"/>
          <w:highlight w:val="none"/>
          <w:lang w:val="en-US" w:eastAsia="zh-CN"/>
        </w:rPr>
      </w:pPr>
      <w:r>
        <w:rPr>
          <w:rFonts w:hint="default" w:ascii="宋体" w:hAnsi="宋体" w:eastAsia="宋体" w:cs="宋体"/>
          <w:snapToGrid w:val="0"/>
          <w:color w:val="auto"/>
          <w:kern w:val="2"/>
          <w:sz w:val="32"/>
          <w:szCs w:val="32"/>
          <w:highlight w:val="none"/>
          <w:lang w:val="en-US" w:eastAsia="zh-CN"/>
        </w:rPr>
        <w:br w:type="page"/>
      </w:r>
    </w:p>
    <w:p w14:paraId="0362AABA">
      <w:pPr>
        <w:rPr>
          <w:rFonts w:hint="default" w:ascii="Times New Roman" w:hAnsi="Times New Roman" w:eastAsia="宋体" w:cs="Times New Roman"/>
          <w:color w:val="auto"/>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p>
    <w:p w14:paraId="695CD821">
      <w:pPr>
        <w:pStyle w:val="19"/>
        <w:widowControl w:val="0"/>
        <w:snapToGrid/>
        <w:ind w:right="113" w:rightChars="0" w:firstLine="0" w:firstLineChars="0"/>
        <w:outlineLvl w:val="0"/>
        <w:rPr>
          <w:rFonts w:hint="default" w:ascii="Times New Roman" w:hAnsi="Times New Roman" w:eastAsia="黑体" w:cs="Times New Roman"/>
          <w:snapToGrid w:val="0"/>
          <w:color w:val="auto"/>
          <w:kern w:val="2"/>
          <w:sz w:val="32"/>
          <w:szCs w:val="32"/>
          <w:highlight w:val="none"/>
          <w:lang w:val="en-US" w:eastAsia="zh-CN"/>
        </w:rPr>
      </w:pPr>
      <w:bookmarkStart w:id="101" w:name="_Toc14523"/>
      <w:bookmarkStart w:id="102" w:name="_Toc24457"/>
      <w:bookmarkStart w:id="103" w:name="_Toc8307"/>
      <w:bookmarkStart w:id="104" w:name="_Toc21703"/>
      <w:r>
        <w:rPr>
          <w:rFonts w:hint="eastAsia" w:ascii="宋体" w:hAnsi="宋体" w:eastAsia="宋体" w:cs="宋体"/>
          <w:snapToGrid w:val="0"/>
          <w:color w:val="auto"/>
          <w:kern w:val="2"/>
          <w:sz w:val="32"/>
          <w:szCs w:val="32"/>
          <w:highlight w:val="none"/>
          <w:lang w:val="en-US" w:eastAsia="zh-CN"/>
        </w:rPr>
        <w:t>附件</w:t>
      </w:r>
      <w:r>
        <w:rPr>
          <w:rFonts w:hint="eastAsia" w:eastAsia="黑体" w:cs="Times New Roman"/>
          <w:snapToGrid w:val="0"/>
          <w:color w:val="auto"/>
          <w:kern w:val="2"/>
          <w:sz w:val="32"/>
          <w:szCs w:val="32"/>
          <w:highlight w:val="none"/>
          <w:lang w:val="en-US" w:eastAsia="zh-CN"/>
        </w:rPr>
        <w:t>5</w:t>
      </w:r>
      <w:r>
        <w:rPr>
          <w:rFonts w:hint="eastAsia" w:ascii="宋体" w:hAnsi="宋体" w:cs="宋体"/>
          <w:snapToGrid w:val="0"/>
          <w:color w:val="auto"/>
          <w:kern w:val="2"/>
          <w:sz w:val="32"/>
          <w:szCs w:val="32"/>
          <w:highlight w:val="none"/>
          <w:lang w:val="en-US" w:eastAsia="zh-CN"/>
        </w:rPr>
        <w:t>鸡西市富金煤炭销售有限公司</w:t>
      </w:r>
      <w:r>
        <w:rPr>
          <w:rFonts w:hint="eastAsia" w:ascii="宋体" w:hAnsi="宋体" w:eastAsia="宋体" w:cs="宋体"/>
          <w:snapToGrid w:val="0"/>
          <w:color w:val="auto"/>
          <w:kern w:val="2"/>
          <w:sz w:val="32"/>
          <w:szCs w:val="32"/>
          <w:highlight w:val="none"/>
          <w:lang w:val="en-US" w:eastAsia="zh-CN"/>
        </w:rPr>
        <w:t>建设项目生态环境分区管控分析报告</w:t>
      </w:r>
      <w:bookmarkEnd w:id="101"/>
      <w:bookmarkEnd w:id="102"/>
      <w:bookmarkEnd w:id="103"/>
      <w:bookmarkEnd w:id="104"/>
    </w:p>
    <w:p w14:paraId="465363C3">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7941945" cy="4995545"/>
            <wp:effectExtent l="0" t="0" r="8255" b="8255"/>
            <wp:docPr id="45" name="图片 45" descr="鸡西市富金煤炭销售有限公司建设_2025年05月27日100116_分析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鸡西市富金煤炭销售有限公司建设_2025年05月27日100116_分析报告_00"/>
                    <pic:cNvPicPr>
                      <a:picLocks noChangeAspect="1"/>
                    </pic:cNvPicPr>
                  </pic:nvPicPr>
                  <pic:blipFill>
                    <a:blip r:embed="rId54"/>
                    <a:stretch>
                      <a:fillRect/>
                    </a:stretch>
                  </pic:blipFill>
                  <pic:spPr>
                    <a:xfrm>
                      <a:off x="0" y="0"/>
                      <a:ext cx="7941945" cy="499554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7941945" cy="5614035"/>
            <wp:effectExtent l="0" t="0" r="8255" b="12065"/>
            <wp:docPr id="44" name="图片 44" descr="鸡西市富金煤炭销售有限公司建设_2025年05月27日100116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鸡西市富金煤炭销售有限公司建设_2025年05月27日100116_分析报告_01"/>
                    <pic:cNvPicPr>
                      <a:picLocks noChangeAspect="1"/>
                    </pic:cNvPicPr>
                  </pic:nvPicPr>
                  <pic:blipFill>
                    <a:blip r:embed="rId55"/>
                    <a:stretch>
                      <a:fillRect/>
                    </a:stretch>
                  </pic:blipFill>
                  <pic:spPr>
                    <a:xfrm>
                      <a:off x="0" y="0"/>
                      <a:ext cx="7941945" cy="561403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7941945" cy="5614035"/>
            <wp:effectExtent l="0" t="0" r="8255" b="12065"/>
            <wp:docPr id="43" name="图片 43" descr="鸡西市富金煤炭销售有限公司建设_2025年05月27日100116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鸡西市富金煤炭销售有限公司建设_2025年05月27日100116_分析报告_02"/>
                    <pic:cNvPicPr>
                      <a:picLocks noChangeAspect="1"/>
                    </pic:cNvPicPr>
                  </pic:nvPicPr>
                  <pic:blipFill>
                    <a:blip r:embed="rId56"/>
                    <a:stretch>
                      <a:fillRect/>
                    </a:stretch>
                  </pic:blipFill>
                  <pic:spPr>
                    <a:xfrm>
                      <a:off x="0" y="0"/>
                      <a:ext cx="7941945" cy="561403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7941945" cy="5614035"/>
            <wp:effectExtent l="0" t="0" r="8255" b="12065"/>
            <wp:docPr id="42" name="图片 42" descr="鸡西市富金煤炭销售有限公司建设_2025年05月27日100116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鸡西市富金煤炭销售有限公司建设_2025年05月27日100116_分析报告_03"/>
                    <pic:cNvPicPr>
                      <a:picLocks noChangeAspect="1"/>
                    </pic:cNvPicPr>
                  </pic:nvPicPr>
                  <pic:blipFill>
                    <a:blip r:embed="rId57"/>
                    <a:stretch>
                      <a:fillRect/>
                    </a:stretch>
                  </pic:blipFill>
                  <pic:spPr>
                    <a:xfrm>
                      <a:off x="0" y="0"/>
                      <a:ext cx="7941945" cy="561403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7941945" cy="5614035"/>
            <wp:effectExtent l="0" t="0" r="8255" b="12065"/>
            <wp:docPr id="41" name="图片 41" descr="鸡西市富金煤炭销售有限公司建设_2025年05月27日100116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鸡西市富金煤炭销售有限公司建设_2025年05月27日100116_分析报告_04"/>
                    <pic:cNvPicPr>
                      <a:picLocks noChangeAspect="1"/>
                    </pic:cNvPicPr>
                  </pic:nvPicPr>
                  <pic:blipFill>
                    <a:blip r:embed="rId58"/>
                    <a:stretch>
                      <a:fillRect/>
                    </a:stretch>
                  </pic:blipFill>
                  <pic:spPr>
                    <a:xfrm>
                      <a:off x="0" y="0"/>
                      <a:ext cx="7941945" cy="561403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7941945" cy="5614035"/>
            <wp:effectExtent l="0" t="0" r="8255" b="12065"/>
            <wp:docPr id="37" name="图片 37" descr="鸡西市富金煤炭销售有限公司建设_2025年05月27日100116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鸡西市富金煤炭销售有限公司建设_2025年05月27日100116_分析报告_05"/>
                    <pic:cNvPicPr>
                      <a:picLocks noChangeAspect="1"/>
                    </pic:cNvPicPr>
                  </pic:nvPicPr>
                  <pic:blipFill>
                    <a:blip r:embed="rId59"/>
                    <a:stretch>
                      <a:fillRect/>
                    </a:stretch>
                  </pic:blipFill>
                  <pic:spPr>
                    <a:xfrm>
                      <a:off x="0" y="0"/>
                      <a:ext cx="7941945" cy="561403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7941945" cy="5614035"/>
            <wp:effectExtent l="0" t="0" r="8255" b="12065"/>
            <wp:docPr id="12" name="图片 12" descr="鸡西市富金煤炭销售有限公司建设_2025年05月27日100116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鸡西市富金煤炭销售有限公司建设_2025年05月27日100116_分析报告_06"/>
                    <pic:cNvPicPr>
                      <a:picLocks noChangeAspect="1"/>
                    </pic:cNvPicPr>
                  </pic:nvPicPr>
                  <pic:blipFill>
                    <a:blip r:embed="rId60"/>
                    <a:stretch>
                      <a:fillRect/>
                    </a:stretch>
                  </pic:blipFill>
                  <pic:spPr>
                    <a:xfrm>
                      <a:off x="0" y="0"/>
                      <a:ext cx="7941945" cy="561403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7941945" cy="5614035"/>
            <wp:effectExtent l="0" t="0" r="8255" b="12065"/>
            <wp:docPr id="11" name="图片 11" descr="鸡西市富金煤炭销售有限公司建设_2025年05月27日100116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鸡西市富金煤炭销售有限公司建设_2025年05月27日100116_分析报告_07"/>
                    <pic:cNvPicPr>
                      <a:picLocks noChangeAspect="1"/>
                    </pic:cNvPicPr>
                  </pic:nvPicPr>
                  <pic:blipFill>
                    <a:blip r:embed="rId61"/>
                    <a:stretch>
                      <a:fillRect/>
                    </a:stretch>
                  </pic:blipFill>
                  <pic:spPr>
                    <a:xfrm>
                      <a:off x="0" y="0"/>
                      <a:ext cx="7941945" cy="561403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7941945" cy="5614035"/>
            <wp:effectExtent l="0" t="0" r="8255" b="12065"/>
            <wp:docPr id="8" name="图片 8" descr="鸡西市富金煤炭销售有限公司建设_2025年05月27日100116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鸡西市富金煤炭销售有限公司建设_2025年05月27日100116_分析报告_08"/>
                    <pic:cNvPicPr>
                      <a:picLocks noChangeAspect="1"/>
                    </pic:cNvPicPr>
                  </pic:nvPicPr>
                  <pic:blipFill>
                    <a:blip r:embed="rId62"/>
                    <a:stretch>
                      <a:fillRect/>
                    </a:stretch>
                  </pic:blipFill>
                  <pic:spPr>
                    <a:xfrm>
                      <a:off x="0" y="0"/>
                      <a:ext cx="7941945" cy="561403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7941945" cy="5614035"/>
            <wp:effectExtent l="0" t="0" r="8255" b="12065"/>
            <wp:docPr id="4" name="图片 4" descr="鸡西市富金煤炭销售有限公司建设_2025年05月27日100116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鸡西市富金煤炭销售有限公司建设_2025年05月27日100116_分析报告_09"/>
                    <pic:cNvPicPr>
                      <a:picLocks noChangeAspect="1"/>
                    </pic:cNvPicPr>
                  </pic:nvPicPr>
                  <pic:blipFill>
                    <a:blip r:embed="rId63"/>
                    <a:stretch>
                      <a:fillRect/>
                    </a:stretch>
                  </pic:blipFill>
                  <pic:spPr>
                    <a:xfrm>
                      <a:off x="0" y="0"/>
                      <a:ext cx="7941945" cy="5614035"/>
                    </a:xfrm>
                    <a:prstGeom prst="rect">
                      <a:avLst/>
                    </a:prstGeom>
                  </pic:spPr>
                </pic:pic>
              </a:graphicData>
            </a:graphic>
          </wp:inline>
        </w:drawing>
      </w:r>
      <w:r>
        <w:rPr>
          <w:rFonts w:hint="default" w:ascii="Times New Roman" w:hAnsi="Times New Roman" w:cs="Times New Roman"/>
          <w:color w:val="auto"/>
          <w:lang w:val="en-US" w:eastAsia="zh-CN"/>
        </w:rPr>
        <w:t xml:space="preserve"> </w:t>
      </w:r>
    </w:p>
    <w:sectPr>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00007A87" w:usb1="80000000" w:usb2="00000008"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Times New Roman"/>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仿宋">
    <w:altName w:val="方正仿宋_GBK"/>
    <w:panose1 w:val="02010609060101010101"/>
    <w:charset w:val="86"/>
    <w:family w:val="modern"/>
    <w:pitch w:val="default"/>
    <w:sig w:usb0="00000000" w:usb1="00000000" w:usb2="00000016" w:usb3="00000000" w:csb0="00040001" w:csb1="00000000"/>
  </w:font>
  <w:font w:name="方正仿宋_GBK">
    <w:panose1 w:val="02000000000000000000"/>
    <w:charset w:val="86"/>
    <w:family w:val="auto"/>
    <w:pitch w:val="default"/>
    <w:sig w:usb0="00000001" w:usb1="08000000" w:usb2="00000000" w:usb3="00000000" w:csb0="00040000" w:csb1="00000000"/>
  </w:font>
  <w:font w:name="仿宋_GB2312">
    <w:altName w:val="方正仿宋_GBK"/>
    <w:panose1 w:val="02010609030101010101"/>
    <w:charset w:val="86"/>
    <w:family w:val="modern"/>
    <w:pitch w:val="default"/>
    <w:sig w:usb0="00000000" w:usb1="00000000" w:usb2="00000000" w:usb3="00000000" w:csb0="00040000" w:csb1="00000000"/>
  </w:font>
  <w:font w:name="楷体_GB2312">
    <w:altName w:val="方正楷体_GBK"/>
    <w:panose1 w:val="02010609030101010101"/>
    <w:charset w:val="86"/>
    <w:family w:val="auto"/>
    <w:pitch w:val="default"/>
    <w:sig w:usb0="00000000" w:usb1="00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 w:name="微软雅黑">
    <w:altName w:val="方正黑体_GBK"/>
    <w:panose1 w:val="020B0503020204020204"/>
    <w:charset w:val="86"/>
    <w:family w:val="auto"/>
    <w:pitch w:val="default"/>
    <w:sig w:usb0="00000000" w:usb1="00000000" w:usb2="00000016" w:usb3="00000000" w:csb0="0004001F" w:csb1="00000000"/>
  </w:font>
  <w:font w:name="Times New Roman Regular">
    <w:altName w:val="Times New Roman"/>
    <w:panose1 w:val="02020603050405020304"/>
    <w:charset w:val="00"/>
    <w:family w:val="auto"/>
    <w:pitch w:val="default"/>
    <w:sig w:usb0="00000000" w:usb1="00000000"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DD941E">
    <w:pPr>
      <w:pStyle w:val="13"/>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FE1CB7">
    <w:pPr>
      <w:pStyle w:val="13"/>
      <w:framePr w:wrap="around" w:vAnchor="text" w:hAnchor="margin" w:xAlign="center" w:y="1"/>
      <w:rPr>
        <w:rStyle w:val="23"/>
      </w:rPr>
    </w:pPr>
    <w:r>
      <w:fldChar w:fldCharType="begin"/>
    </w:r>
    <w:r>
      <w:rPr>
        <w:rStyle w:val="23"/>
      </w:rPr>
      <w:instrText xml:space="preserve">PAGE  </w:instrText>
    </w:r>
    <w:r>
      <w:fldChar w:fldCharType="end"/>
    </w:r>
  </w:p>
  <w:p w14:paraId="47ADED9D">
    <w:pPr>
      <w:pStyle w:val="1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74C679">
    <w:pPr>
      <w:pStyle w:val="1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73654"/>
    </w:sdtPr>
    <w:sdtContent>
      <w:p w14:paraId="10A0C47D">
        <w:pPr>
          <w:pStyle w:val="13"/>
          <w:ind w:left="2250" w:hanging="1200"/>
          <w:jc w:val="center"/>
        </w:pPr>
        <w:r>
          <w:fldChar w:fldCharType="begin"/>
        </w:r>
        <w:r>
          <w:instrText xml:space="preserve">PAGE   \* MERGEFORMAT</w:instrText>
        </w:r>
        <w:r>
          <w:fldChar w:fldCharType="separate"/>
        </w:r>
        <w:r>
          <w:rPr>
            <w:lang w:val="zh-CN"/>
          </w:rPr>
          <w:t>37</w:t>
        </w:r>
        <w:r>
          <w:fldChar w:fldCharType="end"/>
        </w:r>
      </w:p>
    </w:sdtContent>
  </w:sdt>
  <w:p w14:paraId="74EF9450">
    <w:pPr>
      <w:pStyle w:val="1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05197D">
    <w:pPr>
      <w:pStyle w:val="13"/>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3" name="文本框 2057"/>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324D2FFE">
                          <w:pPr>
                            <w:pStyle w:val="13"/>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7" o:spid="_x0000_s1026" o:spt="202" type="#_x0000_t202"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44zq7DQIAAAUEAAAOAAAAAAAAAAEAIAAAAB8B&#10;AABkcnMvZTJvRG9jLnhtbFBLBQYAAAAABgAGAFkBAACeBQAAAAA=&#10;">
              <v:fill on="f" focussize="0,0"/>
              <v:stroke on="f"/>
              <v:imagedata o:title=""/>
              <o:lock v:ext="edit" aspectratio="f"/>
              <v:textbox inset="0mm,0mm,0mm,0mm" style="mso-fit-shape-to-text:t;">
                <w:txbxContent>
                  <w:p w14:paraId="324D2FFE">
                    <w:pPr>
                      <w:pStyle w:val="13"/>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2C2022">
    <w:pPr>
      <w:pStyle w:val="13"/>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14935" cy="131445"/>
              <wp:effectExtent l="0" t="0" r="0" b="0"/>
              <wp:wrapNone/>
              <wp:docPr id="2" name="文本框 2058"/>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769DEB36">
                          <w:pPr>
                            <w:pStyle w:val="13"/>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8" o:spid="_x0000_s1026" o:spt="202" type="#_x0000_t202" style="position:absolute;left:0pt;margin-top:0pt;height:10.35pt;width:9.05pt;mso-position-horizontal:center;mso-position-horizontal-relative:margin;mso-wrap-style:none;z-index:251662336;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TA4c/DQIAAAUEAAAOAAAAAAAAAAEAIAAAAB8B&#10;AABkcnMvZTJvRG9jLnhtbFBLBQYAAAAABgAGAFkBAACeBQAAAAA=&#10;">
              <v:fill on="f" focussize="0,0"/>
              <v:stroke on="f"/>
              <v:imagedata o:title=""/>
              <o:lock v:ext="edit" aspectratio="f"/>
              <v:textbox inset="0mm,0mm,0mm,0mm" style="mso-fit-shape-to-text:t;">
                <w:txbxContent>
                  <w:p w14:paraId="769DEB36">
                    <w:pPr>
                      <w:pStyle w:val="13"/>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124E0D">
    <w:pPr>
      <w:pStyle w:val="13"/>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16E41A4">
                          <w:pPr>
                            <w:pStyle w:val="13"/>
                          </w:pPr>
                          <w:r>
                            <w:fldChar w:fldCharType="begin"/>
                          </w:r>
                          <w:r>
                            <w:instrText xml:space="preserve"> PAGE  \* MERGEFORMAT </w:instrText>
                          </w:r>
                          <w:r>
                            <w:fldChar w:fldCharType="separate"/>
                          </w:r>
                          <w:r>
                            <w:t>25</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uWqTcMBAACPAwAADgAAAGRycy9lMm9Eb2MueG1srVPNjtMwEL4j8Q6W&#10;79TZI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DevKXHc4sTPP3+cf/05//5O&#10;0IcC9QFqzLsNmJmG937AtZn9gM7Me1DR5i8yIhhHeU8XeeWQiMiPVsvVqsKQwNh8QXx2/zxESB+k&#10;tyQbDY04vyIrP36CNKbOKbma8zfamDJD4/5zIGb2sNz72GO20rAbJkI7356QT4+jb6jDTafEfHSo&#10;bN6S2YizsZuMXAPCu0PCwqWfjDpCTcVwToXRtFN5Ef69l6z7/2jz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a5apNwwEAAI8DAAAOAAAAAAAAAAEAIAAAAB4BAABkcnMvZTJvRG9jLnhtbFBL&#10;BQYAAAAABgAGAFkBAABTBQAAAAA=&#10;">
              <v:fill on="f" focussize="0,0"/>
              <v:stroke on="f"/>
              <v:imagedata o:title=""/>
              <o:lock v:ext="edit" aspectratio="f"/>
              <v:textbox inset="0mm,0mm,0mm,0mm" style="mso-fit-shape-to-text:t;">
                <w:txbxContent>
                  <w:p w14:paraId="116E41A4">
                    <w:pPr>
                      <w:pStyle w:val="13"/>
                    </w:pPr>
                    <w:r>
                      <w:fldChar w:fldCharType="begin"/>
                    </w:r>
                    <w:r>
                      <w:instrText xml:space="preserve"> PAGE  \* MERGEFORMAT </w:instrText>
                    </w:r>
                    <w:r>
                      <w:fldChar w:fldCharType="separate"/>
                    </w:r>
                    <w:r>
                      <w:t>25</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D7BE280"/>
    <w:multiLevelType w:val="singleLevel"/>
    <w:tmpl w:val="BD7BE280"/>
    <w:lvl w:ilvl="0" w:tentative="0">
      <w:start w:val="2"/>
      <w:numFmt w:val="decimal"/>
      <w:suff w:val="nothing"/>
      <w:lvlText w:val="（%1）"/>
      <w:lvlJc w:val="left"/>
      <w:pPr>
        <w:ind w:left="14"/>
      </w:pPr>
    </w:lvl>
  </w:abstractNum>
  <w:abstractNum w:abstractNumId="1">
    <w:nsid w:val="F3D0DE14"/>
    <w:multiLevelType w:val="singleLevel"/>
    <w:tmpl w:val="F3D0DE14"/>
    <w:lvl w:ilvl="0" w:tentative="0">
      <w:start w:val="2"/>
      <w:numFmt w:val="decimal"/>
      <w:suff w:val="nothing"/>
      <w:lvlText w:val="%1、"/>
      <w:lvlJc w:val="left"/>
    </w:lvl>
  </w:abstractNum>
  <w:abstractNum w:abstractNumId="2">
    <w:nsid w:val="51EA59A8"/>
    <w:multiLevelType w:val="singleLevel"/>
    <w:tmpl w:val="51EA59A8"/>
    <w:lvl w:ilvl="0" w:tentative="0">
      <w:start w:val="2"/>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RhNGY3YzRjNDgxMjI3YTk3YTcyN2Y1NGJkYWFkZWMifQ=="/>
  </w:docVars>
  <w:rsids>
    <w:rsidRoot w:val="00CD52C7"/>
    <w:rsid w:val="00CD52C7"/>
    <w:rsid w:val="01097CE8"/>
    <w:rsid w:val="01117B09"/>
    <w:rsid w:val="01EC331D"/>
    <w:rsid w:val="027D3E9D"/>
    <w:rsid w:val="02861AEE"/>
    <w:rsid w:val="030B73A9"/>
    <w:rsid w:val="03101E00"/>
    <w:rsid w:val="03294CC5"/>
    <w:rsid w:val="03933F23"/>
    <w:rsid w:val="04543B68"/>
    <w:rsid w:val="05544BCE"/>
    <w:rsid w:val="06905732"/>
    <w:rsid w:val="06CA4FF0"/>
    <w:rsid w:val="06E41FEB"/>
    <w:rsid w:val="070E0675"/>
    <w:rsid w:val="073E3EF6"/>
    <w:rsid w:val="090E0B90"/>
    <w:rsid w:val="0936544F"/>
    <w:rsid w:val="0A4F2F7E"/>
    <w:rsid w:val="0A774257"/>
    <w:rsid w:val="0A9B6453"/>
    <w:rsid w:val="0B2D2EA2"/>
    <w:rsid w:val="0B903FA1"/>
    <w:rsid w:val="0B976317"/>
    <w:rsid w:val="0CAA5C57"/>
    <w:rsid w:val="0F5F5CA1"/>
    <w:rsid w:val="10082383"/>
    <w:rsid w:val="107446ED"/>
    <w:rsid w:val="11007FF8"/>
    <w:rsid w:val="110F1949"/>
    <w:rsid w:val="111873EF"/>
    <w:rsid w:val="11987B90"/>
    <w:rsid w:val="12C163E8"/>
    <w:rsid w:val="13953293"/>
    <w:rsid w:val="14005579"/>
    <w:rsid w:val="141352AC"/>
    <w:rsid w:val="14996DC2"/>
    <w:rsid w:val="14C03300"/>
    <w:rsid w:val="154107F7"/>
    <w:rsid w:val="154850ED"/>
    <w:rsid w:val="15745C65"/>
    <w:rsid w:val="16090717"/>
    <w:rsid w:val="166030CC"/>
    <w:rsid w:val="16AE479B"/>
    <w:rsid w:val="16B74615"/>
    <w:rsid w:val="18EF1E30"/>
    <w:rsid w:val="19A520EB"/>
    <w:rsid w:val="19A862A5"/>
    <w:rsid w:val="19DE6FEA"/>
    <w:rsid w:val="19EB1402"/>
    <w:rsid w:val="1A3B248E"/>
    <w:rsid w:val="1AE259D8"/>
    <w:rsid w:val="1B08398B"/>
    <w:rsid w:val="1B2913A0"/>
    <w:rsid w:val="1CFB37D3"/>
    <w:rsid w:val="1EC72F1D"/>
    <w:rsid w:val="1EE73F05"/>
    <w:rsid w:val="1F4758FC"/>
    <w:rsid w:val="1F4853F4"/>
    <w:rsid w:val="1FF42436"/>
    <w:rsid w:val="20064163"/>
    <w:rsid w:val="20A91311"/>
    <w:rsid w:val="219C61F6"/>
    <w:rsid w:val="21E23923"/>
    <w:rsid w:val="223C62A1"/>
    <w:rsid w:val="223E208E"/>
    <w:rsid w:val="224B24D3"/>
    <w:rsid w:val="224F429B"/>
    <w:rsid w:val="229914F9"/>
    <w:rsid w:val="23986063"/>
    <w:rsid w:val="240E769E"/>
    <w:rsid w:val="243B19E5"/>
    <w:rsid w:val="248F7DBD"/>
    <w:rsid w:val="24B52569"/>
    <w:rsid w:val="253024AD"/>
    <w:rsid w:val="25465A38"/>
    <w:rsid w:val="25950217"/>
    <w:rsid w:val="25A71CF8"/>
    <w:rsid w:val="25C14652"/>
    <w:rsid w:val="260D5FFF"/>
    <w:rsid w:val="268D740A"/>
    <w:rsid w:val="269B33CF"/>
    <w:rsid w:val="269B53B7"/>
    <w:rsid w:val="26F471BF"/>
    <w:rsid w:val="27807BC8"/>
    <w:rsid w:val="280E42B1"/>
    <w:rsid w:val="28795BCE"/>
    <w:rsid w:val="2A1268FC"/>
    <w:rsid w:val="2ADB5543"/>
    <w:rsid w:val="2B1E09DB"/>
    <w:rsid w:val="2B875CAD"/>
    <w:rsid w:val="2BAB31DB"/>
    <w:rsid w:val="2CB95D87"/>
    <w:rsid w:val="2D312F83"/>
    <w:rsid w:val="2D8E1152"/>
    <w:rsid w:val="2D9502B1"/>
    <w:rsid w:val="2DD37125"/>
    <w:rsid w:val="2E0028ED"/>
    <w:rsid w:val="2E835AA4"/>
    <w:rsid w:val="2EB177D4"/>
    <w:rsid w:val="2F064015"/>
    <w:rsid w:val="2F1E302B"/>
    <w:rsid w:val="2F923078"/>
    <w:rsid w:val="30766A4C"/>
    <w:rsid w:val="318209DA"/>
    <w:rsid w:val="31952718"/>
    <w:rsid w:val="31BE5023"/>
    <w:rsid w:val="31C83722"/>
    <w:rsid w:val="31EE27EE"/>
    <w:rsid w:val="331B3B35"/>
    <w:rsid w:val="333318B9"/>
    <w:rsid w:val="33340477"/>
    <w:rsid w:val="33845E82"/>
    <w:rsid w:val="338D1240"/>
    <w:rsid w:val="34721206"/>
    <w:rsid w:val="34A044E2"/>
    <w:rsid w:val="34AC593B"/>
    <w:rsid w:val="34C07A23"/>
    <w:rsid w:val="34F57DE4"/>
    <w:rsid w:val="354F3B59"/>
    <w:rsid w:val="355226E3"/>
    <w:rsid w:val="3572334E"/>
    <w:rsid w:val="35944047"/>
    <w:rsid w:val="35EA629C"/>
    <w:rsid w:val="36031C13"/>
    <w:rsid w:val="361B20DC"/>
    <w:rsid w:val="36223193"/>
    <w:rsid w:val="38351A5E"/>
    <w:rsid w:val="387754B2"/>
    <w:rsid w:val="38983E4E"/>
    <w:rsid w:val="38B16CBE"/>
    <w:rsid w:val="3A905C8A"/>
    <w:rsid w:val="3C34763D"/>
    <w:rsid w:val="3C3F2833"/>
    <w:rsid w:val="3CCF1E09"/>
    <w:rsid w:val="3D855520"/>
    <w:rsid w:val="3E333D55"/>
    <w:rsid w:val="3EC7548D"/>
    <w:rsid w:val="3F174129"/>
    <w:rsid w:val="3F64242A"/>
    <w:rsid w:val="40260DB8"/>
    <w:rsid w:val="40703334"/>
    <w:rsid w:val="40D514AA"/>
    <w:rsid w:val="40DE0BEA"/>
    <w:rsid w:val="4231222C"/>
    <w:rsid w:val="425659E6"/>
    <w:rsid w:val="42D40C91"/>
    <w:rsid w:val="43C13C6A"/>
    <w:rsid w:val="44215F27"/>
    <w:rsid w:val="449D67EB"/>
    <w:rsid w:val="45D81DA4"/>
    <w:rsid w:val="45FE68F5"/>
    <w:rsid w:val="474F7946"/>
    <w:rsid w:val="4796216E"/>
    <w:rsid w:val="47BF6F51"/>
    <w:rsid w:val="49BE56DF"/>
    <w:rsid w:val="49E9569B"/>
    <w:rsid w:val="4C9A531D"/>
    <w:rsid w:val="4DA97E11"/>
    <w:rsid w:val="4E0A0621"/>
    <w:rsid w:val="4E441AD1"/>
    <w:rsid w:val="4EEA4880"/>
    <w:rsid w:val="4F0A4871"/>
    <w:rsid w:val="50185A4D"/>
    <w:rsid w:val="524D1D13"/>
    <w:rsid w:val="528079D5"/>
    <w:rsid w:val="528D2EAA"/>
    <w:rsid w:val="52A8522F"/>
    <w:rsid w:val="52AC6530"/>
    <w:rsid w:val="52AF1B41"/>
    <w:rsid w:val="5362726B"/>
    <w:rsid w:val="54147C88"/>
    <w:rsid w:val="54281AFA"/>
    <w:rsid w:val="557D4BCE"/>
    <w:rsid w:val="55A531BA"/>
    <w:rsid w:val="55F9260A"/>
    <w:rsid w:val="56074E9B"/>
    <w:rsid w:val="566B274A"/>
    <w:rsid w:val="56A15E8C"/>
    <w:rsid w:val="57566F57"/>
    <w:rsid w:val="5761062C"/>
    <w:rsid w:val="57DD31D4"/>
    <w:rsid w:val="57E83927"/>
    <w:rsid w:val="58FE4D8A"/>
    <w:rsid w:val="59A92FBB"/>
    <w:rsid w:val="5A221D54"/>
    <w:rsid w:val="5A301B84"/>
    <w:rsid w:val="5A9B5D9E"/>
    <w:rsid w:val="5AE73231"/>
    <w:rsid w:val="5B10545C"/>
    <w:rsid w:val="5B6121A4"/>
    <w:rsid w:val="5B932FF2"/>
    <w:rsid w:val="5BB0570C"/>
    <w:rsid w:val="5C451668"/>
    <w:rsid w:val="5C6C205A"/>
    <w:rsid w:val="5D194A20"/>
    <w:rsid w:val="5E257683"/>
    <w:rsid w:val="5EA553EC"/>
    <w:rsid w:val="5EC71BCD"/>
    <w:rsid w:val="5ED370DF"/>
    <w:rsid w:val="5F61742A"/>
    <w:rsid w:val="5F93241B"/>
    <w:rsid w:val="60A07495"/>
    <w:rsid w:val="611333C5"/>
    <w:rsid w:val="629435B8"/>
    <w:rsid w:val="62B2475E"/>
    <w:rsid w:val="62C5631B"/>
    <w:rsid w:val="62ED138B"/>
    <w:rsid w:val="634B193A"/>
    <w:rsid w:val="63D530FA"/>
    <w:rsid w:val="63FB09E7"/>
    <w:rsid w:val="65491356"/>
    <w:rsid w:val="656A6DA8"/>
    <w:rsid w:val="659375C8"/>
    <w:rsid w:val="661004E0"/>
    <w:rsid w:val="66697233"/>
    <w:rsid w:val="67283D09"/>
    <w:rsid w:val="67743146"/>
    <w:rsid w:val="67892A30"/>
    <w:rsid w:val="689B5C8E"/>
    <w:rsid w:val="69675B47"/>
    <w:rsid w:val="69706592"/>
    <w:rsid w:val="69934057"/>
    <w:rsid w:val="69A17079"/>
    <w:rsid w:val="69B70881"/>
    <w:rsid w:val="6A4368DA"/>
    <w:rsid w:val="6A5405E4"/>
    <w:rsid w:val="6A883473"/>
    <w:rsid w:val="6AD205BF"/>
    <w:rsid w:val="6AFE0445"/>
    <w:rsid w:val="6BF6440D"/>
    <w:rsid w:val="6CB05239"/>
    <w:rsid w:val="6D232646"/>
    <w:rsid w:val="6D6F47F8"/>
    <w:rsid w:val="6E82527D"/>
    <w:rsid w:val="6EC063AA"/>
    <w:rsid w:val="70226534"/>
    <w:rsid w:val="715B6A6C"/>
    <w:rsid w:val="71EF1DE2"/>
    <w:rsid w:val="72B50B7E"/>
    <w:rsid w:val="73FD0E09"/>
    <w:rsid w:val="74A07D74"/>
    <w:rsid w:val="74B55160"/>
    <w:rsid w:val="75090455"/>
    <w:rsid w:val="7553467E"/>
    <w:rsid w:val="756A2D26"/>
    <w:rsid w:val="76041EAA"/>
    <w:rsid w:val="77163A55"/>
    <w:rsid w:val="78436C2C"/>
    <w:rsid w:val="78966DD7"/>
    <w:rsid w:val="78BA0A49"/>
    <w:rsid w:val="78CC645D"/>
    <w:rsid w:val="79B56435"/>
    <w:rsid w:val="7B4D279B"/>
    <w:rsid w:val="7D0B2529"/>
    <w:rsid w:val="7DB3215D"/>
    <w:rsid w:val="7DEF77B2"/>
    <w:rsid w:val="7E283678"/>
    <w:rsid w:val="7E680A67"/>
    <w:rsid w:val="7EBD46AC"/>
    <w:rsid w:val="7F3D122A"/>
    <w:rsid w:val="7FE72592"/>
    <w:rsid w:val="7FF8DFAB"/>
    <w:rsid w:val="DD3DDC25"/>
    <w:rsid w:val="FBAEE1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58"/>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22">
    <w:name w:val="Default Paragraph Font"/>
    <w:autoRedefine/>
    <w:semiHidden/>
    <w:qFormat/>
    <w:uiPriority w:val="0"/>
  </w:style>
  <w:style w:type="table" w:default="1" w:styleId="20">
    <w:name w:val="Normal Table"/>
    <w:autoRedefine/>
    <w:semiHidden/>
    <w:qFormat/>
    <w:uiPriority w:val="0"/>
    <w:tblPr>
      <w:tblCellMar>
        <w:top w:w="0" w:type="dxa"/>
        <w:left w:w="108" w:type="dxa"/>
        <w:bottom w:w="0" w:type="dxa"/>
        <w:right w:w="108" w:type="dxa"/>
      </w:tblCellMar>
    </w:tblPr>
  </w:style>
  <w:style w:type="paragraph" w:styleId="3">
    <w:name w:val="Normal Indent"/>
    <w:basedOn w:val="1"/>
    <w:next w:val="4"/>
    <w:autoRedefine/>
    <w:qFormat/>
    <w:uiPriority w:val="0"/>
    <w:pPr>
      <w:spacing w:line="460" w:lineRule="atLeast"/>
      <w:ind w:firstLine="420"/>
    </w:pPr>
    <w:rPr>
      <w:sz w:val="24"/>
      <w:szCs w:val="20"/>
    </w:rPr>
  </w:style>
  <w:style w:type="paragraph" w:styleId="4">
    <w:name w:val="Body Text First Indent 2"/>
    <w:basedOn w:val="5"/>
    <w:next w:val="1"/>
    <w:autoRedefine/>
    <w:qFormat/>
    <w:uiPriority w:val="0"/>
    <w:pPr>
      <w:ind w:firstLine="420" w:firstLineChars="200"/>
    </w:pPr>
    <w:rPr>
      <w:rFonts w:ascii="Calibri" w:hAnsi="Calibri" w:cs="Calibri"/>
      <w:kern w:val="2"/>
      <w:sz w:val="21"/>
      <w:szCs w:val="24"/>
    </w:rPr>
  </w:style>
  <w:style w:type="paragraph" w:styleId="5">
    <w:name w:val="Body Text Indent"/>
    <w:basedOn w:val="1"/>
    <w:next w:val="1"/>
    <w:autoRedefine/>
    <w:qFormat/>
    <w:uiPriority w:val="0"/>
    <w:pPr>
      <w:spacing w:after="120"/>
      <w:ind w:left="420" w:leftChars="200"/>
    </w:pPr>
    <w:rPr>
      <w:kern w:val="0"/>
      <w:sz w:val="24"/>
      <w:szCs w:val="20"/>
    </w:rPr>
  </w:style>
  <w:style w:type="paragraph" w:styleId="6">
    <w:name w:val="caption"/>
    <w:basedOn w:val="1"/>
    <w:next w:val="1"/>
    <w:autoRedefine/>
    <w:qFormat/>
    <w:uiPriority w:val="35"/>
    <w:pPr>
      <w:widowControl/>
      <w:adjustRightInd w:val="0"/>
      <w:snapToGrid w:val="0"/>
      <w:jc w:val="center"/>
    </w:pPr>
    <w:rPr>
      <w:rFonts w:eastAsia="黑体"/>
      <w:kern w:val="0"/>
      <w:sz w:val="24"/>
    </w:rPr>
  </w:style>
  <w:style w:type="paragraph" w:styleId="7">
    <w:name w:val="annotation text"/>
    <w:basedOn w:val="1"/>
    <w:autoRedefine/>
    <w:semiHidden/>
    <w:qFormat/>
    <w:uiPriority w:val="0"/>
    <w:pPr>
      <w:jc w:val="left"/>
    </w:pPr>
    <w:rPr>
      <w:kern w:val="0"/>
      <w:sz w:val="24"/>
      <w:szCs w:val="20"/>
    </w:rPr>
  </w:style>
  <w:style w:type="paragraph" w:styleId="8">
    <w:name w:val="Body Text"/>
    <w:basedOn w:val="1"/>
    <w:next w:val="9"/>
    <w:autoRedefine/>
    <w:qFormat/>
    <w:uiPriority w:val="0"/>
    <w:pPr>
      <w:widowControl/>
      <w:snapToGrid w:val="0"/>
      <w:spacing w:before="60" w:after="160" w:line="259" w:lineRule="auto"/>
      <w:ind w:right="113"/>
    </w:pPr>
    <w:rPr>
      <w:kern w:val="0"/>
      <w:sz w:val="18"/>
      <w:szCs w:val="20"/>
    </w:rPr>
  </w:style>
  <w:style w:type="paragraph" w:customStyle="1" w:styleId="9">
    <w:name w:val="Normal (Web)1"/>
    <w:basedOn w:val="1"/>
    <w:next w:val="10"/>
    <w:autoRedefine/>
    <w:qFormat/>
    <w:uiPriority w:val="0"/>
    <w:pPr>
      <w:widowControl/>
      <w:jc w:val="left"/>
    </w:pPr>
    <w:rPr>
      <w:rFonts w:ascii="宋体"/>
      <w:kern w:val="0"/>
      <w:sz w:val="24"/>
      <w:szCs w:val="21"/>
    </w:rPr>
  </w:style>
  <w:style w:type="paragraph" w:customStyle="1" w:styleId="10">
    <w:name w:val="Date1"/>
    <w:basedOn w:val="1"/>
    <w:next w:val="1"/>
    <w:autoRedefine/>
    <w:qFormat/>
    <w:uiPriority w:val="99"/>
    <w:pPr>
      <w:ind w:left="2500" w:leftChars="2500"/>
    </w:pPr>
  </w:style>
  <w:style w:type="paragraph" w:styleId="11">
    <w:name w:val="Plain Text"/>
    <w:basedOn w:val="1"/>
    <w:autoRedefine/>
    <w:qFormat/>
    <w:uiPriority w:val="0"/>
    <w:rPr>
      <w:rFonts w:ascii="宋体" w:hAnsi="Courier New" w:eastAsia="宋体" w:cs="Times New Roman"/>
      <w:szCs w:val="20"/>
    </w:rPr>
  </w:style>
  <w:style w:type="paragraph" w:styleId="12">
    <w:name w:val="Body Text Indent 2"/>
    <w:basedOn w:val="1"/>
    <w:qFormat/>
    <w:uiPriority w:val="99"/>
    <w:pPr>
      <w:spacing w:after="120" w:line="480" w:lineRule="auto"/>
      <w:ind w:left="420" w:leftChars="200"/>
    </w:pPr>
  </w:style>
  <w:style w:type="paragraph" w:styleId="13">
    <w:name w:val="footer"/>
    <w:basedOn w:val="1"/>
    <w:autoRedefine/>
    <w:qFormat/>
    <w:uiPriority w:val="99"/>
    <w:pPr>
      <w:tabs>
        <w:tab w:val="center" w:pos="4153"/>
        <w:tab w:val="right" w:pos="8306"/>
      </w:tabs>
      <w:snapToGrid w:val="0"/>
      <w:jc w:val="left"/>
    </w:pPr>
    <w:rPr>
      <w:kern w:val="0"/>
      <w:sz w:val="18"/>
      <w:szCs w:val="20"/>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toc 1"/>
    <w:basedOn w:val="1"/>
    <w:next w:val="1"/>
    <w:autoRedefine/>
    <w:unhideWhenUsed/>
    <w:qFormat/>
    <w:uiPriority w:val="39"/>
    <w:pPr>
      <w:widowControl/>
      <w:spacing w:after="100" w:line="259" w:lineRule="auto"/>
      <w:jc w:val="left"/>
    </w:pPr>
    <w:rPr>
      <w:rFonts w:asciiTheme="minorHAnsi" w:hAnsiTheme="minorHAnsi" w:eastAsiaTheme="minorEastAsia"/>
      <w:kern w:val="0"/>
      <w:sz w:val="22"/>
      <w:szCs w:val="22"/>
    </w:rPr>
  </w:style>
  <w:style w:type="paragraph" w:styleId="16">
    <w:name w:val="toc 2"/>
    <w:basedOn w:val="1"/>
    <w:next w:val="1"/>
    <w:autoRedefine/>
    <w:qFormat/>
    <w:uiPriority w:val="39"/>
    <w:pPr>
      <w:ind w:left="210"/>
      <w:jc w:val="left"/>
    </w:pPr>
    <w:rPr>
      <w:smallCaps/>
      <w:sz w:val="20"/>
      <w:szCs w:val="20"/>
    </w:rPr>
  </w:style>
  <w:style w:type="paragraph" w:styleId="17">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18">
    <w:name w:val="Normal (Web)"/>
    <w:basedOn w:val="1"/>
    <w:autoRedefine/>
    <w:qFormat/>
    <w:uiPriority w:val="99"/>
    <w:pPr>
      <w:widowControl/>
      <w:spacing w:before="100" w:beforeAutospacing="1" w:after="100" w:afterAutospacing="1"/>
      <w:jc w:val="left"/>
    </w:pPr>
    <w:rPr>
      <w:rFonts w:ascii="宋体" w:hAnsi="宋体"/>
      <w:kern w:val="0"/>
      <w:sz w:val="24"/>
      <w:szCs w:val="20"/>
    </w:rPr>
  </w:style>
  <w:style w:type="paragraph" w:styleId="19">
    <w:name w:val="Body Text First Indent"/>
    <w:basedOn w:val="8"/>
    <w:autoRedefine/>
    <w:qFormat/>
    <w:uiPriority w:val="0"/>
    <w:pPr>
      <w:ind w:firstLine="420" w:firstLineChars="100"/>
    </w:pPr>
  </w:style>
  <w:style w:type="table" w:styleId="21">
    <w:name w:val="Table Grid"/>
    <w:basedOn w:val="20"/>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basedOn w:val="22"/>
    <w:autoRedefine/>
    <w:qFormat/>
    <w:uiPriority w:val="0"/>
  </w:style>
  <w:style w:type="paragraph" w:customStyle="1" w:styleId="24">
    <w:name w:val="BodyText"/>
    <w:basedOn w:val="1"/>
    <w:autoRedefine/>
    <w:qFormat/>
    <w:uiPriority w:val="0"/>
    <w:pPr>
      <w:textAlignment w:val="baseline"/>
    </w:pPr>
    <w:rPr>
      <w:rFonts w:ascii="宋体" w:hAnsi="宋体"/>
      <w:szCs w:val="21"/>
    </w:rPr>
  </w:style>
  <w:style w:type="paragraph" w:customStyle="1" w:styleId="25">
    <w:name w:val="样式 正文首行缩进 + 首行缩进:  2 字符1"/>
    <w:basedOn w:val="1"/>
    <w:next w:val="15"/>
    <w:autoRedefine/>
    <w:qFormat/>
    <w:uiPriority w:val="0"/>
    <w:pPr>
      <w:spacing w:line="360" w:lineRule="auto"/>
      <w:ind w:firstLine="480" w:firstLineChars="200"/>
    </w:pPr>
    <w:rPr>
      <w:sz w:val="24"/>
    </w:rPr>
  </w:style>
  <w:style w:type="paragraph" w:customStyle="1" w:styleId="26">
    <w:name w:val="样式 正文缩进正文缩进2正文缩进 Char Char正文缩进 Char Char Char Char正文缩进 Char ..."/>
    <w:basedOn w:val="3"/>
    <w:autoRedefine/>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27">
    <w:name w:val="样式 正文文本缩进 + 行距: 1.5 倍行距"/>
    <w:basedOn w:val="5"/>
    <w:autoRedefine/>
    <w:qFormat/>
    <w:uiPriority w:val="0"/>
    <w:pPr>
      <w:snapToGrid/>
      <w:spacing w:before="0" w:after="120" w:line="360" w:lineRule="auto"/>
      <w:ind w:left="90" w:leftChars="32" w:firstLine="560" w:firstLineChars="200"/>
    </w:pPr>
    <w:rPr>
      <w:rFonts w:ascii="Times New Roman" w:eastAsia="宋体" w:cs="宋体"/>
    </w:rPr>
  </w:style>
  <w:style w:type="paragraph" w:customStyle="1" w:styleId="28">
    <w:name w:val="Default"/>
    <w:basedOn w:val="29"/>
    <w:next w:val="1"/>
    <w:autoRedefine/>
    <w:qFormat/>
    <w:uiPriority w:val="0"/>
    <w:pPr>
      <w:widowControl w:val="0"/>
      <w:autoSpaceDE w:val="0"/>
      <w:autoSpaceDN w:val="0"/>
    </w:pPr>
    <w:rPr>
      <w:rFonts w:hAnsi="Times New Roman" w:cs="宋体"/>
      <w:color w:val="000000"/>
      <w:szCs w:val="24"/>
    </w:rPr>
  </w:style>
  <w:style w:type="paragraph" w:customStyle="1" w:styleId="29">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30">
    <w:name w:val="【正文】"/>
    <w:basedOn w:val="1"/>
    <w:next w:val="17"/>
    <w:autoRedefine/>
    <w:qFormat/>
    <w:uiPriority w:val="0"/>
    <w:pPr>
      <w:ind w:firstLine="480"/>
    </w:pPr>
    <w:rPr>
      <w:sz w:val="24"/>
    </w:rPr>
  </w:style>
  <w:style w:type="paragraph" w:customStyle="1" w:styleId="31">
    <w:name w:val="内容"/>
    <w:basedOn w:val="1"/>
    <w:autoRedefine/>
    <w:qFormat/>
    <w:uiPriority w:val="0"/>
    <w:pPr>
      <w:spacing w:before="156" w:beforeLines="50" w:after="156" w:afterLines="50"/>
      <w:ind w:firstLine="200" w:firstLineChars="200"/>
    </w:pPr>
    <w:rPr>
      <w:color w:val="000000"/>
      <w:sz w:val="24"/>
    </w:rPr>
  </w:style>
  <w:style w:type="paragraph" w:customStyle="1" w:styleId="32">
    <w:name w:val="表中字"/>
    <w:autoRedefine/>
    <w:qFormat/>
    <w:uiPriority w:val="0"/>
    <w:pPr>
      <w:jc w:val="center"/>
    </w:pPr>
    <w:rPr>
      <w:rFonts w:ascii="Times New Roman" w:hAnsi="Times New Roman" w:eastAsia="宋体" w:cs="Times New Roman"/>
      <w:kern w:val="2"/>
      <w:sz w:val="21"/>
      <w:szCs w:val="22"/>
      <w:lang w:val="zh-CN" w:eastAsia="zh-CN" w:bidi="ar-SA"/>
    </w:rPr>
  </w:style>
  <w:style w:type="character" w:customStyle="1" w:styleId="33">
    <w:name w:val="NormalCharacter"/>
    <w:autoRedefine/>
    <w:semiHidden/>
    <w:qFormat/>
    <w:uiPriority w:val="0"/>
    <w:rPr>
      <w:rFonts w:ascii="Times New Roman" w:hAnsi="Times New Roman" w:eastAsia="宋体" w:cs="Times New Roman"/>
      <w:kern w:val="2"/>
      <w:sz w:val="21"/>
      <w:szCs w:val="24"/>
      <w:lang w:val="en-US" w:eastAsia="zh-CN" w:bidi="ar-SA"/>
    </w:rPr>
  </w:style>
  <w:style w:type="paragraph" w:customStyle="1" w:styleId="34">
    <w:name w:val="表中文字"/>
    <w:basedOn w:val="1"/>
    <w:autoRedefine/>
    <w:qFormat/>
    <w:uiPriority w:val="0"/>
    <w:pPr>
      <w:jc w:val="center"/>
    </w:pPr>
  </w:style>
  <w:style w:type="paragraph" w:customStyle="1" w:styleId="35">
    <w:name w:val="Table Paragraph"/>
    <w:basedOn w:val="1"/>
    <w:autoRedefine/>
    <w:qFormat/>
    <w:uiPriority w:val="0"/>
    <w:pPr>
      <w:autoSpaceDE w:val="0"/>
      <w:autoSpaceDN w:val="0"/>
      <w:jc w:val="center"/>
    </w:pPr>
    <w:rPr>
      <w:rFonts w:hint="eastAsia" w:ascii="仿宋" w:hAnsi="仿宋" w:eastAsia="仿宋"/>
      <w:kern w:val="0"/>
      <w:sz w:val="22"/>
      <w:szCs w:val="22"/>
    </w:rPr>
  </w:style>
  <w:style w:type="paragraph" w:customStyle="1" w:styleId="36">
    <w:name w:val="正文 New New"/>
    <w:autoRedefine/>
    <w:qFormat/>
    <w:uiPriority w:val="0"/>
    <w:pPr>
      <w:widowControl w:val="0"/>
      <w:jc w:val="both"/>
    </w:pPr>
    <w:rPr>
      <w:rFonts w:ascii="Calibri" w:hAnsi="Calibri" w:eastAsia="宋体" w:cs="Times New Roman"/>
      <w:kern w:val="2"/>
      <w:sz w:val="21"/>
      <w:szCs w:val="24"/>
      <w:lang w:val="en-US" w:eastAsia="zh-CN" w:bidi="ar-SA"/>
    </w:rPr>
  </w:style>
  <w:style w:type="paragraph" w:customStyle="1" w:styleId="37">
    <w:name w:val="表格内容"/>
    <w:autoRedefine/>
    <w:qFormat/>
    <w:uiPriority w:val="0"/>
    <w:pPr>
      <w:adjustRightInd w:val="0"/>
      <w:snapToGrid w:val="0"/>
      <w:spacing w:line="360" w:lineRule="exact"/>
      <w:jc w:val="center"/>
    </w:pPr>
    <w:rPr>
      <w:rFonts w:ascii="Times New Roman" w:hAnsi="Times New Roman" w:eastAsia="宋体" w:cs="Times New Roman"/>
      <w:color w:val="000000"/>
      <w:sz w:val="21"/>
      <w:szCs w:val="24"/>
      <w:lang w:val="en-US" w:eastAsia="zh-CN" w:bidi="ar-SA"/>
    </w:rPr>
  </w:style>
  <w:style w:type="paragraph" w:customStyle="1" w:styleId="38">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39">
    <w:name w:val="首行缩进表格正文"/>
    <w:basedOn w:val="1"/>
    <w:autoRedefine/>
    <w:qFormat/>
    <w:uiPriority w:val="0"/>
    <w:pPr>
      <w:spacing w:line="360" w:lineRule="auto"/>
      <w:ind w:firstLine="720" w:firstLineChars="200"/>
      <w:jc w:val="left"/>
    </w:pPr>
    <w:rPr>
      <w:rFonts w:ascii="Times New Roman" w:hAnsi="Times New Roman" w:eastAsia="宋体"/>
    </w:rPr>
  </w:style>
  <w:style w:type="paragraph" w:customStyle="1" w:styleId="40">
    <w:name w:val="【表中文字】"/>
    <w:basedOn w:val="1"/>
    <w:autoRedefine/>
    <w:qFormat/>
    <w:uiPriority w:val="0"/>
    <w:pPr>
      <w:spacing w:line="240" w:lineRule="auto"/>
      <w:jc w:val="center"/>
    </w:pPr>
    <w:rPr>
      <w:rFonts w:ascii="Calibri" w:hAnsi="Calibri" w:eastAsia="宋体" w:cs="Times New Roman"/>
      <w:sz w:val="21"/>
      <w:szCs w:val="22"/>
    </w:rPr>
  </w:style>
  <w:style w:type="paragraph" w:customStyle="1" w:styleId="41">
    <w:name w:val="表格文字"/>
    <w:basedOn w:val="11"/>
    <w:next w:val="1"/>
    <w:autoRedefine/>
    <w:qFormat/>
    <w:uiPriority w:val="0"/>
    <w:pPr>
      <w:spacing w:before="60" w:after="60" w:line="360" w:lineRule="auto"/>
      <w:ind w:firstLine="640"/>
    </w:pPr>
    <w:rPr>
      <w:rFonts w:ascii="Calibri" w:hAnsi="Calibri" w:cs="Times New Roman"/>
    </w:rPr>
  </w:style>
  <w:style w:type="paragraph" w:customStyle="1" w:styleId="42">
    <w:name w:val="文本正文"/>
    <w:autoRedefine/>
    <w:qFormat/>
    <w:uiPriority w:val="0"/>
    <w:pPr>
      <w:spacing w:line="360" w:lineRule="auto"/>
      <w:ind w:firstLine="200" w:firstLineChars="200"/>
    </w:pPr>
    <w:rPr>
      <w:rFonts w:ascii="Times New Roman" w:hAnsi="Times New Roman" w:eastAsia="宋体" w:cs="Times New Roman"/>
      <w:sz w:val="24"/>
      <w:szCs w:val="24"/>
    </w:rPr>
  </w:style>
  <w:style w:type="character" w:customStyle="1" w:styleId="43">
    <w:name w:val="样式 文本正文 + Calibri 黑色 Char"/>
    <w:link w:val="44"/>
    <w:autoRedefine/>
    <w:qFormat/>
    <w:uiPriority w:val="0"/>
    <w:rPr>
      <w:color w:val="000000"/>
    </w:rPr>
  </w:style>
  <w:style w:type="paragraph" w:customStyle="1" w:styleId="44">
    <w:name w:val="样式 文本正文 + Calibri 黑色"/>
    <w:basedOn w:val="42"/>
    <w:link w:val="43"/>
    <w:autoRedefine/>
    <w:qFormat/>
    <w:uiPriority w:val="0"/>
    <w:rPr>
      <w:color w:val="000000"/>
    </w:rPr>
  </w:style>
  <w:style w:type="paragraph" w:customStyle="1" w:styleId="45">
    <w:name w:val="样式 黑体 居中 行距: 1.5 倍行距"/>
    <w:basedOn w:val="1"/>
    <w:autoRedefine/>
    <w:qFormat/>
    <w:uiPriority w:val="0"/>
    <w:pPr>
      <w:spacing w:line="360" w:lineRule="auto"/>
      <w:jc w:val="center"/>
    </w:pPr>
    <w:rPr>
      <w:rFonts w:hint="eastAsia" w:ascii="黑体" w:hAnsi="黑体" w:eastAsia="黑体"/>
      <w:kern w:val="0"/>
      <w:sz w:val="24"/>
      <w:szCs w:val="20"/>
    </w:rPr>
  </w:style>
  <w:style w:type="paragraph" w:customStyle="1" w:styleId="46">
    <w:name w:val="雪表头"/>
    <w:basedOn w:val="1"/>
    <w:next w:val="1"/>
    <w:autoRedefine/>
    <w:qFormat/>
    <w:uiPriority w:val="0"/>
    <w:pPr>
      <w:keepNext/>
      <w:spacing w:line="500" w:lineRule="exact"/>
      <w:jc w:val="center"/>
    </w:pPr>
    <w:rPr>
      <w:rFonts w:hint="default" w:ascii="Times New Roman" w:eastAsia="黑体"/>
      <w:kern w:val="2"/>
      <w:szCs w:val="24"/>
    </w:rPr>
  </w:style>
  <w:style w:type="paragraph" w:customStyle="1" w:styleId="47">
    <w:name w:val="表格中文字"/>
    <w:basedOn w:val="1"/>
    <w:autoRedefine/>
    <w:qFormat/>
    <w:uiPriority w:val="0"/>
    <w:pPr>
      <w:spacing w:line="360" w:lineRule="exact"/>
      <w:ind w:firstLine="0" w:firstLineChars="0"/>
      <w:jc w:val="center"/>
    </w:pPr>
    <w:rPr>
      <w:kern w:val="0"/>
      <w:sz w:val="21"/>
      <w:szCs w:val="21"/>
    </w:rPr>
  </w:style>
  <w:style w:type="paragraph" w:customStyle="1" w:styleId="48">
    <w:name w:val="表表头"/>
    <w:basedOn w:val="1"/>
    <w:autoRedefine/>
    <w:qFormat/>
    <w:uiPriority w:val="0"/>
    <w:pPr>
      <w:ind w:firstLine="0" w:firstLineChars="0"/>
      <w:jc w:val="center"/>
    </w:pPr>
    <w:rPr>
      <w:rFonts w:eastAsia="黑体"/>
    </w:rPr>
  </w:style>
  <w:style w:type="paragraph" w:customStyle="1" w:styleId="49">
    <w:name w:val="表文"/>
    <w:basedOn w:val="11"/>
    <w:next w:val="1"/>
    <w:autoRedefine/>
    <w:qFormat/>
    <w:uiPriority w:val="0"/>
    <w:pPr>
      <w:jc w:val="center"/>
    </w:pPr>
    <w:rPr>
      <w:szCs w:val="20"/>
    </w:rPr>
  </w:style>
  <w:style w:type="paragraph" w:customStyle="1" w:styleId="50">
    <w:name w:val="a正文"/>
    <w:basedOn w:val="51"/>
    <w:autoRedefine/>
    <w:qFormat/>
    <w:uiPriority w:val="0"/>
    <w:pPr>
      <w:spacing w:line="520" w:lineRule="exact"/>
      <w:ind w:firstLine="200" w:firstLineChars="200"/>
    </w:pPr>
    <w:rPr>
      <w:kern w:val="0"/>
      <w:szCs w:val="21"/>
    </w:rPr>
  </w:style>
  <w:style w:type="paragraph" w:customStyle="1" w:styleId="51">
    <w:name w:val="正文格式"/>
    <w:basedOn w:val="1"/>
    <w:next w:val="1"/>
    <w:autoRedefine/>
    <w:qFormat/>
    <w:uiPriority w:val="0"/>
    <w:pPr>
      <w:spacing w:line="360" w:lineRule="auto"/>
      <w:ind w:firstLine="482"/>
    </w:pPr>
  </w:style>
  <w:style w:type="paragraph" w:customStyle="1" w:styleId="52">
    <w:name w:val="..正文"/>
    <w:basedOn w:val="1"/>
    <w:qFormat/>
    <w:uiPriority w:val="0"/>
    <w:pPr>
      <w:spacing w:line="520" w:lineRule="exact"/>
      <w:ind w:firstLine="200" w:firstLineChars="200"/>
    </w:pPr>
    <w:rPr>
      <w:kern w:val="0"/>
      <w:sz w:val="24"/>
    </w:rPr>
  </w:style>
  <w:style w:type="paragraph" w:customStyle="1" w:styleId="53">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54">
    <w:name w:val="11111"/>
    <w:basedOn w:val="1"/>
    <w:next w:val="1"/>
    <w:autoRedefine/>
    <w:qFormat/>
    <w:uiPriority w:val="0"/>
    <w:pPr>
      <w:spacing w:line="360" w:lineRule="auto"/>
      <w:ind w:firstLine="200" w:firstLineChars="200"/>
    </w:pPr>
    <w:rPr>
      <w:rFonts w:hAnsi="宋体" w:cs="宋体"/>
    </w:rPr>
  </w:style>
  <w:style w:type="paragraph" w:customStyle="1" w:styleId="55">
    <w:name w:val="WPSOffice手动目录 1"/>
    <w:qFormat/>
    <w:uiPriority w:val="0"/>
    <w:pPr>
      <w:ind w:leftChars="0"/>
    </w:pPr>
    <w:rPr>
      <w:rFonts w:ascii="Times New Roman" w:hAnsi="Times New Roman" w:eastAsia="宋体" w:cs="Times New Roman"/>
      <w:sz w:val="20"/>
      <w:szCs w:val="20"/>
    </w:rPr>
  </w:style>
  <w:style w:type="paragraph" w:customStyle="1" w:styleId="56">
    <w:name w:val="【表头】"/>
    <w:basedOn w:val="57"/>
    <w:next w:val="1"/>
    <w:autoRedefine/>
    <w:qFormat/>
    <w:uiPriority w:val="0"/>
    <w:pPr>
      <w:spacing w:line="460" w:lineRule="exact"/>
      <w:jc w:val="center"/>
    </w:pPr>
    <w:rPr>
      <w:b/>
      <w:sz w:val="24"/>
    </w:rPr>
  </w:style>
  <w:style w:type="paragraph" w:customStyle="1" w:styleId="57">
    <w:name w:val="0"/>
    <w:basedOn w:val="1"/>
    <w:autoRedefine/>
    <w:qFormat/>
    <w:uiPriority w:val="99"/>
    <w:pPr>
      <w:widowControl/>
      <w:snapToGrid w:val="0"/>
      <w:jc w:val="left"/>
    </w:pPr>
    <w:rPr>
      <w:rFonts w:ascii="宋体"/>
      <w:kern w:val="0"/>
      <w:sz w:val="20"/>
      <w:szCs w:val="20"/>
    </w:rPr>
  </w:style>
  <w:style w:type="character" w:customStyle="1" w:styleId="58">
    <w:name w:val="标题 1 Char"/>
    <w:link w:val="2"/>
    <w:qFormat/>
    <w:uiPriority w:val="99"/>
    <w:rPr>
      <w:rFonts w:eastAsia="黑体"/>
      <w:b/>
      <w:bCs/>
      <w:color w:val="000000"/>
      <w:kern w:val="44"/>
      <w:sz w:val="30"/>
      <w:szCs w:val="30"/>
    </w:rPr>
  </w:style>
  <w:style w:type="paragraph" w:customStyle="1" w:styleId="59">
    <w:name w:val="Table Text"/>
    <w:basedOn w:val="1"/>
    <w:semiHidden/>
    <w:qFormat/>
    <w:uiPriority w:val="0"/>
    <w:rPr>
      <w:rFonts w:ascii="宋体" w:hAnsi="宋体" w:eastAsia="宋体" w:cs="宋体"/>
      <w:sz w:val="24"/>
      <w:szCs w:val="24"/>
      <w:lang w:val="en-US" w:eastAsia="en-US" w:bidi="ar-SA"/>
    </w:rPr>
  </w:style>
  <w:style w:type="paragraph" w:customStyle="1" w:styleId="60">
    <w:name w:val="表格填充项"/>
    <w:basedOn w:val="1"/>
    <w:qFormat/>
    <w:uiPriority w:val="0"/>
    <w:pPr>
      <w:spacing w:line="240" w:lineRule="atLeast"/>
      <w:jc w:val="center"/>
    </w:pPr>
    <w:rPr>
      <w:rFonts w:ascii="宋体" w:hAnsi="宋体" w:cs="Times New Roman"/>
      <w:b/>
      <w:szCs w:val="24"/>
    </w:rPr>
  </w:style>
  <w:style w:type="table" w:customStyle="1" w:styleId="6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6" Type="http://schemas.openxmlformats.org/officeDocument/2006/relationships/fontTable" Target="fontTable.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4.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jpeg"/><Relationship Id="rId38" Type="http://schemas.openxmlformats.org/officeDocument/2006/relationships/image" Target="media/image26.png"/><Relationship Id="rId37" Type="http://schemas.openxmlformats.org/officeDocument/2006/relationships/image" Target="media/image25.jpe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wmf"/><Relationship Id="rId27" Type="http://schemas.openxmlformats.org/officeDocument/2006/relationships/oleObject" Target="embeddings/oleObject2.bin"/><Relationship Id="rId26" Type="http://schemas.openxmlformats.org/officeDocument/2006/relationships/image" Target="media/image15.wmf"/><Relationship Id="rId25" Type="http://schemas.openxmlformats.org/officeDocument/2006/relationships/oleObject" Target="embeddings/oleObject1.bin"/><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76</Pages>
  <Words>22004</Words>
  <Characters>23990</Characters>
  <Lines>0</Lines>
  <Paragraphs>0</Paragraphs>
  <TotalTime>121</TotalTime>
  <ScaleCrop>false</ScaleCrop>
  <LinksUpToDate>false</LinksUpToDate>
  <CharactersWithSpaces>24333</CharactersWithSpaces>
  <Application>WPS Office_12.8.2.1119_F1E327BC-269C-435d-A152-05C5408002CA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2023-10-27T14:18:00Z</dcterms:created>
  <dc:creator>小哲</dc:creator>
  <cp:lastModifiedBy>WPS_1742558756</cp:lastModifiedBy>
  <cp:lastPrinted>2024-07-30T16:44:00Z</cp:lastPrinted>
  <dcterms:modified xsi:type="dcterms:W3CDTF">2025-09-17T15:33:58Z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2052-12.8.2.1119</vt:lpwstr>
  </property>
  <property fmtid="{D5CDD505-2E9C-101B-9397-08002B2CF9AE}" pid="3" name="ICV">
    <vt:lpwstr>11301F69254F46CA8657A76237B4F148_13</vt:lpwstr>
  </property>
  <property fmtid="{D5CDD505-2E9C-101B-9397-08002B2CF9AE}" pid="4" name="KSOTemplateDocerSaveRecord">
    <vt:lpwstr>eyJoZGlkIjoiZThiMWJlYTM3YjAxOGI1N2YyZjkxOGUwN2NjNGU4MWMiLCJ1c2VySWQiOiIzODE4NjgxOTAifQ==</vt:lpwstr>
  </property>
</Properties>
</file>